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C7169" w14:textId="6294266F" w:rsidR="008E5827" w:rsidRPr="002E03C0"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6"/>
          <w:szCs w:val="36"/>
        </w:rPr>
      </w:pPr>
      <w:r>
        <w:rPr>
          <w:rFonts w:cstheme="minorHAnsi"/>
          <w:sz w:val="36"/>
          <w:szCs w:val="36"/>
        </w:rPr>
        <w:br w:type="page"/>
      </w:r>
      <w:r w:rsidRPr="002E03C0">
        <w:rPr>
          <w:rFonts w:ascii="Times New Roman" w:hAnsi="Times New Roman" w:cs="Times New Roman"/>
          <w:sz w:val="36"/>
          <w:szCs w:val="36"/>
        </w:rPr>
        <w:lastRenderedPageBreak/>
        <w:t xml:space="preserve">KSD WORKING PAPER </w:t>
      </w:r>
      <w:r>
        <w:rPr>
          <w:rFonts w:ascii="Times New Roman" w:hAnsi="Times New Roman" w:cs="Times New Roman"/>
          <w:sz w:val="36"/>
          <w:szCs w:val="36"/>
        </w:rPr>
        <w:t>1</w:t>
      </w:r>
      <w:bookmarkStart w:id="0" w:name="_GoBack"/>
      <w:bookmarkEnd w:id="0"/>
    </w:p>
    <w:p w14:paraId="7D8771E7" w14:textId="77777777" w:rsidR="008E5827" w:rsidRDefault="008E5827" w:rsidP="008E5827">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sz w:val="40"/>
          <w:szCs w:val="40"/>
        </w:rPr>
      </w:pPr>
    </w:p>
    <w:p w14:paraId="5029A3ED" w14:textId="77777777" w:rsidR="008E5827" w:rsidRDefault="008E5827" w:rsidP="008E5827">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sz w:val="40"/>
          <w:szCs w:val="40"/>
        </w:rPr>
      </w:pPr>
    </w:p>
    <w:p w14:paraId="6882A26C" w14:textId="77777777" w:rsidR="008E5827" w:rsidRDefault="008E5827" w:rsidP="008E5827">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sz w:val="40"/>
          <w:szCs w:val="40"/>
        </w:rPr>
      </w:pPr>
    </w:p>
    <w:p w14:paraId="769DF594" w14:textId="77777777" w:rsidR="008E5827" w:rsidRDefault="008E5827" w:rsidP="008E5827">
      <w:pPr>
        <w:pBdr>
          <w:top w:val="single" w:sz="4" w:space="1" w:color="auto"/>
          <w:left w:val="single" w:sz="4" w:space="4" w:color="auto"/>
          <w:bottom w:val="single" w:sz="4" w:space="1" w:color="auto"/>
          <w:right w:val="single" w:sz="4" w:space="4" w:color="auto"/>
        </w:pBdr>
        <w:tabs>
          <w:tab w:val="left" w:pos="2460"/>
        </w:tabs>
        <w:ind w:firstLine="720"/>
        <w:rPr>
          <w:rFonts w:ascii="Times New Roman" w:hAnsi="Times New Roman" w:cs="Times New Roman"/>
          <w:b/>
          <w:sz w:val="40"/>
          <w:szCs w:val="40"/>
        </w:rPr>
      </w:pPr>
    </w:p>
    <w:p w14:paraId="24E321A2" w14:textId="68401778" w:rsidR="008E5827" w:rsidRDefault="008E5827" w:rsidP="008E5827">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32"/>
          <w:szCs w:val="32"/>
        </w:rPr>
      </w:pPr>
      <w:r>
        <w:rPr>
          <w:rFonts w:ascii="Times New Roman" w:hAnsi="Times New Roman" w:cs="Times New Roman"/>
          <w:sz w:val="32"/>
          <w:szCs w:val="32"/>
        </w:rPr>
        <w:t>TRANSATIONAL HIGHER EDUCATION IN THE UNITED KINGDOM: AN UP-DATE</w:t>
      </w:r>
      <w:r>
        <w:rPr>
          <w:rFonts w:ascii="Times New Roman" w:hAnsi="Times New Roman" w:cs="Times New Roman"/>
          <w:sz w:val="32"/>
          <w:szCs w:val="32"/>
        </w:rPr>
        <w:t xml:space="preserve"> </w:t>
      </w:r>
    </w:p>
    <w:p w14:paraId="388E08DC" w14:textId="77777777" w:rsidR="008E5827" w:rsidRPr="003C3AC2" w:rsidRDefault="008E5827" w:rsidP="008E5827">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32"/>
          <w:szCs w:val="32"/>
        </w:rPr>
      </w:pPr>
    </w:p>
    <w:p w14:paraId="3BF6C4ED" w14:textId="77777777" w:rsidR="008E5827"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04ED8C3F" w14:textId="77777777" w:rsidR="008E5827"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2829FFB1" w14:textId="77777777" w:rsidR="008E5827" w:rsidRPr="003C3AC2"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PAUL BENNELL</w:t>
      </w:r>
    </w:p>
    <w:p w14:paraId="6E42E29E" w14:textId="77777777" w:rsidR="008E5827" w:rsidRPr="003C3AC2"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 xml:space="preserve">KNOWLEDGE AND SKILLS FOR DEVELOPMENT </w:t>
      </w:r>
    </w:p>
    <w:p w14:paraId="16FCC5E1" w14:textId="77777777" w:rsidR="008E5827" w:rsidRPr="003C3AC2"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BRIGHTON, UK</w:t>
      </w:r>
    </w:p>
    <w:p w14:paraId="7A401397" w14:textId="77777777" w:rsidR="008E5827" w:rsidRPr="002E03C0"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14:paraId="073C734E" w14:textId="77777777" w:rsidR="008E5827" w:rsidRPr="002E03C0"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35203D18" w14:textId="77777777" w:rsidR="008E5827"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30D49FAE" w14:textId="77777777" w:rsidR="008E5827"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67FEA782" w14:textId="27E91FA6" w:rsidR="008E5827"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Pr>
          <w:rFonts w:ascii="Times New Roman" w:hAnsi="Times New Roman" w:cs="Times New Roman"/>
          <w:sz w:val="32"/>
          <w:szCs w:val="32"/>
        </w:rPr>
        <w:t>FEBRUARY</w:t>
      </w:r>
      <w:r>
        <w:rPr>
          <w:rFonts w:ascii="Times New Roman" w:hAnsi="Times New Roman" w:cs="Times New Roman"/>
          <w:sz w:val="32"/>
          <w:szCs w:val="32"/>
        </w:rPr>
        <w:t xml:space="preserve"> 2019</w:t>
      </w:r>
    </w:p>
    <w:p w14:paraId="2F6D0324" w14:textId="77777777" w:rsidR="008E5827" w:rsidRDefault="008E5827" w:rsidP="008E5827">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14:paraId="041E388D" w14:textId="77777777" w:rsidR="008E5827" w:rsidRDefault="008E5827" w:rsidP="008E5827">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rPr>
      </w:pPr>
      <w:r>
        <w:rPr>
          <w:rFonts w:ascii="Times New Roman" w:hAnsi="Times New Roman" w:cs="Times New Roman"/>
          <w:b/>
          <w:sz w:val="32"/>
          <w:szCs w:val="32"/>
        </w:rPr>
        <w:br w:type="page"/>
      </w:r>
    </w:p>
    <w:p w14:paraId="534B7C88" w14:textId="283305D3" w:rsidR="008E5827" w:rsidRDefault="008E5827">
      <w:pPr>
        <w:rPr>
          <w:rFonts w:cstheme="minorHAnsi"/>
          <w:sz w:val="36"/>
          <w:szCs w:val="36"/>
        </w:rPr>
      </w:pPr>
    </w:p>
    <w:p w14:paraId="48733B08" w14:textId="77777777" w:rsidR="007B19C2" w:rsidRDefault="007B19C2" w:rsidP="006E0567">
      <w:pPr>
        <w:jc w:val="center"/>
        <w:rPr>
          <w:rFonts w:cstheme="minorHAnsi"/>
          <w:sz w:val="36"/>
          <w:szCs w:val="36"/>
        </w:rPr>
      </w:pPr>
    </w:p>
    <w:p w14:paraId="372189F2" w14:textId="489B8923" w:rsidR="006E4CF4" w:rsidRPr="00E15746" w:rsidRDefault="009C70AB" w:rsidP="006E0567">
      <w:pPr>
        <w:jc w:val="center"/>
        <w:rPr>
          <w:rFonts w:cstheme="minorHAnsi"/>
          <w:b/>
          <w:sz w:val="36"/>
          <w:szCs w:val="36"/>
        </w:rPr>
      </w:pPr>
      <w:r>
        <w:rPr>
          <w:rFonts w:cstheme="minorHAnsi"/>
          <w:b/>
          <w:sz w:val="36"/>
          <w:szCs w:val="36"/>
        </w:rPr>
        <w:t xml:space="preserve">TRANSNATIONAL HIGHER EDUCATION </w:t>
      </w:r>
    </w:p>
    <w:p w14:paraId="1CB5CC0D" w14:textId="7FEB0870" w:rsidR="006E0567" w:rsidRPr="00E15746" w:rsidRDefault="001B267A" w:rsidP="006E0567">
      <w:pPr>
        <w:jc w:val="center"/>
        <w:rPr>
          <w:rFonts w:cstheme="minorHAnsi"/>
          <w:b/>
          <w:sz w:val="36"/>
          <w:szCs w:val="36"/>
        </w:rPr>
      </w:pPr>
      <w:r w:rsidRPr="00E15746">
        <w:rPr>
          <w:rFonts w:cstheme="minorHAnsi"/>
          <w:b/>
          <w:sz w:val="36"/>
          <w:szCs w:val="36"/>
        </w:rPr>
        <w:t>IN THE U</w:t>
      </w:r>
      <w:r w:rsidR="00E15746">
        <w:rPr>
          <w:rFonts w:cstheme="minorHAnsi"/>
          <w:b/>
          <w:sz w:val="36"/>
          <w:szCs w:val="36"/>
        </w:rPr>
        <w:t xml:space="preserve">NITED </w:t>
      </w:r>
      <w:r w:rsidRPr="00E15746">
        <w:rPr>
          <w:rFonts w:cstheme="minorHAnsi"/>
          <w:b/>
          <w:sz w:val="36"/>
          <w:szCs w:val="36"/>
        </w:rPr>
        <w:t>K</w:t>
      </w:r>
      <w:r w:rsidR="00E15746">
        <w:rPr>
          <w:rFonts w:cstheme="minorHAnsi"/>
          <w:b/>
          <w:sz w:val="36"/>
          <w:szCs w:val="36"/>
        </w:rPr>
        <w:t>INGDOM</w:t>
      </w:r>
      <w:r w:rsidR="00572D2E" w:rsidRPr="00E15746">
        <w:rPr>
          <w:rFonts w:cstheme="minorHAnsi"/>
          <w:b/>
          <w:sz w:val="36"/>
          <w:szCs w:val="36"/>
        </w:rPr>
        <w:t xml:space="preserve">: </w:t>
      </w:r>
      <w:r w:rsidR="006E0567" w:rsidRPr="00E15746">
        <w:rPr>
          <w:rFonts w:cstheme="minorHAnsi"/>
          <w:b/>
          <w:sz w:val="36"/>
          <w:szCs w:val="36"/>
        </w:rPr>
        <w:t>AN UP-DATE</w:t>
      </w:r>
    </w:p>
    <w:p w14:paraId="08A183EF" w14:textId="77777777" w:rsidR="007D3033" w:rsidRDefault="007D3033" w:rsidP="006E0567">
      <w:pPr>
        <w:jc w:val="center"/>
        <w:rPr>
          <w:rFonts w:cstheme="minorHAnsi"/>
          <w:sz w:val="36"/>
          <w:szCs w:val="36"/>
          <w:highlight w:val="lightGray"/>
        </w:rPr>
      </w:pPr>
    </w:p>
    <w:p w14:paraId="1BE1A7EB" w14:textId="77777777" w:rsidR="004F06BA" w:rsidRPr="006E4CF4" w:rsidRDefault="004F06BA" w:rsidP="006E0567">
      <w:pPr>
        <w:jc w:val="center"/>
        <w:rPr>
          <w:rFonts w:cstheme="minorHAnsi"/>
          <w:sz w:val="36"/>
          <w:szCs w:val="36"/>
          <w:highlight w:val="lightGray"/>
        </w:rPr>
      </w:pPr>
    </w:p>
    <w:p w14:paraId="72B3016B" w14:textId="0A4038AC" w:rsidR="00BE6CA4" w:rsidRPr="00A12CB2" w:rsidRDefault="007B19C2" w:rsidP="00BE6CA4">
      <w:pPr>
        <w:jc w:val="center"/>
        <w:rPr>
          <w:rFonts w:cstheme="minorHAnsi"/>
          <w:b/>
          <w:sz w:val="28"/>
          <w:szCs w:val="28"/>
        </w:rPr>
      </w:pPr>
      <w:r>
        <w:rPr>
          <w:rFonts w:cstheme="minorHAnsi"/>
          <w:b/>
          <w:sz w:val="28"/>
          <w:szCs w:val="28"/>
        </w:rPr>
        <w:t>A</w:t>
      </w:r>
      <w:r w:rsidR="00BE6CA4" w:rsidRPr="00A12CB2">
        <w:rPr>
          <w:rFonts w:cstheme="minorHAnsi"/>
          <w:b/>
          <w:sz w:val="28"/>
          <w:szCs w:val="28"/>
        </w:rPr>
        <w:t>BSTRACT</w:t>
      </w:r>
    </w:p>
    <w:p w14:paraId="68B16106" w14:textId="0CDE7061" w:rsidR="00BE6CA4" w:rsidRPr="00BC5984" w:rsidRDefault="00BE6CA4" w:rsidP="00BE6CA4">
      <w:pPr>
        <w:jc w:val="both"/>
        <w:rPr>
          <w:i/>
        </w:rPr>
      </w:pPr>
      <w:r w:rsidRPr="00BC5984">
        <w:rPr>
          <w:rFonts w:cstheme="minorHAnsi"/>
          <w:i/>
          <w:sz w:val="28"/>
          <w:szCs w:val="28"/>
        </w:rPr>
        <w:t>Th</w:t>
      </w:r>
      <w:r w:rsidR="007B19C2" w:rsidRPr="00BC5984">
        <w:rPr>
          <w:rFonts w:cstheme="minorHAnsi"/>
          <w:i/>
          <w:sz w:val="28"/>
          <w:szCs w:val="28"/>
        </w:rPr>
        <w:t xml:space="preserve">is paper </w:t>
      </w:r>
      <w:r w:rsidR="000019A9" w:rsidRPr="00BC5984">
        <w:rPr>
          <w:rFonts w:cstheme="minorHAnsi"/>
          <w:i/>
          <w:sz w:val="28"/>
          <w:szCs w:val="28"/>
        </w:rPr>
        <w:t xml:space="preserve">updates a </w:t>
      </w:r>
      <w:r w:rsidR="007B19C2" w:rsidRPr="00BC5984">
        <w:rPr>
          <w:rFonts w:cstheme="minorHAnsi"/>
          <w:i/>
          <w:sz w:val="28"/>
          <w:szCs w:val="28"/>
        </w:rPr>
        <w:t xml:space="preserve">review of offshore </w:t>
      </w:r>
      <w:r w:rsidR="000019A9" w:rsidRPr="00BC5984">
        <w:rPr>
          <w:rFonts w:cstheme="minorHAnsi"/>
          <w:i/>
          <w:sz w:val="28"/>
          <w:szCs w:val="28"/>
        </w:rPr>
        <w:t xml:space="preserve">enrolments of foreign students at British universities which was undertaken in </w:t>
      </w:r>
      <w:r w:rsidR="007B19C2" w:rsidRPr="00BC5984">
        <w:rPr>
          <w:rFonts w:cstheme="minorHAnsi"/>
          <w:i/>
          <w:sz w:val="28"/>
          <w:szCs w:val="28"/>
        </w:rPr>
        <w:t xml:space="preserve">the </w:t>
      </w:r>
      <w:r w:rsidR="000019A9" w:rsidRPr="00BC5984">
        <w:rPr>
          <w:rFonts w:cstheme="minorHAnsi"/>
          <w:i/>
          <w:sz w:val="28"/>
          <w:szCs w:val="28"/>
        </w:rPr>
        <w:t xml:space="preserve">mid-1990s. </w:t>
      </w:r>
      <w:r w:rsidR="009C70AB">
        <w:rPr>
          <w:rFonts w:cstheme="minorHAnsi"/>
          <w:i/>
          <w:sz w:val="28"/>
          <w:szCs w:val="28"/>
        </w:rPr>
        <w:t xml:space="preserve">Two </w:t>
      </w:r>
      <w:r w:rsidRPr="00BC5984">
        <w:rPr>
          <w:rFonts w:cstheme="minorHAnsi"/>
          <w:i/>
          <w:sz w:val="28"/>
          <w:szCs w:val="28"/>
        </w:rPr>
        <w:t>main conclusions can be drawn from this review update.</w:t>
      </w:r>
      <w:r w:rsidR="007B19C2" w:rsidRPr="00BC5984">
        <w:rPr>
          <w:rFonts w:cstheme="minorHAnsi"/>
          <w:i/>
          <w:sz w:val="28"/>
          <w:szCs w:val="28"/>
        </w:rPr>
        <w:t xml:space="preserve"> </w:t>
      </w:r>
      <w:r w:rsidRPr="00BC5984">
        <w:rPr>
          <w:rFonts w:cstheme="minorHAnsi"/>
          <w:i/>
          <w:sz w:val="28"/>
          <w:szCs w:val="28"/>
        </w:rPr>
        <w:t xml:space="preserve">First, the future prospects for </w:t>
      </w:r>
      <w:r w:rsidR="009C70AB">
        <w:rPr>
          <w:rFonts w:cstheme="minorHAnsi"/>
          <w:i/>
          <w:sz w:val="28"/>
          <w:szCs w:val="28"/>
        </w:rPr>
        <w:t xml:space="preserve">transnational higher education (TNE) </w:t>
      </w:r>
      <w:r w:rsidRPr="00BC5984">
        <w:rPr>
          <w:rFonts w:cstheme="minorHAnsi"/>
          <w:i/>
          <w:sz w:val="28"/>
          <w:szCs w:val="28"/>
        </w:rPr>
        <w:t xml:space="preserve">in the UK are quite uncertain. In particular, </w:t>
      </w:r>
      <w:r w:rsidR="000019A9" w:rsidRPr="00BC5984">
        <w:rPr>
          <w:rFonts w:cstheme="minorHAnsi"/>
          <w:i/>
          <w:sz w:val="28"/>
          <w:szCs w:val="28"/>
        </w:rPr>
        <w:t xml:space="preserve">the </w:t>
      </w:r>
      <w:r w:rsidRPr="00BC5984">
        <w:rPr>
          <w:rFonts w:cstheme="minorHAnsi"/>
          <w:i/>
          <w:sz w:val="28"/>
          <w:szCs w:val="28"/>
        </w:rPr>
        <w:t xml:space="preserve">growth </w:t>
      </w:r>
      <w:r w:rsidR="000019A9" w:rsidRPr="00BC5984">
        <w:rPr>
          <w:rFonts w:cstheme="minorHAnsi"/>
          <w:i/>
          <w:sz w:val="28"/>
          <w:szCs w:val="28"/>
        </w:rPr>
        <w:t xml:space="preserve">of </w:t>
      </w:r>
      <w:r w:rsidRPr="00BC5984">
        <w:rPr>
          <w:rFonts w:cstheme="minorHAnsi"/>
          <w:i/>
          <w:sz w:val="28"/>
          <w:szCs w:val="28"/>
        </w:rPr>
        <w:t>offshore overseas students has declined significantly during the last five years</w:t>
      </w:r>
      <w:r w:rsidR="009C70AB">
        <w:rPr>
          <w:rFonts w:cstheme="minorHAnsi"/>
          <w:i/>
          <w:sz w:val="28"/>
          <w:szCs w:val="28"/>
        </w:rPr>
        <w:t xml:space="preserve">. </w:t>
      </w:r>
      <w:r w:rsidRPr="00BC5984">
        <w:rPr>
          <w:rFonts w:cstheme="minorHAnsi"/>
          <w:i/>
          <w:sz w:val="28"/>
          <w:szCs w:val="28"/>
        </w:rPr>
        <w:t xml:space="preserve"> </w:t>
      </w:r>
      <w:r w:rsidR="009C70AB">
        <w:rPr>
          <w:rFonts w:cstheme="minorHAnsi"/>
          <w:i/>
          <w:sz w:val="28"/>
          <w:szCs w:val="28"/>
        </w:rPr>
        <w:t>And secondly</w:t>
      </w:r>
      <w:r w:rsidR="007B19C2" w:rsidRPr="00BC5984">
        <w:rPr>
          <w:rFonts w:cstheme="minorHAnsi"/>
          <w:i/>
          <w:sz w:val="28"/>
          <w:szCs w:val="28"/>
        </w:rPr>
        <w:t xml:space="preserve">, </w:t>
      </w:r>
      <w:r w:rsidR="000019A9" w:rsidRPr="00BC5984">
        <w:rPr>
          <w:rFonts w:cstheme="minorHAnsi"/>
          <w:i/>
          <w:sz w:val="28"/>
          <w:szCs w:val="28"/>
        </w:rPr>
        <w:t>i</w:t>
      </w:r>
      <w:r w:rsidRPr="00BC5984">
        <w:rPr>
          <w:rFonts w:cstheme="minorHAnsi"/>
          <w:i/>
          <w:sz w:val="28"/>
          <w:szCs w:val="28"/>
        </w:rPr>
        <w:t xml:space="preserve">n the face of low </w:t>
      </w:r>
      <w:r w:rsidR="000019A9" w:rsidRPr="00BC5984">
        <w:rPr>
          <w:rFonts w:cstheme="minorHAnsi"/>
          <w:i/>
          <w:sz w:val="28"/>
          <w:szCs w:val="28"/>
        </w:rPr>
        <w:t xml:space="preserve">financial </w:t>
      </w:r>
      <w:r w:rsidRPr="00BC5984">
        <w:rPr>
          <w:rFonts w:cstheme="minorHAnsi"/>
          <w:i/>
          <w:sz w:val="28"/>
          <w:szCs w:val="28"/>
        </w:rPr>
        <w:t xml:space="preserve">returns </w:t>
      </w:r>
      <w:r w:rsidR="000019A9" w:rsidRPr="00BC5984">
        <w:rPr>
          <w:rFonts w:cstheme="minorHAnsi"/>
          <w:i/>
          <w:sz w:val="28"/>
          <w:szCs w:val="28"/>
        </w:rPr>
        <w:t xml:space="preserve">to the bulk of </w:t>
      </w:r>
      <w:r w:rsidR="009C70AB">
        <w:rPr>
          <w:rFonts w:cstheme="minorHAnsi"/>
          <w:i/>
          <w:sz w:val="28"/>
          <w:szCs w:val="28"/>
        </w:rPr>
        <w:t xml:space="preserve">TNE </w:t>
      </w:r>
      <w:r w:rsidR="000019A9" w:rsidRPr="00BC5984">
        <w:rPr>
          <w:rFonts w:cstheme="minorHAnsi"/>
          <w:i/>
          <w:sz w:val="28"/>
          <w:szCs w:val="28"/>
        </w:rPr>
        <w:t xml:space="preserve">offshore courses </w:t>
      </w:r>
      <w:r w:rsidRPr="00BC5984">
        <w:rPr>
          <w:rFonts w:cstheme="minorHAnsi"/>
          <w:i/>
          <w:sz w:val="28"/>
          <w:szCs w:val="28"/>
        </w:rPr>
        <w:t>coupled with other non-financial factors, UK universities are increasingly rationalising/consolidating their offshore provision. In particular, among those universities which are in a position to do so, more em</w:t>
      </w:r>
      <w:r w:rsidR="000019A9" w:rsidRPr="00BC5984">
        <w:rPr>
          <w:rFonts w:cstheme="minorHAnsi"/>
          <w:i/>
          <w:sz w:val="28"/>
          <w:szCs w:val="28"/>
        </w:rPr>
        <w:t>phasis is being given to higher-</w:t>
      </w:r>
      <w:r w:rsidRPr="00BC5984">
        <w:rPr>
          <w:rFonts w:cstheme="minorHAnsi"/>
          <w:i/>
          <w:sz w:val="28"/>
          <w:szCs w:val="28"/>
        </w:rPr>
        <w:t>return collaborative courses with overseas partners.</w:t>
      </w:r>
    </w:p>
    <w:p w14:paraId="3F9282DC" w14:textId="144CA412" w:rsidR="004F06BA" w:rsidRDefault="004F06BA">
      <w:pPr>
        <w:rPr>
          <w:rFonts w:ascii="Arial" w:hAnsi="Arial" w:cs="Arial"/>
          <w:b/>
          <w:sz w:val="24"/>
          <w:szCs w:val="24"/>
          <w:highlight w:val="lightGray"/>
        </w:rPr>
      </w:pPr>
      <w:r>
        <w:rPr>
          <w:rFonts w:ascii="Arial" w:hAnsi="Arial" w:cs="Arial"/>
          <w:b/>
          <w:sz w:val="24"/>
          <w:szCs w:val="24"/>
          <w:highlight w:val="lightGray"/>
        </w:rPr>
        <w:br w:type="page"/>
      </w:r>
    </w:p>
    <w:p w14:paraId="0ACB4C6B" w14:textId="77777777" w:rsidR="00AD033A" w:rsidRPr="00E15746" w:rsidRDefault="00AF34C7" w:rsidP="009137B4">
      <w:pPr>
        <w:pStyle w:val="Heading1"/>
      </w:pPr>
      <w:bookmarkStart w:id="1" w:name="_Toc531957295"/>
      <w:r w:rsidRPr="00E15746">
        <w:lastRenderedPageBreak/>
        <w:t>INTRODUCTION</w:t>
      </w:r>
      <w:bookmarkEnd w:id="1"/>
    </w:p>
    <w:p w14:paraId="7AF9B959" w14:textId="205193A7" w:rsidR="0083600E" w:rsidRPr="00F83903" w:rsidRDefault="006E0567" w:rsidP="00E114E2">
      <w:pPr>
        <w:jc w:val="both"/>
        <w:rPr>
          <w:rFonts w:cstheme="minorHAnsi"/>
          <w:sz w:val="28"/>
          <w:szCs w:val="28"/>
        </w:rPr>
      </w:pPr>
      <w:r w:rsidRPr="00F83903">
        <w:rPr>
          <w:rFonts w:cstheme="minorHAnsi"/>
          <w:sz w:val="28"/>
          <w:szCs w:val="28"/>
        </w:rPr>
        <w:t xml:space="preserve">Twenty years ago, I conducted the first comprehensive survey of </w:t>
      </w:r>
      <w:r w:rsidR="00671D41">
        <w:rPr>
          <w:rFonts w:cstheme="minorHAnsi"/>
          <w:sz w:val="28"/>
          <w:szCs w:val="28"/>
        </w:rPr>
        <w:t>trans</w:t>
      </w:r>
      <w:r w:rsidR="009C70AB">
        <w:rPr>
          <w:rFonts w:cstheme="minorHAnsi"/>
          <w:sz w:val="28"/>
          <w:szCs w:val="28"/>
        </w:rPr>
        <w:t>n</w:t>
      </w:r>
      <w:r w:rsidR="00671D41">
        <w:rPr>
          <w:rFonts w:cstheme="minorHAnsi"/>
          <w:sz w:val="28"/>
          <w:szCs w:val="28"/>
        </w:rPr>
        <w:t>a</w:t>
      </w:r>
      <w:r w:rsidR="009C70AB">
        <w:rPr>
          <w:rFonts w:cstheme="minorHAnsi"/>
          <w:sz w:val="28"/>
          <w:szCs w:val="28"/>
        </w:rPr>
        <w:t xml:space="preserve">tional higher </w:t>
      </w:r>
      <w:r w:rsidR="007D3033" w:rsidRPr="00F83903">
        <w:rPr>
          <w:rFonts w:cstheme="minorHAnsi"/>
          <w:sz w:val="28"/>
          <w:szCs w:val="28"/>
        </w:rPr>
        <w:t xml:space="preserve">education </w:t>
      </w:r>
      <w:r w:rsidR="009C70AB">
        <w:rPr>
          <w:rFonts w:cstheme="minorHAnsi"/>
          <w:sz w:val="28"/>
          <w:szCs w:val="28"/>
        </w:rPr>
        <w:t xml:space="preserve">in the United Kingdom </w:t>
      </w:r>
      <w:r w:rsidR="00FD7C2A" w:rsidRPr="00F83903">
        <w:rPr>
          <w:rFonts w:cstheme="minorHAnsi"/>
          <w:sz w:val="28"/>
          <w:szCs w:val="28"/>
        </w:rPr>
        <w:t xml:space="preserve">(Bennell, </w:t>
      </w:r>
      <w:r w:rsidR="00C7015B" w:rsidRPr="00F83903">
        <w:rPr>
          <w:rFonts w:cstheme="minorHAnsi"/>
          <w:sz w:val="28"/>
          <w:szCs w:val="28"/>
        </w:rPr>
        <w:t>1998</w:t>
      </w:r>
      <w:r w:rsidR="00FD7C2A" w:rsidRPr="00F83903">
        <w:rPr>
          <w:rFonts w:cstheme="minorHAnsi"/>
          <w:sz w:val="28"/>
          <w:szCs w:val="28"/>
        </w:rPr>
        <w:t>).</w:t>
      </w:r>
      <w:r w:rsidRPr="00F83903">
        <w:rPr>
          <w:rFonts w:cstheme="minorHAnsi"/>
          <w:sz w:val="28"/>
          <w:szCs w:val="28"/>
        </w:rPr>
        <w:t xml:space="preserve">  </w:t>
      </w:r>
      <w:r w:rsidR="00BC13C1" w:rsidRPr="00F83903">
        <w:rPr>
          <w:rFonts w:cstheme="minorHAnsi"/>
          <w:sz w:val="28"/>
          <w:szCs w:val="28"/>
        </w:rPr>
        <w:t xml:space="preserve">This paper updates and extends this review. Given the burgeoning of the </w:t>
      </w:r>
      <w:r w:rsidR="009C70AB">
        <w:rPr>
          <w:rFonts w:cstheme="minorHAnsi"/>
          <w:sz w:val="28"/>
          <w:szCs w:val="28"/>
        </w:rPr>
        <w:t>TNE</w:t>
      </w:r>
      <w:r w:rsidR="003C35B6" w:rsidRPr="00F83903">
        <w:rPr>
          <w:rFonts w:cstheme="minorHAnsi"/>
          <w:sz w:val="28"/>
          <w:szCs w:val="28"/>
        </w:rPr>
        <w:t xml:space="preserve"> </w:t>
      </w:r>
      <w:r w:rsidR="00BC13C1" w:rsidRPr="00F83903">
        <w:rPr>
          <w:rFonts w:cstheme="minorHAnsi"/>
          <w:sz w:val="28"/>
          <w:szCs w:val="28"/>
        </w:rPr>
        <w:t xml:space="preserve">literature since the late 1990s, it </w:t>
      </w:r>
      <w:r w:rsidR="00A90602" w:rsidRPr="00F83903">
        <w:rPr>
          <w:rFonts w:cstheme="minorHAnsi"/>
          <w:sz w:val="28"/>
          <w:szCs w:val="28"/>
        </w:rPr>
        <w:t>may seem</w:t>
      </w:r>
      <w:r w:rsidR="00BC13C1" w:rsidRPr="00F83903">
        <w:rPr>
          <w:rFonts w:cstheme="minorHAnsi"/>
          <w:sz w:val="28"/>
          <w:szCs w:val="28"/>
        </w:rPr>
        <w:t xml:space="preserve"> surprising that such an up</w:t>
      </w:r>
      <w:r w:rsidR="00A90602" w:rsidRPr="00F83903">
        <w:rPr>
          <w:rFonts w:cstheme="minorHAnsi"/>
          <w:sz w:val="28"/>
          <w:szCs w:val="28"/>
        </w:rPr>
        <w:t>-</w:t>
      </w:r>
      <w:r w:rsidR="00BC13C1" w:rsidRPr="00F83903">
        <w:rPr>
          <w:rFonts w:cstheme="minorHAnsi"/>
          <w:sz w:val="28"/>
          <w:szCs w:val="28"/>
        </w:rPr>
        <w:t xml:space="preserve">date is necessary. However, </w:t>
      </w:r>
      <w:r w:rsidR="00CC6B7B" w:rsidRPr="00F83903">
        <w:rPr>
          <w:rFonts w:cstheme="minorHAnsi"/>
          <w:sz w:val="28"/>
          <w:szCs w:val="28"/>
        </w:rPr>
        <w:t xml:space="preserve">all of the </w:t>
      </w:r>
      <w:r w:rsidR="003C35B6" w:rsidRPr="00F83903">
        <w:rPr>
          <w:rFonts w:cstheme="minorHAnsi"/>
          <w:sz w:val="28"/>
          <w:szCs w:val="28"/>
        </w:rPr>
        <w:t>high profile</w:t>
      </w:r>
      <w:r w:rsidR="00CC6B7B" w:rsidRPr="00F83903">
        <w:rPr>
          <w:rFonts w:cstheme="minorHAnsi"/>
          <w:sz w:val="28"/>
          <w:szCs w:val="28"/>
        </w:rPr>
        <w:t xml:space="preserve"> overview reports</w:t>
      </w:r>
      <w:r w:rsidR="00BC13C1" w:rsidRPr="00F83903">
        <w:rPr>
          <w:rFonts w:cstheme="minorHAnsi"/>
          <w:sz w:val="28"/>
          <w:szCs w:val="28"/>
        </w:rPr>
        <w:t xml:space="preserve"> that have been published </w:t>
      </w:r>
      <w:r w:rsidR="00572D2E" w:rsidRPr="00F83903">
        <w:rPr>
          <w:rFonts w:cstheme="minorHAnsi"/>
          <w:sz w:val="28"/>
          <w:szCs w:val="28"/>
        </w:rPr>
        <w:t xml:space="preserve">since then </w:t>
      </w:r>
      <w:r w:rsidR="00BC13C1" w:rsidRPr="00F83903">
        <w:rPr>
          <w:rFonts w:cstheme="minorHAnsi"/>
          <w:sz w:val="28"/>
          <w:szCs w:val="28"/>
        </w:rPr>
        <w:t xml:space="preserve">are </w:t>
      </w:r>
      <w:r w:rsidR="00CC6B7B" w:rsidRPr="00F83903">
        <w:rPr>
          <w:rFonts w:cstheme="minorHAnsi"/>
          <w:sz w:val="28"/>
          <w:szCs w:val="28"/>
        </w:rPr>
        <w:t xml:space="preserve">heavily </w:t>
      </w:r>
      <w:r w:rsidR="00BC13C1" w:rsidRPr="00F83903">
        <w:rPr>
          <w:rFonts w:cstheme="minorHAnsi"/>
          <w:sz w:val="28"/>
          <w:szCs w:val="28"/>
        </w:rPr>
        <w:t>descriptive and</w:t>
      </w:r>
      <w:r w:rsidR="00603DB7" w:rsidRPr="00F83903">
        <w:rPr>
          <w:rFonts w:cstheme="minorHAnsi"/>
          <w:sz w:val="28"/>
          <w:szCs w:val="28"/>
        </w:rPr>
        <w:t xml:space="preserve"> have been commissioned </w:t>
      </w:r>
      <w:r w:rsidR="00BC13C1" w:rsidRPr="00F83903">
        <w:rPr>
          <w:rFonts w:cstheme="minorHAnsi"/>
          <w:sz w:val="28"/>
          <w:szCs w:val="28"/>
        </w:rPr>
        <w:t xml:space="preserve">by </w:t>
      </w:r>
      <w:r w:rsidR="00C7015B" w:rsidRPr="00F83903">
        <w:rPr>
          <w:rFonts w:cstheme="minorHAnsi"/>
          <w:sz w:val="28"/>
          <w:szCs w:val="28"/>
        </w:rPr>
        <w:t xml:space="preserve">public </w:t>
      </w:r>
      <w:r w:rsidR="00BC13C1" w:rsidRPr="00F83903">
        <w:rPr>
          <w:rFonts w:cstheme="minorHAnsi"/>
          <w:sz w:val="28"/>
          <w:szCs w:val="28"/>
        </w:rPr>
        <w:t xml:space="preserve">organisations </w:t>
      </w:r>
      <w:r w:rsidR="00C7015B" w:rsidRPr="00F83903">
        <w:rPr>
          <w:rFonts w:cstheme="minorHAnsi"/>
          <w:sz w:val="28"/>
          <w:szCs w:val="28"/>
        </w:rPr>
        <w:t xml:space="preserve">most notably </w:t>
      </w:r>
      <w:r w:rsidR="00BC13C1" w:rsidRPr="00F83903">
        <w:rPr>
          <w:rFonts w:cstheme="minorHAnsi"/>
          <w:sz w:val="28"/>
          <w:szCs w:val="28"/>
        </w:rPr>
        <w:t>the British Council</w:t>
      </w:r>
      <w:r w:rsidR="00C7015B" w:rsidRPr="00F83903">
        <w:rPr>
          <w:rFonts w:cstheme="minorHAnsi"/>
          <w:sz w:val="28"/>
          <w:szCs w:val="28"/>
        </w:rPr>
        <w:t xml:space="preserve">, </w:t>
      </w:r>
      <w:r w:rsidR="00BC13C1" w:rsidRPr="00F83903">
        <w:rPr>
          <w:rFonts w:cstheme="minorHAnsi"/>
          <w:sz w:val="28"/>
          <w:szCs w:val="28"/>
        </w:rPr>
        <w:t xml:space="preserve">Universities UK </w:t>
      </w:r>
      <w:r w:rsidR="00C7015B" w:rsidRPr="00F83903">
        <w:rPr>
          <w:rFonts w:cstheme="minorHAnsi"/>
          <w:sz w:val="28"/>
          <w:szCs w:val="28"/>
        </w:rPr>
        <w:t xml:space="preserve">and the UK Department of Business, Innovation and Skills </w:t>
      </w:r>
      <w:r w:rsidR="00BC13C1" w:rsidRPr="00F83903">
        <w:rPr>
          <w:rFonts w:cstheme="minorHAnsi"/>
          <w:sz w:val="28"/>
          <w:szCs w:val="28"/>
        </w:rPr>
        <w:t>which actively promot</w:t>
      </w:r>
      <w:r w:rsidR="00572D2E" w:rsidRPr="00F83903">
        <w:rPr>
          <w:rFonts w:cstheme="minorHAnsi"/>
          <w:sz w:val="28"/>
          <w:szCs w:val="28"/>
        </w:rPr>
        <w:t>e UK</w:t>
      </w:r>
      <w:r w:rsidR="00BC13C1" w:rsidRPr="00F83903">
        <w:rPr>
          <w:rFonts w:cstheme="minorHAnsi"/>
          <w:sz w:val="28"/>
          <w:szCs w:val="28"/>
        </w:rPr>
        <w:t xml:space="preserve"> </w:t>
      </w:r>
      <w:r w:rsidR="003C35B6" w:rsidRPr="00F83903">
        <w:rPr>
          <w:rFonts w:cstheme="minorHAnsi"/>
          <w:sz w:val="28"/>
          <w:szCs w:val="28"/>
        </w:rPr>
        <w:t>‘</w:t>
      </w:r>
      <w:r w:rsidR="00BC13C1" w:rsidRPr="00F83903">
        <w:rPr>
          <w:rFonts w:cstheme="minorHAnsi"/>
          <w:sz w:val="28"/>
          <w:szCs w:val="28"/>
        </w:rPr>
        <w:t xml:space="preserve">education </w:t>
      </w:r>
      <w:r w:rsidR="003C35B6" w:rsidRPr="00F83903">
        <w:rPr>
          <w:rFonts w:cstheme="minorHAnsi"/>
          <w:sz w:val="28"/>
          <w:szCs w:val="28"/>
        </w:rPr>
        <w:t>exports’ and ‘transnational education’</w:t>
      </w:r>
      <w:r w:rsidR="00C7015B" w:rsidRPr="00F83903">
        <w:rPr>
          <w:rFonts w:cstheme="minorHAnsi"/>
          <w:sz w:val="28"/>
          <w:szCs w:val="28"/>
        </w:rPr>
        <w:t xml:space="preserve">. As such, </w:t>
      </w:r>
      <w:r w:rsidR="00BC13C1" w:rsidRPr="00F83903">
        <w:rPr>
          <w:rFonts w:cstheme="minorHAnsi"/>
          <w:sz w:val="28"/>
          <w:szCs w:val="28"/>
        </w:rPr>
        <w:t>they are strongly advocacy-</w:t>
      </w:r>
      <w:r w:rsidR="00F33355" w:rsidRPr="00F83903">
        <w:rPr>
          <w:rFonts w:cstheme="minorHAnsi"/>
          <w:sz w:val="28"/>
          <w:szCs w:val="28"/>
        </w:rPr>
        <w:t>based</w:t>
      </w:r>
      <w:r w:rsidR="00C7015B" w:rsidRPr="00F83903">
        <w:rPr>
          <w:rFonts w:cstheme="minorHAnsi"/>
          <w:sz w:val="28"/>
          <w:szCs w:val="28"/>
        </w:rPr>
        <w:t xml:space="preserve"> and are particularly concerned to highlight the overall </w:t>
      </w:r>
      <w:r w:rsidR="009C70AB">
        <w:rPr>
          <w:rFonts w:cstheme="minorHAnsi"/>
          <w:sz w:val="28"/>
          <w:szCs w:val="28"/>
        </w:rPr>
        <w:t xml:space="preserve">scale and </w:t>
      </w:r>
      <w:r w:rsidR="004151EB" w:rsidRPr="00F83903">
        <w:rPr>
          <w:rFonts w:cstheme="minorHAnsi"/>
          <w:sz w:val="28"/>
          <w:szCs w:val="28"/>
        </w:rPr>
        <w:t>‘</w:t>
      </w:r>
      <w:r w:rsidR="00C7015B" w:rsidRPr="00F83903">
        <w:rPr>
          <w:rFonts w:cstheme="minorHAnsi"/>
          <w:sz w:val="28"/>
          <w:szCs w:val="28"/>
        </w:rPr>
        <w:t>value</w:t>
      </w:r>
      <w:r w:rsidR="004151EB" w:rsidRPr="00F83903">
        <w:rPr>
          <w:rFonts w:cstheme="minorHAnsi"/>
          <w:sz w:val="28"/>
          <w:szCs w:val="28"/>
        </w:rPr>
        <w:t>’</w:t>
      </w:r>
      <w:r w:rsidR="00C7015B" w:rsidRPr="00F83903">
        <w:rPr>
          <w:rFonts w:cstheme="minorHAnsi"/>
          <w:sz w:val="28"/>
          <w:szCs w:val="28"/>
        </w:rPr>
        <w:t xml:space="preserve"> of this new type of education provision for the higher education sector and the wider UK economy</w:t>
      </w:r>
      <w:r w:rsidR="00F33355" w:rsidRPr="00F83903">
        <w:rPr>
          <w:rFonts w:cstheme="minorHAnsi"/>
          <w:sz w:val="28"/>
          <w:szCs w:val="28"/>
        </w:rPr>
        <w:t xml:space="preserve">. </w:t>
      </w:r>
      <w:r w:rsidR="00BC13C1" w:rsidRPr="00F83903">
        <w:rPr>
          <w:rFonts w:cstheme="minorHAnsi"/>
          <w:sz w:val="28"/>
          <w:szCs w:val="28"/>
        </w:rPr>
        <w:t>M</w:t>
      </w:r>
      <w:r w:rsidR="00F33355" w:rsidRPr="00F83903">
        <w:rPr>
          <w:rFonts w:cstheme="minorHAnsi"/>
          <w:sz w:val="28"/>
          <w:szCs w:val="28"/>
        </w:rPr>
        <w:t xml:space="preserve">ore </w:t>
      </w:r>
      <w:r w:rsidR="00C7015B" w:rsidRPr="00F83903">
        <w:rPr>
          <w:rFonts w:cstheme="minorHAnsi"/>
          <w:sz w:val="28"/>
          <w:szCs w:val="28"/>
        </w:rPr>
        <w:t xml:space="preserve">in-depth and unbiased </w:t>
      </w:r>
      <w:r w:rsidR="00F33355" w:rsidRPr="00F83903">
        <w:rPr>
          <w:rFonts w:cstheme="minorHAnsi"/>
          <w:sz w:val="28"/>
          <w:szCs w:val="28"/>
        </w:rPr>
        <w:t>analy</w:t>
      </w:r>
      <w:r w:rsidR="00C7015B" w:rsidRPr="00F83903">
        <w:rPr>
          <w:rFonts w:cstheme="minorHAnsi"/>
          <w:sz w:val="28"/>
          <w:szCs w:val="28"/>
        </w:rPr>
        <w:t xml:space="preserve">sis </w:t>
      </w:r>
      <w:r w:rsidR="00D03CB5" w:rsidRPr="00F83903">
        <w:rPr>
          <w:rFonts w:cstheme="minorHAnsi"/>
          <w:sz w:val="28"/>
          <w:szCs w:val="28"/>
        </w:rPr>
        <w:t>is, therefore, needed</w:t>
      </w:r>
      <w:r w:rsidR="00BC13C1" w:rsidRPr="00F83903">
        <w:rPr>
          <w:rFonts w:cstheme="minorHAnsi"/>
          <w:sz w:val="28"/>
          <w:szCs w:val="28"/>
        </w:rPr>
        <w:t xml:space="preserve">. </w:t>
      </w:r>
    </w:p>
    <w:p w14:paraId="4F5D15AC" w14:textId="476A972B" w:rsidR="00603DB7" w:rsidRDefault="000019A9" w:rsidP="00E114E2">
      <w:pPr>
        <w:jc w:val="both"/>
        <w:rPr>
          <w:rFonts w:cstheme="minorHAnsi"/>
          <w:sz w:val="28"/>
          <w:szCs w:val="28"/>
        </w:rPr>
      </w:pPr>
      <w:r>
        <w:rPr>
          <w:rFonts w:cstheme="minorHAnsi"/>
          <w:sz w:val="28"/>
          <w:szCs w:val="28"/>
        </w:rPr>
        <w:t xml:space="preserve">The paper is structured as follows. </w:t>
      </w:r>
      <w:r w:rsidR="00BC5984">
        <w:rPr>
          <w:rFonts w:cstheme="minorHAnsi"/>
          <w:sz w:val="28"/>
          <w:szCs w:val="28"/>
        </w:rPr>
        <w:t xml:space="preserve"> </w:t>
      </w:r>
      <w:r w:rsidR="00E114E2" w:rsidRPr="00F83903">
        <w:rPr>
          <w:rFonts w:cstheme="minorHAnsi"/>
          <w:sz w:val="28"/>
          <w:szCs w:val="28"/>
        </w:rPr>
        <w:t xml:space="preserve">Section 2 describes the </w:t>
      </w:r>
      <w:r w:rsidR="00BC5984">
        <w:rPr>
          <w:rFonts w:cstheme="minorHAnsi"/>
          <w:sz w:val="28"/>
          <w:szCs w:val="28"/>
        </w:rPr>
        <w:t xml:space="preserve">review </w:t>
      </w:r>
      <w:r w:rsidR="00E114E2" w:rsidRPr="00F83903">
        <w:rPr>
          <w:rFonts w:cstheme="minorHAnsi"/>
          <w:sz w:val="28"/>
          <w:szCs w:val="28"/>
        </w:rPr>
        <w:t xml:space="preserve">methodology. </w:t>
      </w:r>
      <w:r w:rsidR="00024B80" w:rsidRPr="00F83903">
        <w:rPr>
          <w:rFonts w:cstheme="minorHAnsi"/>
          <w:sz w:val="28"/>
          <w:szCs w:val="28"/>
        </w:rPr>
        <w:t xml:space="preserve">Section 3 gives a brief </w:t>
      </w:r>
      <w:r w:rsidR="00671D41">
        <w:rPr>
          <w:rFonts w:cstheme="minorHAnsi"/>
          <w:sz w:val="28"/>
          <w:szCs w:val="28"/>
        </w:rPr>
        <w:t xml:space="preserve">contextual </w:t>
      </w:r>
      <w:r w:rsidR="00024B80" w:rsidRPr="00F83903">
        <w:rPr>
          <w:rFonts w:cstheme="minorHAnsi"/>
          <w:sz w:val="28"/>
          <w:szCs w:val="28"/>
        </w:rPr>
        <w:t>overview of the main trends in UK and non-UK enrolments at British un</w:t>
      </w:r>
      <w:r w:rsidR="00671D41">
        <w:rPr>
          <w:rFonts w:cstheme="minorHAnsi"/>
          <w:sz w:val="28"/>
          <w:szCs w:val="28"/>
        </w:rPr>
        <w:t>iversities since the late 1990s</w:t>
      </w:r>
      <w:r w:rsidR="00024B80" w:rsidRPr="00F83903">
        <w:rPr>
          <w:rFonts w:cstheme="minorHAnsi"/>
          <w:sz w:val="28"/>
          <w:szCs w:val="28"/>
        </w:rPr>
        <w:t xml:space="preserve">. </w:t>
      </w:r>
      <w:r w:rsidR="00E114E2" w:rsidRPr="00F83903">
        <w:rPr>
          <w:rFonts w:cstheme="minorHAnsi"/>
          <w:sz w:val="28"/>
          <w:szCs w:val="28"/>
        </w:rPr>
        <w:t>Section</w:t>
      </w:r>
      <w:r w:rsidR="00024B80" w:rsidRPr="00F83903">
        <w:rPr>
          <w:rFonts w:cstheme="minorHAnsi"/>
          <w:sz w:val="28"/>
          <w:szCs w:val="28"/>
        </w:rPr>
        <w:t xml:space="preserve"> 4 </w:t>
      </w:r>
      <w:r w:rsidR="007D3033" w:rsidRPr="00F83903">
        <w:rPr>
          <w:rFonts w:cstheme="minorHAnsi"/>
          <w:sz w:val="28"/>
          <w:szCs w:val="28"/>
        </w:rPr>
        <w:t xml:space="preserve">then </w:t>
      </w:r>
      <w:r w:rsidR="00572D2E" w:rsidRPr="00F83903">
        <w:rPr>
          <w:rFonts w:cstheme="minorHAnsi"/>
          <w:sz w:val="28"/>
          <w:szCs w:val="28"/>
        </w:rPr>
        <w:t>present</w:t>
      </w:r>
      <w:r w:rsidR="00671D41">
        <w:rPr>
          <w:rFonts w:cstheme="minorHAnsi"/>
          <w:sz w:val="28"/>
          <w:szCs w:val="28"/>
        </w:rPr>
        <w:t>s</w:t>
      </w:r>
      <w:r w:rsidR="00572D2E" w:rsidRPr="00F83903">
        <w:rPr>
          <w:rFonts w:cstheme="minorHAnsi"/>
          <w:sz w:val="28"/>
          <w:szCs w:val="28"/>
        </w:rPr>
        <w:t xml:space="preserve"> </w:t>
      </w:r>
      <w:r w:rsidR="00671D41">
        <w:rPr>
          <w:rFonts w:cstheme="minorHAnsi"/>
          <w:sz w:val="28"/>
          <w:szCs w:val="28"/>
        </w:rPr>
        <w:t xml:space="preserve">an </w:t>
      </w:r>
      <w:r w:rsidR="007D3033" w:rsidRPr="00F83903">
        <w:rPr>
          <w:rFonts w:cstheme="minorHAnsi"/>
          <w:sz w:val="28"/>
          <w:szCs w:val="28"/>
        </w:rPr>
        <w:t xml:space="preserve">in-depth analysis </w:t>
      </w:r>
      <w:r w:rsidR="00E114E2" w:rsidRPr="00F83903">
        <w:rPr>
          <w:rFonts w:cstheme="minorHAnsi"/>
          <w:sz w:val="28"/>
          <w:szCs w:val="28"/>
        </w:rPr>
        <w:t xml:space="preserve">of </w:t>
      </w:r>
      <w:r w:rsidR="00671D41">
        <w:rPr>
          <w:rFonts w:cstheme="minorHAnsi"/>
          <w:sz w:val="28"/>
          <w:szCs w:val="28"/>
        </w:rPr>
        <w:t>offshore provision.</w:t>
      </w:r>
      <w:r w:rsidR="00024B80" w:rsidRPr="00F83903">
        <w:rPr>
          <w:rFonts w:cstheme="minorHAnsi"/>
          <w:sz w:val="28"/>
          <w:szCs w:val="28"/>
        </w:rPr>
        <w:t xml:space="preserve"> S</w:t>
      </w:r>
      <w:r w:rsidR="00F85ED6" w:rsidRPr="00F83903">
        <w:rPr>
          <w:rFonts w:cstheme="minorHAnsi"/>
          <w:sz w:val="28"/>
          <w:szCs w:val="28"/>
        </w:rPr>
        <w:t xml:space="preserve">ection </w:t>
      </w:r>
      <w:r w:rsidR="00671D41">
        <w:rPr>
          <w:rFonts w:cstheme="minorHAnsi"/>
          <w:sz w:val="28"/>
          <w:szCs w:val="28"/>
        </w:rPr>
        <w:t>5</w:t>
      </w:r>
      <w:r w:rsidR="00024B80" w:rsidRPr="00F83903">
        <w:rPr>
          <w:rFonts w:cstheme="minorHAnsi"/>
          <w:sz w:val="28"/>
          <w:szCs w:val="28"/>
        </w:rPr>
        <w:t xml:space="preserve"> </w:t>
      </w:r>
      <w:r w:rsidR="00F85ED6" w:rsidRPr="00F83903">
        <w:rPr>
          <w:rFonts w:cstheme="minorHAnsi"/>
          <w:sz w:val="28"/>
          <w:szCs w:val="28"/>
        </w:rPr>
        <w:t>consider</w:t>
      </w:r>
      <w:r w:rsidR="004F06BA">
        <w:rPr>
          <w:rFonts w:cstheme="minorHAnsi"/>
          <w:sz w:val="28"/>
          <w:szCs w:val="28"/>
        </w:rPr>
        <w:t>s</w:t>
      </w:r>
      <w:r w:rsidR="00F85ED6" w:rsidRPr="00F83903">
        <w:rPr>
          <w:rFonts w:cstheme="minorHAnsi"/>
          <w:sz w:val="28"/>
          <w:szCs w:val="28"/>
        </w:rPr>
        <w:t>, in the light of this analysis, what are the possible prospects for education internationalisation in the UK during the next decade.</w:t>
      </w:r>
    </w:p>
    <w:p w14:paraId="1633F42D" w14:textId="77777777" w:rsidR="00671D41" w:rsidRDefault="00671D41" w:rsidP="00E114E2">
      <w:pPr>
        <w:jc w:val="both"/>
        <w:rPr>
          <w:rFonts w:cstheme="minorHAnsi"/>
          <w:sz w:val="28"/>
          <w:szCs w:val="28"/>
        </w:rPr>
      </w:pPr>
    </w:p>
    <w:p w14:paraId="57712ADD" w14:textId="3FC23F24" w:rsidR="00F325DE" w:rsidRPr="00E15746" w:rsidRDefault="005F0ECA" w:rsidP="00BC5984">
      <w:pPr>
        <w:pStyle w:val="FILHeader1"/>
      </w:pPr>
      <w:bookmarkStart w:id="2" w:name="_Toc531957296"/>
      <w:r w:rsidRPr="00E15746">
        <w:t xml:space="preserve">REVIEW </w:t>
      </w:r>
      <w:r w:rsidR="00EA2114" w:rsidRPr="00E15746">
        <w:t>METHODOLOGY</w:t>
      </w:r>
      <w:bookmarkEnd w:id="2"/>
    </w:p>
    <w:p w14:paraId="59BDAFE6" w14:textId="77777777" w:rsidR="00671D41" w:rsidRDefault="007C66D1" w:rsidP="00671D41">
      <w:pPr>
        <w:jc w:val="both"/>
        <w:rPr>
          <w:rFonts w:cstheme="minorHAnsi"/>
          <w:sz w:val="28"/>
          <w:szCs w:val="28"/>
        </w:rPr>
      </w:pPr>
      <w:r w:rsidRPr="00F83903">
        <w:rPr>
          <w:rFonts w:cstheme="minorHAnsi"/>
          <w:sz w:val="28"/>
          <w:szCs w:val="28"/>
        </w:rPr>
        <w:t xml:space="preserve">The review combines primary data from a comprehensive survey of UK universities with secondary statistics mainly from the Higher Education Statistics Agency (HESA).  </w:t>
      </w:r>
      <w:bookmarkStart w:id="3" w:name="_Toc531957297"/>
    </w:p>
    <w:p w14:paraId="5BA3BEED" w14:textId="5D11FD6C" w:rsidR="002B5CA0" w:rsidRPr="00E15746" w:rsidRDefault="00671D41" w:rsidP="00671D41">
      <w:pPr>
        <w:jc w:val="both"/>
        <w:rPr>
          <w:b/>
          <w:sz w:val="28"/>
          <w:szCs w:val="28"/>
        </w:rPr>
      </w:pPr>
      <w:r>
        <w:rPr>
          <w:b/>
          <w:sz w:val="28"/>
          <w:szCs w:val="28"/>
        </w:rPr>
        <w:t>2</w:t>
      </w:r>
      <w:r w:rsidR="00C0469B" w:rsidRPr="00E15746">
        <w:rPr>
          <w:b/>
          <w:sz w:val="28"/>
          <w:szCs w:val="28"/>
        </w:rPr>
        <w:t>.1 HESA STATISTICS</w:t>
      </w:r>
      <w:bookmarkEnd w:id="3"/>
    </w:p>
    <w:p w14:paraId="33E0831C" w14:textId="45B6481C" w:rsidR="008050F8" w:rsidRPr="00F83903" w:rsidRDefault="00BC5984" w:rsidP="00E114E2">
      <w:pPr>
        <w:jc w:val="both"/>
        <w:rPr>
          <w:rFonts w:cstheme="minorHAnsi"/>
          <w:sz w:val="28"/>
          <w:szCs w:val="28"/>
        </w:rPr>
      </w:pPr>
      <w:r>
        <w:rPr>
          <w:rFonts w:cstheme="minorHAnsi"/>
          <w:sz w:val="28"/>
          <w:szCs w:val="28"/>
        </w:rPr>
        <w:t>The Higher Education Statistics Agency (</w:t>
      </w:r>
      <w:r w:rsidR="007C66D1" w:rsidRPr="00F83903">
        <w:rPr>
          <w:rFonts w:cstheme="minorHAnsi"/>
          <w:sz w:val="28"/>
          <w:szCs w:val="28"/>
        </w:rPr>
        <w:t>HESA</w:t>
      </w:r>
      <w:r>
        <w:rPr>
          <w:rFonts w:cstheme="minorHAnsi"/>
          <w:sz w:val="28"/>
          <w:szCs w:val="28"/>
        </w:rPr>
        <w:t>)</w:t>
      </w:r>
      <w:r w:rsidR="00D03CB5" w:rsidRPr="00F83903">
        <w:rPr>
          <w:rFonts w:cstheme="minorHAnsi"/>
          <w:sz w:val="28"/>
          <w:szCs w:val="28"/>
        </w:rPr>
        <w:t xml:space="preserve"> </w:t>
      </w:r>
      <w:r w:rsidR="0019697C" w:rsidRPr="00F83903">
        <w:rPr>
          <w:rFonts w:cstheme="minorHAnsi"/>
          <w:sz w:val="28"/>
          <w:szCs w:val="28"/>
        </w:rPr>
        <w:t xml:space="preserve">has collected basic data on </w:t>
      </w:r>
      <w:r w:rsidR="00885B8B" w:rsidRPr="00F83903">
        <w:rPr>
          <w:rFonts w:cstheme="minorHAnsi"/>
          <w:sz w:val="28"/>
          <w:szCs w:val="28"/>
        </w:rPr>
        <w:t xml:space="preserve">UK university </w:t>
      </w:r>
      <w:r w:rsidR="0019697C" w:rsidRPr="00F83903">
        <w:rPr>
          <w:rFonts w:cstheme="minorHAnsi"/>
          <w:sz w:val="28"/>
          <w:szCs w:val="28"/>
        </w:rPr>
        <w:t xml:space="preserve">offshore provision </w:t>
      </w:r>
      <w:r w:rsidR="00D03CB5" w:rsidRPr="00F83903">
        <w:rPr>
          <w:rFonts w:cstheme="minorHAnsi"/>
          <w:sz w:val="28"/>
          <w:szCs w:val="28"/>
        </w:rPr>
        <w:t xml:space="preserve">since 2007/2008. </w:t>
      </w:r>
      <w:r w:rsidR="002479AD" w:rsidRPr="00F83903">
        <w:rPr>
          <w:rFonts w:cstheme="minorHAnsi"/>
          <w:sz w:val="28"/>
          <w:szCs w:val="28"/>
        </w:rPr>
        <w:t xml:space="preserve">As part of this </w:t>
      </w:r>
      <w:r w:rsidR="007C66D1" w:rsidRPr="00F83903">
        <w:rPr>
          <w:rFonts w:cstheme="minorHAnsi"/>
          <w:sz w:val="28"/>
          <w:szCs w:val="28"/>
        </w:rPr>
        <w:t>‘</w:t>
      </w:r>
      <w:r w:rsidR="002479AD" w:rsidRPr="00F83903">
        <w:rPr>
          <w:rFonts w:cstheme="minorHAnsi"/>
          <w:sz w:val="28"/>
          <w:szCs w:val="28"/>
        </w:rPr>
        <w:t>Aggregate Offshore Record</w:t>
      </w:r>
      <w:r w:rsidR="007C66D1" w:rsidRPr="00F83903">
        <w:rPr>
          <w:rFonts w:cstheme="minorHAnsi"/>
          <w:sz w:val="28"/>
          <w:szCs w:val="28"/>
        </w:rPr>
        <w:t>’ (AOR)</w:t>
      </w:r>
      <w:r w:rsidR="002479AD" w:rsidRPr="00F83903">
        <w:rPr>
          <w:rFonts w:cstheme="minorHAnsi"/>
          <w:sz w:val="28"/>
          <w:szCs w:val="28"/>
        </w:rPr>
        <w:t>, e</w:t>
      </w:r>
      <w:r w:rsidR="00D03CB5" w:rsidRPr="00F83903">
        <w:rPr>
          <w:rFonts w:cstheme="minorHAnsi"/>
          <w:sz w:val="28"/>
          <w:szCs w:val="28"/>
        </w:rPr>
        <w:t>very</w:t>
      </w:r>
      <w:r w:rsidR="0019697C" w:rsidRPr="00F83903">
        <w:rPr>
          <w:rFonts w:cstheme="minorHAnsi"/>
          <w:sz w:val="28"/>
          <w:szCs w:val="28"/>
        </w:rPr>
        <w:t xml:space="preserve"> UK university must provide </w:t>
      </w:r>
      <w:r w:rsidR="00BB0EF0" w:rsidRPr="00F83903">
        <w:rPr>
          <w:rFonts w:cstheme="minorHAnsi"/>
          <w:sz w:val="28"/>
          <w:szCs w:val="28"/>
        </w:rPr>
        <w:t>(annually) overall offshore enrolment figures by type of TNE provision and</w:t>
      </w:r>
      <w:r w:rsidR="0019697C" w:rsidRPr="00F83903">
        <w:rPr>
          <w:rFonts w:cstheme="minorHAnsi"/>
          <w:sz w:val="28"/>
          <w:szCs w:val="28"/>
        </w:rPr>
        <w:t xml:space="preserve"> qualification level</w:t>
      </w:r>
      <w:r w:rsidR="00BB0EF0" w:rsidRPr="00F83903">
        <w:rPr>
          <w:rFonts w:cstheme="minorHAnsi"/>
          <w:sz w:val="28"/>
          <w:szCs w:val="28"/>
        </w:rPr>
        <w:t xml:space="preserve"> for every overseas country where it has offshore students</w:t>
      </w:r>
      <w:r w:rsidR="00BB0EF0" w:rsidRPr="00F83903">
        <w:rPr>
          <w:rStyle w:val="EndnoteReference"/>
          <w:rFonts w:cstheme="minorHAnsi"/>
          <w:sz w:val="28"/>
          <w:szCs w:val="28"/>
        </w:rPr>
        <w:endnoteReference w:id="1"/>
      </w:r>
      <w:r w:rsidR="00BB0EF0" w:rsidRPr="00F83903">
        <w:rPr>
          <w:rFonts w:cstheme="minorHAnsi"/>
          <w:sz w:val="28"/>
          <w:szCs w:val="28"/>
        </w:rPr>
        <w:t xml:space="preserve">. </w:t>
      </w:r>
      <w:r w:rsidR="008050F8" w:rsidRPr="00F83903">
        <w:rPr>
          <w:rFonts w:cstheme="minorHAnsi"/>
          <w:sz w:val="28"/>
          <w:szCs w:val="28"/>
        </w:rPr>
        <w:t xml:space="preserve">No AOR data is collected </w:t>
      </w:r>
      <w:r w:rsidR="008050F8" w:rsidRPr="00F83903">
        <w:rPr>
          <w:rFonts w:cstheme="minorHAnsi"/>
          <w:sz w:val="28"/>
          <w:szCs w:val="28"/>
        </w:rPr>
        <w:lastRenderedPageBreak/>
        <w:t xml:space="preserve">on the names/numbers, duration and ownership type of overseas partners, subject enrolments, student gender and revenues and expenditures.   </w:t>
      </w:r>
    </w:p>
    <w:p w14:paraId="47128A0F" w14:textId="77777777" w:rsidR="00B51452" w:rsidRPr="00F83903" w:rsidRDefault="00D03CB5" w:rsidP="00E114E2">
      <w:pPr>
        <w:jc w:val="both"/>
        <w:rPr>
          <w:rFonts w:cstheme="minorHAnsi"/>
          <w:sz w:val="28"/>
          <w:szCs w:val="28"/>
        </w:rPr>
      </w:pPr>
      <w:r w:rsidRPr="00F83903">
        <w:rPr>
          <w:rFonts w:cstheme="minorHAnsi"/>
          <w:sz w:val="28"/>
          <w:szCs w:val="28"/>
        </w:rPr>
        <w:t>HESA classifies offshore p</w:t>
      </w:r>
      <w:r w:rsidR="00B51452" w:rsidRPr="00F83903">
        <w:rPr>
          <w:rFonts w:cstheme="minorHAnsi"/>
          <w:sz w:val="28"/>
          <w:szCs w:val="28"/>
        </w:rPr>
        <w:t>rovision into the following main</w:t>
      </w:r>
      <w:r w:rsidRPr="00F83903">
        <w:rPr>
          <w:rFonts w:cstheme="minorHAnsi"/>
          <w:sz w:val="28"/>
          <w:szCs w:val="28"/>
        </w:rPr>
        <w:t xml:space="preserve"> categories:</w:t>
      </w:r>
    </w:p>
    <w:p w14:paraId="2D4746D4" w14:textId="77777777" w:rsidR="00B51452" w:rsidRPr="00F83903" w:rsidRDefault="00B51452" w:rsidP="008157EF">
      <w:pPr>
        <w:pStyle w:val="ListParagraph"/>
        <w:numPr>
          <w:ilvl w:val="0"/>
          <w:numId w:val="18"/>
        </w:numPr>
        <w:jc w:val="both"/>
        <w:rPr>
          <w:rFonts w:cstheme="minorHAnsi"/>
          <w:sz w:val="28"/>
          <w:szCs w:val="28"/>
        </w:rPr>
      </w:pPr>
      <w:r w:rsidRPr="00F83903">
        <w:rPr>
          <w:rFonts w:cstheme="minorHAnsi"/>
          <w:sz w:val="28"/>
          <w:szCs w:val="28"/>
        </w:rPr>
        <w:t>Overseas branch campus (OBC) set up and wholly owned by a UK university (‘reporting provider’) and, as such, ‘it is seen as no different from any other campus of the provider’.</w:t>
      </w:r>
    </w:p>
    <w:p w14:paraId="227503A4" w14:textId="77777777" w:rsidR="00B51452" w:rsidRPr="00F83903" w:rsidRDefault="00B51452" w:rsidP="008157EF">
      <w:pPr>
        <w:pStyle w:val="ListParagraph"/>
        <w:numPr>
          <w:ilvl w:val="0"/>
          <w:numId w:val="18"/>
        </w:numPr>
        <w:jc w:val="both"/>
        <w:rPr>
          <w:rFonts w:cstheme="minorHAnsi"/>
          <w:sz w:val="28"/>
          <w:szCs w:val="28"/>
        </w:rPr>
      </w:pPr>
      <w:r w:rsidRPr="00F83903">
        <w:rPr>
          <w:rFonts w:cstheme="minorHAnsi"/>
          <w:sz w:val="28"/>
          <w:szCs w:val="28"/>
        </w:rPr>
        <w:t>Distance, flexible or distributed learning (DL) which ‘generally do not require the student to attend particular classes or events at particular times and particular locations’.</w:t>
      </w:r>
    </w:p>
    <w:p w14:paraId="7E196F22" w14:textId="77777777" w:rsidR="00B51452" w:rsidRPr="00F83903" w:rsidRDefault="00B51452" w:rsidP="008157EF">
      <w:pPr>
        <w:pStyle w:val="ListParagraph"/>
        <w:numPr>
          <w:ilvl w:val="0"/>
          <w:numId w:val="18"/>
        </w:numPr>
        <w:jc w:val="both"/>
        <w:rPr>
          <w:rFonts w:cstheme="minorHAnsi"/>
          <w:sz w:val="28"/>
          <w:szCs w:val="28"/>
        </w:rPr>
      </w:pPr>
      <w:r w:rsidRPr="00F83903">
        <w:rPr>
          <w:rFonts w:cstheme="minorHAnsi"/>
          <w:sz w:val="28"/>
          <w:szCs w:val="28"/>
        </w:rPr>
        <w:t>Overseas collaborative/franchised provision which denotes provision ‘leading to an award of an awarding provider delivered and/or assessed through an arrangement with an overseas partner organisation’.</w:t>
      </w:r>
    </w:p>
    <w:p w14:paraId="30C97346" w14:textId="77777777" w:rsidR="00B51452" w:rsidRPr="00F83903" w:rsidRDefault="008157EF" w:rsidP="008157EF">
      <w:pPr>
        <w:pStyle w:val="ListParagraph"/>
        <w:numPr>
          <w:ilvl w:val="0"/>
          <w:numId w:val="18"/>
        </w:numPr>
        <w:jc w:val="both"/>
        <w:rPr>
          <w:rFonts w:cstheme="minorHAnsi"/>
          <w:sz w:val="28"/>
          <w:szCs w:val="28"/>
        </w:rPr>
      </w:pPr>
      <w:r w:rsidRPr="00F83903">
        <w:rPr>
          <w:rFonts w:cstheme="minorHAnsi"/>
          <w:sz w:val="28"/>
          <w:szCs w:val="28"/>
        </w:rPr>
        <w:t>Students studying for an award of a UK university</w:t>
      </w:r>
      <w:r w:rsidR="00F56D36">
        <w:rPr>
          <w:rFonts w:cstheme="minorHAnsi"/>
          <w:sz w:val="28"/>
          <w:szCs w:val="28"/>
        </w:rPr>
        <w:t xml:space="preserve"> who are not registered with this </w:t>
      </w:r>
      <w:r w:rsidRPr="00F83903">
        <w:rPr>
          <w:rFonts w:cstheme="minorHAnsi"/>
          <w:sz w:val="28"/>
          <w:szCs w:val="28"/>
        </w:rPr>
        <w:t xml:space="preserve">university i.e. they are studying for an award </w:t>
      </w:r>
      <w:r w:rsidR="00603DB7" w:rsidRPr="00F83903">
        <w:rPr>
          <w:rFonts w:cstheme="minorHAnsi"/>
          <w:sz w:val="28"/>
          <w:szCs w:val="28"/>
        </w:rPr>
        <w:t xml:space="preserve">at an overseas education/training institution </w:t>
      </w:r>
      <w:r w:rsidRPr="00F83903">
        <w:rPr>
          <w:rFonts w:cstheme="minorHAnsi"/>
          <w:sz w:val="28"/>
          <w:szCs w:val="28"/>
        </w:rPr>
        <w:t>that has been validated by the UK university. The main difference between franchised and validated degrees is that</w:t>
      </w:r>
      <w:r w:rsidR="00603DB7" w:rsidRPr="00F83903">
        <w:rPr>
          <w:rFonts w:cstheme="minorHAnsi"/>
          <w:sz w:val="28"/>
          <w:szCs w:val="28"/>
        </w:rPr>
        <w:t>,</w:t>
      </w:r>
      <w:r w:rsidRPr="00F83903">
        <w:rPr>
          <w:rFonts w:cstheme="minorHAnsi"/>
          <w:sz w:val="28"/>
          <w:szCs w:val="28"/>
        </w:rPr>
        <w:t xml:space="preserve"> </w:t>
      </w:r>
      <w:r w:rsidR="00603DB7" w:rsidRPr="00F83903">
        <w:rPr>
          <w:rFonts w:cstheme="minorHAnsi"/>
          <w:sz w:val="28"/>
          <w:szCs w:val="28"/>
        </w:rPr>
        <w:t xml:space="preserve">for the latter type of degrees, </w:t>
      </w:r>
      <w:r w:rsidRPr="00F83903">
        <w:rPr>
          <w:rFonts w:cstheme="minorHAnsi"/>
          <w:sz w:val="28"/>
          <w:szCs w:val="28"/>
        </w:rPr>
        <w:t xml:space="preserve">the overseas partner does not </w:t>
      </w:r>
      <w:r w:rsidR="00603DB7" w:rsidRPr="00F83903">
        <w:rPr>
          <w:rFonts w:cstheme="minorHAnsi"/>
          <w:sz w:val="28"/>
          <w:szCs w:val="28"/>
        </w:rPr>
        <w:t>follow</w:t>
      </w:r>
      <w:r w:rsidRPr="00F83903">
        <w:rPr>
          <w:rFonts w:cstheme="minorHAnsi"/>
          <w:sz w:val="28"/>
          <w:szCs w:val="28"/>
        </w:rPr>
        <w:t xml:space="preserve"> the curriculum of the UK university.</w:t>
      </w:r>
      <w:r w:rsidR="00B51452" w:rsidRPr="00F83903">
        <w:rPr>
          <w:rFonts w:cstheme="minorHAnsi"/>
          <w:sz w:val="28"/>
          <w:szCs w:val="28"/>
        </w:rPr>
        <w:t xml:space="preserve"> </w:t>
      </w:r>
    </w:p>
    <w:p w14:paraId="7FB1C43B" w14:textId="77777777" w:rsidR="00BC5984" w:rsidRDefault="00D03CB5" w:rsidP="00E114E2">
      <w:pPr>
        <w:jc w:val="both"/>
        <w:rPr>
          <w:rFonts w:cstheme="minorHAnsi"/>
          <w:sz w:val="28"/>
          <w:szCs w:val="28"/>
        </w:rPr>
      </w:pPr>
      <w:r w:rsidRPr="00F83903">
        <w:rPr>
          <w:rFonts w:cstheme="minorHAnsi"/>
          <w:sz w:val="28"/>
          <w:szCs w:val="28"/>
        </w:rPr>
        <w:t xml:space="preserve"> </w:t>
      </w:r>
      <w:r w:rsidR="00603DB7" w:rsidRPr="00F83903">
        <w:rPr>
          <w:rFonts w:cstheme="minorHAnsi"/>
          <w:sz w:val="28"/>
          <w:szCs w:val="28"/>
        </w:rPr>
        <w:t>C</w:t>
      </w:r>
      <w:r w:rsidRPr="00F83903">
        <w:rPr>
          <w:rFonts w:cstheme="minorHAnsi"/>
          <w:sz w:val="28"/>
          <w:szCs w:val="28"/>
        </w:rPr>
        <w:t xml:space="preserve">oncerns have been raised about the usefulness of these categories </w:t>
      </w:r>
      <w:r w:rsidR="00E246F2" w:rsidRPr="00F83903">
        <w:rPr>
          <w:rFonts w:cstheme="minorHAnsi"/>
          <w:sz w:val="28"/>
          <w:szCs w:val="28"/>
        </w:rPr>
        <w:t xml:space="preserve">mainly </w:t>
      </w:r>
      <w:r w:rsidR="00AA3CFB" w:rsidRPr="00F83903">
        <w:rPr>
          <w:rFonts w:cstheme="minorHAnsi"/>
          <w:sz w:val="28"/>
          <w:szCs w:val="28"/>
        </w:rPr>
        <w:t>becau</w:t>
      </w:r>
      <w:r w:rsidR="00885B8B" w:rsidRPr="00F83903">
        <w:rPr>
          <w:rFonts w:cstheme="minorHAnsi"/>
          <w:sz w:val="28"/>
          <w:szCs w:val="28"/>
        </w:rPr>
        <w:t>se they do not adequately match-</w:t>
      </w:r>
      <w:r w:rsidR="00AA3CFB" w:rsidRPr="00F83903">
        <w:rPr>
          <w:rFonts w:cstheme="minorHAnsi"/>
          <w:sz w:val="28"/>
          <w:szCs w:val="28"/>
        </w:rPr>
        <w:t xml:space="preserve">up with </w:t>
      </w:r>
      <w:r w:rsidR="00885B8B" w:rsidRPr="00F83903">
        <w:rPr>
          <w:rFonts w:cstheme="minorHAnsi"/>
          <w:sz w:val="28"/>
          <w:szCs w:val="28"/>
        </w:rPr>
        <w:t xml:space="preserve">the offshore </w:t>
      </w:r>
      <w:r w:rsidR="00AA3CFB" w:rsidRPr="00F83903">
        <w:rPr>
          <w:rFonts w:cstheme="minorHAnsi"/>
          <w:sz w:val="28"/>
          <w:szCs w:val="28"/>
        </w:rPr>
        <w:t xml:space="preserve">activity categories </w:t>
      </w:r>
      <w:r w:rsidR="00C0469B" w:rsidRPr="00F83903">
        <w:rPr>
          <w:rFonts w:cstheme="minorHAnsi"/>
          <w:sz w:val="28"/>
          <w:szCs w:val="28"/>
        </w:rPr>
        <w:t xml:space="preserve">most commonly </w:t>
      </w:r>
      <w:r w:rsidR="00AA3CFB" w:rsidRPr="00F83903">
        <w:rPr>
          <w:rFonts w:cstheme="minorHAnsi"/>
          <w:sz w:val="28"/>
          <w:szCs w:val="28"/>
        </w:rPr>
        <w:t>used by UK universiti</w:t>
      </w:r>
      <w:r w:rsidR="00885B8B" w:rsidRPr="00F83903">
        <w:rPr>
          <w:rFonts w:cstheme="minorHAnsi"/>
          <w:sz w:val="28"/>
          <w:szCs w:val="28"/>
        </w:rPr>
        <w:t xml:space="preserve">es themselves. </w:t>
      </w:r>
      <w:r w:rsidR="008050F8" w:rsidRPr="00F83903">
        <w:rPr>
          <w:rFonts w:cstheme="minorHAnsi"/>
          <w:sz w:val="28"/>
          <w:szCs w:val="28"/>
        </w:rPr>
        <w:t xml:space="preserve">Specifically, </w:t>
      </w:r>
      <w:r w:rsidR="00885B8B" w:rsidRPr="00F83903">
        <w:rPr>
          <w:rFonts w:cstheme="minorHAnsi"/>
          <w:sz w:val="28"/>
          <w:szCs w:val="28"/>
        </w:rPr>
        <w:t xml:space="preserve">most universities sub-divide their </w:t>
      </w:r>
      <w:r w:rsidR="00AA3CFB" w:rsidRPr="00F83903">
        <w:rPr>
          <w:rFonts w:cstheme="minorHAnsi"/>
          <w:sz w:val="28"/>
          <w:szCs w:val="28"/>
        </w:rPr>
        <w:t xml:space="preserve">overseas partnerships </w:t>
      </w:r>
      <w:r w:rsidR="00885B8B" w:rsidRPr="00F83903">
        <w:rPr>
          <w:rFonts w:cstheme="minorHAnsi"/>
          <w:sz w:val="28"/>
          <w:szCs w:val="28"/>
        </w:rPr>
        <w:t xml:space="preserve">according to the </w:t>
      </w:r>
      <w:r w:rsidR="00AA3CFB" w:rsidRPr="00F83903">
        <w:rPr>
          <w:rFonts w:cstheme="minorHAnsi"/>
          <w:sz w:val="28"/>
          <w:szCs w:val="28"/>
        </w:rPr>
        <w:t>following activities: franchise, validation, collaborative, joint venture</w:t>
      </w:r>
      <w:r w:rsidR="008050F8" w:rsidRPr="00F83903">
        <w:rPr>
          <w:rFonts w:cstheme="minorHAnsi"/>
          <w:sz w:val="28"/>
          <w:szCs w:val="28"/>
        </w:rPr>
        <w:t>, flying faculty,</w:t>
      </w:r>
      <w:r w:rsidR="00AA3CFB" w:rsidRPr="00F83903">
        <w:rPr>
          <w:rFonts w:cstheme="minorHAnsi"/>
          <w:sz w:val="28"/>
          <w:szCs w:val="28"/>
        </w:rPr>
        <w:t xml:space="preserve"> and articulation/progression/</w:t>
      </w:r>
      <w:r w:rsidR="008875DC">
        <w:rPr>
          <w:rFonts w:cstheme="minorHAnsi"/>
          <w:sz w:val="28"/>
          <w:szCs w:val="28"/>
        </w:rPr>
        <w:t xml:space="preserve">advanced </w:t>
      </w:r>
      <w:r w:rsidR="00AA3CFB" w:rsidRPr="00F83903">
        <w:rPr>
          <w:rFonts w:cstheme="minorHAnsi"/>
          <w:sz w:val="28"/>
          <w:szCs w:val="28"/>
        </w:rPr>
        <w:t>standing.</w:t>
      </w:r>
      <w:r w:rsidR="00885B8B" w:rsidRPr="00F83903">
        <w:rPr>
          <w:rFonts w:cstheme="minorHAnsi"/>
          <w:sz w:val="28"/>
          <w:szCs w:val="28"/>
        </w:rPr>
        <w:t xml:space="preserve"> </w:t>
      </w:r>
      <w:r w:rsidR="00104AC7" w:rsidRPr="00F83903">
        <w:rPr>
          <w:rFonts w:cstheme="minorHAnsi"/>
          <w:sz w:val="28"/>
          <w:szCs w:val="28"/>
        </w:rPr>
        <w:t xml:space="preserve">However, </w:t>
      </w:r>
      <w:r w:rsidR="00BC5984">
        <w:rPr>
          <w:rFonts w:cstheme="minorHAnsi"/>
          <w:sz w:val="28"/>
          <w:szCs w:val="28"/>
        </w:rPr>
        <w:t xml:space="preserve">with some exceptions, </w:t>
      </w:r>
      <w:r w:rsidR="00104AC7" w:rsidRPr="00F83903">
        <w:rPr>
          <w:rFonts w:cstheme="minorHAnsi"/>
          <w:sz w:val="28"/>
          <w:szCs w:val="28"/>
        </w:rPr>
        <w:t xml:space="preserve">the total numbers of students </w:t>
      </w:r>
      <w:r w:rsidR="008050F8" w:rsidRPr="00F83903">
        <w:rPr>
          <w:rFonts w:cstheme="minorHAnsi"/>
          <w:sz w:val="28"/>
          <w:szCs w:val="28"/>
        </w:rPr>
        <w:t xml:space="preserve">appear to be </w:t>
      </w:r>
      <w:r w:rsidR="00603DB7" w:rsidRPr="00F83903">
        <w:rPr>
          <w:rFonts w:cstheme="minorHAnsi"/>
          <w:sz w:val="28"/>
          <w:szCs w:val="28"/>
        </w:rPr>
        <w:t xml:space="preserve">accurately reported to HESA </w:t>
      </w:r>
      <w:r w:rsidR="00104AC7" w:rsidRPr="00F83903">
        <w:rPr>
          <w:rFonts w:cstheme="minorHAnsi"/>
          <w:sz w:val="28"/>
          <w:szCs w:val="28"/>
        </w:rPr>
        <w:t xml:space="preserve">at both the individual university and </w:t>
      </w:r>
      <w:r w:rsidR="00C0469B" w:rsidRPr="00F83903">
        <w:rPr>
          <w:rFonts w:cstheme="minorHAnsi"/>
          <w:sz w:val="28"/>
          <w:szCs w:val="28"/>
        </w:rPr>
        <w:t xml:space="preserve">country level. </w:t>
      </w:r>
    </w:p>
    <w:p w14:paraId="749A238A" w14:textId="77777777" w:rsidR="00671D41" w:rsidRDefault="002479AD" w:rsidP="00E114E2">
      <w:pPr>
        <w:jc w:val="both"/>
        <w:rPr>
          <w:rFonts w:cstheme="minorHAnsi"/>
          <w:sz w:val="28"/>
          <w:szCs w:val="28"/>
        </w:rPr>
      </w:pPr>
      <w:r w:rsidRPr="00F83903">
        <w:rPr>
          <w:rFonts w:cstheme="minorHAnsi"/>
          <w:sz w:val="28"/>
          <w:szCs w:val="28"/>
        </w:rPr>
        <w:t xml:space="preserve">As part of this review, bespoke requests were made to HESA for the full AOR data set for every year since 2007/08 as well as information (from the Individual Student Record) on the numbers of </w:t>
      </w:r>
      <w:r w:rsidR="001613C2" w:rsidRPr="00F83903">
        <w:rPr>
          <w:rFonts w:cstheme="minorHAnsi"/>
          <w:sz w:val="28"/>
          <w:szCs w:val="28"/>
        </w:rPr>
        <w:t xml:space="preserve">onshore </w:t>
      </w:r>
      <w:r w:rsidRPr="00F83903">
        <w:rPr>
          <w:rFonts w:cstheme="minorHAnsi"/>
          <w:sz w:val="28"/>
          <w:szCs w:val="28"/>
        </w:rPr>
        <w:t xml:space="preserve">overseas students enrolled full time at each UK university </w:t>
      </w:r>
      <w:r w:rsidR="00647667" w:rsidRPr="00F83903">
        <w:rPr>
          <w:rFonts w:cstheme="minorHAnsi"/>
          <w:sz w:val="28"/>
          <w:szCs w:val="28"/>
        </w:rPr>
        <w:t xml:space="preserve">including students enrolled as part of </w:t>
      </w:r>
      <w:r w:rsidRPr="00F83903">
        <w:rPr>
          <w:rFonts w:cstheme="minorHAnsi"/>
          <w:sz w:val="28"/>
          <w:szCs w:val="28"/>
        </w:rPr>
        <w:t>articulation/</w:t>
      </w:r>
      <w:r w:rsidR="00ED0541">
        <w:rPr>
          <w:rFonts w:cstheme="minorHAnsi"/>
          <w:sz w:val="28"/>
          <w:szCs w:val="28"/>
        </w:rPr>
        <w:t xml:space="preserve"> </w:t>
      </w:r>
      <w:r w:rsidRPr="00F83903">
        <w:rPr>
          <w:rFonts w:cstheme="minorHAnsi"/>
          <w:sz w:val="28"/>
          <w:szCs w:val="28"/>
        </w:rPr>
        <w:t>progression/advanced arrangements w</w:t>
      </w:r>
      <w:r w:rsidR="001613C2" w:rsidRPr="00F83903">
        <w:rPr>
          <w:rFonts w:cstheme="minorHAnsi"/>
          <w:sz w:val="28"/>
          <w:szCs w:val="28"/>
        </w:rPr>
        <w:t>ith overseas partners</w:t>
      </w:r>
      <w:r w:rsidRPr="00F83903">
        <w:rPr>
          <w:rFonts w:cstheme="minorHAnsi"/>
          <w:sz w:val="28"/>
          <w:szCs w:val="28"/>
        </w:rPr>
        <w:t>.</w:t>
      </w:r>
    </w:p>
    <w:p w14:paraId="3BAE2FD9" w14:textId="585255F9" w:rsidR="002479AD" w:rsidRPr="00F83903" w:rsidRDefault="002479AD" w:rsidP="00E114E2">
      <w:pPr>
        <w:jc w:val="both"/>
        <w:rPr>
          <w:rFonts w:cstheme="minorHAnsi"/>
          <w:sz w:val="28"/>
          <w:szCs w:val="28"/>
        </w:rPr>
      </w:pPr>
      <w:r w:rsidRPr="00F83903">
        <w:rPr>
          <w:rFonts w:cstheme="minorHAnsi"/>
          <w:sz w:val="28"/>
          <w:szCs w:val="28"/>
        </w:rPr>
        <w:t xml:space="preserve"> </w:t>
      </w:r>
    </w:p>
    <w:p w14:paraId="246E5E0B" w14:textId="77777777" w:rsidR="00EA2114" w:rsidRPr="00E15746" w:rsidRDefault="001C0E84" w:rsidP="009137B4">
      <w:pPr>
        <w:pStyle w:val="Heading2"/>
      </w:pPr>
      <w:bookmarkStart w:id="4" w:name="_Toc531957298"/>
      <w:r w:rsidRPr="00E15746">
        <w:lastRenderedPageBreak/>
        <w:t>2.2 UNI</w:t>
      </w:r>
      <w:r w:rsidR="008050F8" w:rsidRPr="00E15746">
        <w:t>VERSITY SURVEYS</w:t>
      </w:r>
      <w:bookmarkEnd w:id="4"/>
    </w:p>
    <w:p w14:paraId="391A870A" w14:textId="2851F6B6" w:rsidR="002B5CA0" w:rsidRPr="00F83903" w:rsidRDefault="00C0469B" w:rsidP="00E114E2">
      <w:pPr>
        <w:jc w:val="both"/>
        <w:rPr>
          <w:rFonts w:cstheme="minorHAnsi"/>
          <w:sz w:val="28"/>
          <w:szCs w:val="28"/>
        </w:rPr>
      </w:pPr>
      <w:r w:rsidRPr="00F83903">
        <w:rPr>
          <w:rFonts w:cstheme="minorHAnsi"/>
          <w:sz w:val="28"/>
          <w:szCs w:val="28"/>
        </w:rPr>
        <w:t>The o</w:t>
      </w:r>
      <w:r w:rsidR="00152C17" w:rsidRPr="00F83903">
        <w:rPr>
          <w:rFonts w:cstheme="minorHAnsi"/>
          <w:sz w:val="28"/>
          <w:szCs w:val="28"/>
        </w:rPr>
        <w:t xml:space="preserve">riginal </w:t>
      </w:r>
      <w:r w:rsidRPr="00F83903">
        <w:rPr>
          <w:rFonts w:cstheme="minorHAnsi"/>
          <w:sz w:val="28"/>
          <w:szCs w:val="28"/>
        </w:rPr>
        <w:t xml:space="preserve">offshore provision </w:t>
      </w:r>
      <w:r w:rsidR="001613C2" w:rsidRPr="00F83903">
        <w:rPr>
          <w:rFonts w:cstheme="minorHAnsi"/>
          <w:sz w:val="28"/>
          <w:szCs w:val="28"/>
        </w:rPr>
        <w:t>survey in 1996-</w:t>
      </w:r>
      <w:r w:rsidR="00152C17" w:rsidRPr="00F83903">
        <w:rPr>
          <w:rFonts w:cstheme="minorHAnsi"/>
          <w:sz w:val="28"/>
          <w:szCs w:val="28"/>
        </w:rPr>
        <w:t xml:space="preserve">97 voluntarily requested information </w:t>
      </w:r>
      <w:r w:rsidRPr="00F83903">
        <w:rPr>
          <w:rFonts w:cstheme="minorHAnsi"/>
          <w:sz w:val="28"/>
          <w:szCs w:val="28"/>
        </w:rPr>
        <w:t>in the form of a one</w:t>
      </w:r>
      <w:r w:rsidR="00152C17" w:rsidRPr="00F83903">
        <w:rPr>
          <w:rFonts w:cstheme="minorHAnsi"/>
          <w:sz w:val="28"/>
          <w:szCs w:val="28"/>
        </w:rPr>
        <w:t>-page questionnaire</w:t>
      </w:r>
      <w:r w:rsidRPr="00F83903">
        <w:rPr>
          <w:rFonts w:cstheme="minorHAnsi"/>
          <w:sz w:val="28"/>
          <w:szCs w:val="28"/>
        </w:rPr>
        <w:t xml:space="preserve"> </w:t>
      </w:r>
      <w:r w:rsidR="008050F8" w:rsidRPr="00F83903">
        <w:rPr>
          <w:rFonts w:cstheme="minorHAnsi"/>
          <w:sz w:val="28"/>
          <w:szCs w:val="28"/>
        </w:rPr>
        <w:t xml:space="preserve">from </w:t>
      </w:r>
      <w:r w:rsidR="008157EF" w:rsidRPr="00F83903">
        <w:rPr>
          <w:rFonts w:cstheme="minorHAnsi"/>
          <w:sz w:val="28"/>
          <w:szCs w:val="28"/>
        </w:rPr>
        <w:t xml:space="preserve">every </w:t>
      </w:r>
      <w:r w:rsidR="008050F8" w:rsidRPr="00F83903">
        <w:rPr>
          <w:rFonts w:cstheme="minorHAnsi"/>
          <w:sz w:val="28"/>
          <w:szCs w:val="28"/>
        </w:rPr>
        <w:t xml:space="preserve">university </w:t>
      </w:r>
      <w:r w:rsidR="008157EF" w:rsidRPr="00F83903">
        <w:rPr>
          <w:rFonts w:cstheme="minorHAnsi"/>
          <w:sz w:val="28"/>
          <w:szCs w:val="28"/>
        </w:rPr>
        <w:t xml:space="preserve">in the UK </w:t>
      </w:r>
      <w:r w:rsidRPr="00F83903">
        <w:rPr>
          <w:rFonts w:cstheme="minorHAnsi"/>
          <w:sz w:val="28"/>
          <w:szCs w:val="28"/>
        </w:rPr>
        <w:t>on the names of all overseas partnerships, start dates, ownership type and enrolments</w:t>
      </w:r>
      <w:r w:rsidR="00152C17" w:rsidRPr="00F83903">
        <w:rPr>
          <w:rFonts w:cstheme="minorHAnsi"/>
          <w:sz w:val="28"/>
          <w:szCs w:val="28"/>
        </w:rPr>
        <w:t xml:space="preserve">. Respondents were assured of total anonymity. Including information from two other partial surveys that were undertaken at this time, </w:t>
      </w:r>
      <w:r w:rsidRPr="00F83903">
        <w:rPr>
          <w:rFonts w:cstheme="minorHAnsi"/>
          <w:sz w:val="28"/>
          <w:szCs w:val="28"/>
        </w:rPr>
        <w:t xml:space="preserve">this </w:t>
      </w:r>
      <w:r w:rsidR="00152C17" w:rsidRPr="00F83903">
        <w:rPr>
          <w:rFonts w:cstheme="minorHAnsi"/>
          <w:sz w:val="28"/>
          <w:szCs w:val="28"/>
        </w:rPr>
        <w:t xml:space="preserve">basic information on offshore provision was obtained from </w:t>
      </w:r>
      <w:r w:rsidR="002B5CA0" w:rsidRPr="00F83903">
        <w:rPr>
          <w:rFonts w:cstheme="minorHAnsi"/>
          <w:sz w:val="28"/>
          <w:szCs w:val="28"/>
        </w:rPr>
        <w:t>109 out of total of 124 universities (</w:t>
      </w:r>
      <w:r w:rsidR="008157EF" w:rsidRPr="00F83903">
        <w:rPr>
          <w:rFonts w:cstheme="minorHAnsi"/>
          <w:sz w:val="28"/>
          <w:szCs w:val="28"/>
        </w:rPr>
        <w:t>88</w:t>
      </w:r>
      <w:r w:rsidR="00152C17" w:rsidRPr="00F83903">
        <w:rPr>
          <w:rFonts w:cstheme="minorHAnsi"/>
          <w:sz w:val="28"/>
          <w:szCs w:val="28"/>
        </w:rPr>
        <w:t>%</w:t>
      </w:r>
      <w:r w:rsidR="002B5CA0" w:rsidRPr="00F83903">
        <w:rPr>
          <w:rFonts w:cstheme="minorHAnsi"/>
          <w:sz w:val="28"/>
          <w:szCs w:val="28"/>
        </w:rPr>
        <w:t>).</w:t>
      </w:r>
      <w:r w:rsidRPr="00F83903">
        <w:rPr>
          <w:rFonts w:cstheme="minorHAnsi"/>
          <w:sz w:val="28"/>
          <w:szCs w:val="28"/>
        </w:rPr>
        <w:t xml:space="preserve">  </w:t>
      </w:r>
    </w:p>
    <w:p w14:paraId="49BB6991" w14:textId="1D15DE77" w:rsidR="00152C17" w:rsidRPr="00F83903" w:rsidRDefault="00533627" w:rsidP="00E114E2">
      <w:pPr>
        <w:jc w:val="both"/>
        <w:rPr>
          <w:rFonts w:cstheme="minorHAnsi"/>
          <w:sz w:val="28"/>
          <w:szCs w:val="28"/>
        </w:rPr>
      </w:pPr>
      <w:r w:rsidRPr="00F83903">
        <w:rPr>
          <w:rFonts w:cstheme="minorHAnsi"/>
          <w:sz w:val="28"/>
          <w:szCs w:val="28"/>
        </w:rPr>
        <w:t xml:space="preserve">Ideally, </w:t>
      </w:r>
      <w:r w:rsidR="00662D34" w:rsidRPr="00F83903">
        <w:rPr>
          <w:rFonts w:cstheme="minorHAnsi"/>
          <w:sz w:val="28"/>
          <w:szCs w:val="28"/>
        </w:rPr>
        <w:t>the follow-up 2018 Survey w</w:t>
      </w:r>
      <w:r w:rsidRPr="00F83903">
        <w:rPr>
          <w:rFonts w:cstheme="minorHAnsi"/>
          <w:sz w:val="28"/>
          <w:szCs w:val="28"/>
        </w:rPr>
        <w:t>ould have requested</w:t>
      </w:r>
      <w:r w:rsidR="00662D34" w:rsidRPr="00F83903">
        <w:rPr>
          <w:rFonts w:cstheme="minorHAnsi"/>
          <w:sz w:val="28"/>
          <w:szCs w:val="28"/>
        </w:rPr>
        <w:t>, again</w:t>
      </w:r>
      <w:r w:rsidRPr="00F83903">
        <w:rPr>
          <w:rFonts w:cstheme="minorHAnsi"/>
          <w:sz w:val="28"/>
          <w:szCs w:val="28"/>
        </w:rPr>
        <w:t xml:space="preserve"> on a voluntary and anonymous basis</w:t>
      </w:r>
      <w:r w:rsidR="00662D34" w:rsidRPr="00F83903">
        <w:rPr>
          <w:rFonts w:cstheme="minorHAnsi"/>
          <w:sz w:val="28"/>
          <w:szCs w:val="28"/>
        </w:rPr>
        <w:t>,</w:t>
      </w:r>
      <w:r w:rsidRPr="00F83903">
        <w:rPr>
          <w:rFonts w:cstheme="minorHAnsi"/>
          <w:sz w:val="28"/>
          <w:szCs w:val="28"/>
        </w:rPr>
        <w:t xml:space="preserve"> the same information </w:t>
      </w:r>
      <w:r w:rsidR="00662D34" w:rsidRPr="00F83903">
        <w:rPr>
          <w:rFonts w:cstheme="minorHAnsi"/>
          <w:sz w:val="28"/>
          <w:szCs w:val="28"/>
        </w:rPr>
        <w:t xml:space="preserve">on offshore provision </w:t>
      </w:r>
      <w:r w:rsidRPr="00F83903">
        <w:rPr>
          <w:rFonts w:cstheme="minorHAnsi"/>
          <w:sz w:val="28"/>
          <w:szCs w:val="28"/>
        </w:rPr>
        <w:t xml:space="preserve">as the 1996 Survey. However, virtually all universities </w:t>
      </w:r>
      <w:r w:rsidR="00662D34" w:rsidRPr="00F83903">
        <w:rPr>
          <w:rFonts w:cstheme="minorHAnsi"/>
          <w:sz w:val="28"/>
          <w:szCs w:val="28"/>
        </w:rPr>
        <w:t xml:space="preserve">in the UK </w:t>
      </w:r>
      <w:r w:rsidRPr="00F83903">
        <w:rPr>
          <w:rFonts w:cstheme="minorHAnsi"/>
          <w:sz w:val="28"/>
          <w:szCs w:val="28"/>
        </w:rPr>
        <w:t xml:space="preserve">are </w:t>
      </w:r>
      <w:r w:rsidR="00CA7580" w:rsidRPr="00F83903">
        <w:rPr>
          <w:rFonts w:cstheme="minorHAnsi"/>
          <w:sz w:val="28"/>
          <w:szCs w:val="28"/>
        </w:rPr>
        <w:t xml:space="preserve">no </w:t>
      </w:r>
      <w:r w:rsidR="0037368F" w:rsidRPr="00F83903">
        <w:rPr>
          <w:rFonts w:cstheme="minorHAnsi"/>
          <w:sz w:val="28"/>
          <w:szCs w:val="28"/>
        </w:rPr>
        <w:t xml:space="preserve">longer </w:t>
      </w:r>
      <w:r w:rsidRPr="00F83903">
        <w:rPr>
          <w:rFonts w:cstheme="minorHAnsi"/>
          <w:sz w:val="28"/>
          <w:szCs w:val="28"/>
        </w:rPr>
        <w:t xml:space="preserve">prepared to provide information on this basis. Instead, all </w:t>
      </w:r>
      <w:r w:rsidR="00662D34" w:rsidRPr="00F83903">
        <w:rPr>
          <w:rFonts w:cstheme="minorHAnsi"/>
          <w:sz w:val="28"/>
          <w:szCs w:val="28"/>
        </w:rPr>
        <w:t xml:space="preserve">information </w:t>
      </w:r>
      <w:r w:rsidRPr="00F83903">
        <w:rPr>
          <w:rFonts w:cstheme="minorHAnsi"/>
          <w:sz w:val="28"/>
          <w:szCs w:val="28"/>
        </w:rPr>
        <w:t>requests are now formally</w:t>
      </w:r>
      <w:r w:rsidR="00662D34" w:rsidRPr="00F83903">
        <w:rPr>
          <w:rFonts w:cstheme="minorHAnsi"/>
          <w:sz w:val="28"/>
          <w:szCs w:val="28"/>
        </w:rPr>
        <w:t xml:space="preserve"> </w:t>
      </w:r>
      <w:r w:rsidRPr="00F83903">
        <w:rPr>
          <w:rFonts w:cstheme="minorHAnsi"/>
          <w:sz w:val="28"/>
          <w:szCs w:val="28"/>
        </w:rPr>
        <w:t xml:space="preserve">dealt with under the Freedom of Information Acts </w:t>
      </w:r>
      <w:r w:rsidR="00662D34" w:rsidRPr="00F83903">
        <w:rPr>
          <w:rFonts w:cstheme="minorHAnsi"/>
          <w:sz w:val="28"/>
          <w:szCs w:val="28"/>
        </w:rPr>
        <w:t xml:space="preserve">(FOIA) </w:t>
      </w:r>
      <w:r w:rsidRPr="00F83903">
        <w:rPr>
          <w:rFonts w:cstheme="minorHAnsi"/>
          <w:sz w:val="28"/>
          <w:szCs w:val="28"/>
        </w:rPr>
        <w:t xml:space="preserve">for England, Wales and Northern Ireland and Scotland. </w:t>
      </w:r>
      <w:r w:rsidR="00662D34" w:rsidRPr="00F83903">
        <w:rPr>
          <w:rFonts w:cstheme="minorHAnsi"/>
          <w:sz w:val="28"/>
          <w:szCs w:val="28"/>
        </w:rPr>
        <w:t xml:space="preserve">In addition, </w:t>
      </w:r>
      <w:r w:rsidR="002B5CA0" w:rsidRPr="00F83903">
        <w:rPr>
          <w:rFonts w:cstheme="minorHAnsi"/>
          <w:sz w:val="28"/>
          <w:szCs w:val="28"/>
        </w:rPr>
        <w:t xml:space="preserve">the </w:t>
      </w:r>
      <w:r w:rsidR="009D60FA">
        <w:rPr>
          <w:rFonts w:cstheme="minorHAnsi"/>
          <w:sz w:val="28"/>
          <w:szCs w:val="28"/>
        </w:rPr>
        <w:t xml:space="preserve">increased </w:t>
      </w:r>
      <w:r w:rsidR="002B5CA0" w:rsidRPr="00F83903">
        <w:rPr>
          <w:rFonts w:cstheme="minorHAnsi"/>
          <w:sz w:val="28"/>
          <w:szCs w:val="28"/>
        </w:rPr>
        <w:t xml:space="preserve">commercialisation of university </w:t>
      </w:r>
      <w:r w:rsidR="00662D34" w:rsidRPr="00F83903">
        <w:rPr>
          <w:rFonts w:cstheme="minorHAnsi"/>
          <w:sz w:val="28"/>
          <w:szCs w:val="28"/>
        </w:rPr>
        <w:t xml:space="preserve">activities </w:t>
      </w:r>
      <w:r w:rsidR="002B5CA0" w:rsidRPr="00F83903">
        <w:rPr>
          <w:rFonts w:cstheme="minorHAnsi"/>
          <w:sz w:val="28"/>
          <w:szCs w:val="28"/>
        </w:rPr>
        <w:t xml:space="preserve">in the UK </w:t>
      </w:r>
      <w:r w:rsidR="00662D34" w:rsidRPr="00F83903">
        <w:rPr>
          <w:rFonts w:cstheme="minorHAnsi"/>
          <w:sz w:val="28"/>
          <w:szCs w:val="28"/>
        </w:rPr>
        <w:t xml:space="preserve">during the last 20 years </w:t>
      </w:r>
      <w:r w:rsidR="002B5CA0" w:rsidRPr="00F83903">
        <w:rPr>
          <w:rFonts w:cstheme="minorHAnsi"/>
          <w:sz w:val="28"/>
          <w:szCs w:val="28"/>
        </w:rPr>
        <w:t>has transformed the attitude</w:t>
      </w:r>
      <w:r w:rsidR="00FB5E6A" w:rsidRPr="00F83903">
        <w:rPr>
          <w:rFonts w:cstheme="minorHAnsi"/>
          <w:sz w:val="28"/>
          <w:szCs w:val="28"/>
        </w:rPr>
        <w:t xml:space="preserve">s and practices </w:t>
      </w:r>
      <w:r w:rsidR="002B5CA0" w:rsidRPr="00F83903">
        <w:rPr>
          <w:rFonts w:cstheme="minorHAnsi"/>
          <w:sz w:val="28"/>
          <w:szCs w:val="28"/>
        </w:rPr>
        <w:t xml:space="preserve">of most universities with respect to the disclosure of </w:t>
      </w:r>
      <w:r w:rsidR="00662D34" w:rsidRPr="00F83903">
        <w:rPr>
          <w:rFonts w:cstheme="minorHAnsi"/>
          <w:sz w:val="28"/>
          <w:szCs w:val="28"/>
        </w:rPr>
        <w:t>information on a whole range of activities which is deemed to be ‘commercially se</w:t>
      </w:r>
      <w:r w:rsidR="001613C2" w:rsidRPr="00F83903">
        <w:rPr>
          <w:rFonts w:cstheme="minorHAnsi"/>
          <w:sz w:val="28"/>
          <w:szCs w:val="28"/>
        </w:rPr>
        <w:t xml:space="preserve">nsitive’. </w:t>
      </w:r>
      <w:r w:rsidR="00662D34" w:rsidRPr="00F83903">
        <w:rPr>
          <w:rFonts w:cstheme="minorHAnsi"/>
          <w:sz w:val="28"/>
          <w:szCs w:val="28"/>
        </w:rPr>
        <w:t xml:space="preserve"> </w:t>
      </w:r>
      <w:r w:rsidR="002B5CA0" w:rsidRPr="00F83903">
        <w:rPr>
          <w:rFonts w:cstheme="minorHAnsi"/>
          <w:sz w:val="28"/>
          <w:szCs w:val="28"/>
        </w:rPr>
        <w:t xml:space="preserve"> </w:t>
      </w:r>
    </w:p>
    <w:p w14:paraId="35CDBED6" w14:textId="77777777" w:rsidR="002B5CA0" w:rsidRPr="00F83903" w:rsidRDefault="00F17280" w:rsidP="00E114E2">
      <w:pPr>
        <w:jc w:val="both"/>
        <w:rPr>
          <w:rFonts w:cstheme="minorHAnsi"/>
          <w:sz w:val="28"/>
          <w:szCs w:val="28"/>
        </w:rPr>
      </w:pPr>
      <w:r w:rsidRPr="00F83903">
        <w:rPr>
          <w:rFonts w:cstheme="minorHAnsi"/>
          <w:sz w:val="28"/>
          <w:szCs w:val="28"/>
        </w:rPr>
        <w:t xml:space="preserve">In view of this </w:t>
      </w:r>
      <w:r w:rsidR="00662D34" w:rsidRPr="00F83903">
        <w:rPr>
          <w:rFonts w:cstheme="minorHAnsi"/>
          <w:sz w:val="28"/>
          <w:szCs w:val="28"/>
        </w:rPr>
        <w:t>new information collection</w:t>
      </w:r>
      <w:r w:rsidR="00BD7486" w:rsidRPr="00F83903">
        <w:rPr>
          <w:rFonts w:cstheme="minorHAnsi"/>
          <w:sz w:val="28"/>
          <w:szCs w:val="28"/>
        </w:rPr>
        <w:t>/research</w:t>
      </w:r>
      <w:r w:rsidR="00662D34" w:rsidRPr="00F83903">
        <w:rPr>
          <w:rFonts w:cstheme="minorHAnsi"/>
          <w:sz w:val="28"/>
          <w:szCs w:val="28"/>
        </w:rPr>
        <w:t xml:space="preserve"> environment, a more pragmatic and limited approach had to be adopted</w:t>
      </w:r>
      <w:r w:rsidR="001613C2" w:rsidRPr="00F83903">
        <w:rPr>
          <w:rFonts w:cstheme="minorHAnsi"/>
          <w:sz w:val="28"/>
          <w:szCs w:val="28"/>
        </w:rPr>
        <w:t xml:space="preserve"> for this review</w:t>
      </w:r>
      <w:r w:rsidR="00662D34" w:rsidRPr="00F83903">
        <w:rPr>
          <w:rFonts w:cstheme="minorHAnsi"/>
          <w:sz w:val="28"/>
          <w:szCs w:val="28"/>
        </w:rPr>
        <w:t>.</w:t>
      </w:r>
      <w:r w:rsidR="0079187C" w:rsidRPr="00F83903">
        <w:rPr>
          <w:rFonts w:cstheme="minorHAnsi"/>
          <w:sz w:val="28"/>
          <w:szCs w:val="28"/>
        </w:rPr>
        <w:t xml:space="preserve"> </w:t>
      </w:r>
      <w:r w:rsidR="00BD7486" w:rsidRPr="00F83903">
        <w:rPr>
          <w:rFonts w:cstheme="minorHAnsi"/>
          <w:sz w:val="28"/>
          <w:szCs w:val="28"/>
        </w:rPr>
        <w:t>O</w:t>
      </w:r>
      <w:r w:rsidR="0079187C" w:rsidRPr="00F83903">
        <w:rPr>
          <w:rFonts w:cstheme="minorHAnsi"/>
          <w:sz w:val="28"/>
          <w:szCs w:val="28"/>
        </w:rPr>
        <w:t>nly two types of information</w:t>
      </w:r>
      <w:r w:rsidR="00BD7486" w:rsidRPr="00F83903">
        <w:rPr>
          <w:rFonts w:cstheme="minorHAnsi"/>
          <w:sz w:val="28"/>
          <w:szCs w:val="28"/>
        </w:rPr>
        <w:t xml:space="preserve"> were requested from each university included in the survey (see below):</w:t>
      </w:r>
      <w:r w:rsidR="0079187C" w:rsidRPr="00F83903">
        <w:rPr>
          <w:rFonts w:cstheme="minorHAnsi"/>
          <w:sz w:val="28"/>
          <w:szCs w:val="28"/>
        </w:rPr>
        <w:t xml:space="preserve"> (i) total revenues and expenditures for the three main types of offshore provision, franchise</w:t>
      </w:r>
      <w:r w:rsidR="001613C2" w:rsidRPr="00F83903">
        <w:rPr>
          <w:rFonts w:cstheme="minorHAnsi"/>
          <w:sz w:val="28"/>
          <w:szCs w:val="28"/>
        </w:rPr>
        <w:t>d</w:t>
      </w:r>
      <w:r w:rsidR="0079187C" w:rsidRPr="00F83903">
        <w:rPr>
          <w:rFonts w:cstheme="minorHAnsi"/>
          <w:sz w:val="28"/>
          <w:szCs w:val="28"/>
        </w:rPr>
        <w:t>/validate</w:t>
      </w:r>
      <w:r w:rsidR="001613C2" w:rsidRPr="00F83903">
        <w:rPr>
          <w:rFonts w:cstheme="minorHAnsi"/>
          <w:sz w:val="28"/>
          <w:szCs w:val="28"/>
        </w:rPr>
        <w:t>d</w:t>
      </w:r>
      <w:r w:rsidR="0079187C" w:rsidRPr="00F83903">
        <w:rPr>
          <w:rFonts w:cstheme="minorHAnsi"/>
          <w:sz w:val="28"/>
          <w:szCs w:val="28"/>
        </w:rPr>
        <w:t xml:space="preserve"> courses, distance learning and overseas branch campuses in 2007/08 and 2015/16</w:t>
      </w:r>
      <w:r w:rsidR="00BD7486" w:rsidRPr="00F83903">
        <w:rPr>
          <w:rFonts w:cstheme="minorHAnsi"/>
          <w:sz w:val="28"/>
          <w:szCs w:val="28"/>
        </w:rPr>
        <w:t xml:space="preserve">; and </w:t>
      </w:r>
      <w:r w:rsidR="0079187C" w:rsidRPr="00F83903">
        <w:rPr>
          <w:rFonts w:cstheme="minorHAnsi"/>
          <w:sz w:val="28"/>
          <w:szCs w:val="28"/>
        </w:rPr>
        <w:t xml:space="preserve">(ii) for each of the three countries with the highest </w:t>
      </w:r>
      <w:r w:rsidR="00BD7486" w:rsidRPr="00F83903">
        <w:rPr>
          <w:rFonts w:cstheme="minorHAnsi"/>
          <w:sz w:val="28"/>
          <w:szCs w:val="28"/>
        </w:rPr>
        <w:t xml:space="preserve">numbers of </w:t>
      </w:r>
      <w:r w:rsidR="0079187C" w:rsidRPr="00F83903">
        <w:rPr>
          <w:rFonts w:cstheme="minorHAnsi"/>
          <w:sz w:val="28"/>
          <w:szCs w:val="28"/>
        </w:rPr>
        <w:t>offshore students, the total numbers of under</w:t>
      </w:r>
      <w:r w:rsidR="00BD7486" w:rsidRPr="00F83903">
        <w:rPr>
          <w:rFonts w:cstheme="minorHAnsi"/>
          <w:sz w:val="28"/>
          <w:szCs w:val="28"/>
        </w:rPr>
        <w:t xml:space="preserve">graduate </w:t>
      </w:r>
      <w:r w:rsidR="0079187C" w:rsidRPr="00F83903">
        <w:rPr>
          <w:rFonts w:cstheme="minorHAnsi"/>
          <w:sz w:val="28"/>
          <w:szCs w:val="28"/>
        </w:rPr>
        <w:t xml:space="preserve">and postgraduate students enrolled and completing courses in 2015/16. </w:t>
      </w:r>
    </w:p>
    <w:p w14:paraId="311EE572" w14:textId="3F44A243" w:rsidR="00073C22" w:rsidRPr="00F83903" w:rsidRDefault="001C0E84" w:rsidP="00E114E2">
      <w:pPr>
        <w:jc w:val="both"/>
        <w:rPr>
          <w:rFonts w:cstheme="minorHAnsi"/>
          <w:sz w:val="28"/>
          <w:szCs w:val="28"/>
        </w:rPr>
      </w:pPr>
      <w:r w:rsidRPr="00F83903">
        <w:rPr>
          <w:rFonts w:cstheme="minorHAnsi"/>
          <w:sz w:val="28"/>
          <w:szCs w:val="28"/>
        </w:rPr>
        <w:t xml:space="preserve">The 2018 </w:t>
      </w:r>
      <w:r w:rsidR="00BB6D8F" w:rsidRPr="00F83903">
        <w:rPr>
          <w:rFonts w:cstheme="minorHAnsi"/>
          <w:sz w:val="28"/>
          <w:szCs w:val="28"/>
        </w:rPr>
        <w:t xml:space="preserve">Survey </w:t>
      </w:r>
      <w:r w:rsidR="002A3F54" w:rsidRPr="00F83903">
        <w:rPr>
          <w:rFonts w:cstheme="minorHAnsi"/>
          <w:sz w:val="28"/>
          <w:szCs w:val="28"/>
        </w:rPr>
        <w:t>excluded the</w:t>
      </w:r>
      <w:r w:rsidR="00A6216B" w:rsidRPr="00F83903">
        <w:rPr>
          <w:rFonts w:cstheme="minorHAnsi"/>
          <w:sz w:val="28"/>
          <w:szCs w:val="28"/>
        </w:rPr>
        <w:t xml:space="preserve"> 35</w:t>
      </w:r>
      <w:r w:rsidRPr="00F83903">
        <w:rPr>
          <w:rFonts w:cstheme="minorHAnsi"/>
          <w:sz w:val="28"/>
          <w:szCs w:val="28"/>
        </w:rPr>
        <w:t xml:space="preserve"> </w:t>
      </w:r>
      <w:r w:rsidR="002A3F54" w:rsidRPr="00F83903">
        <w:rPr>
          <w:rFonts w:cstheme="minorHAnsi"/>
          <w:sz w:val="28"/>
          <w:szCs w:val="28"/>
        </w:rPr>
        <w:t>‘</w:t>
      </w:r>
      <w:r w:rsidRPr="00F83903">
        <w:rPr>
          <w:rFonts w:cstheme="minorHAnsi"/>
          <w:sz w:val="28"/>
          <w:szCs w:val="28"/>
        </w:rPr>
        <w:t>higher education providers</w:t>
      </w:r>
      <w:r w:rsidR="002A3F54" w:rsidRPr="00F83903">
        <w:rPr>
          <w:rFonts w:cstheme="minorHAnsi"/>
          <w:sz w:val="28"/>
          <w:szCs w:val="28"/>
        </w:rPr>
        <w:t>’</w:t>
      </w:r>
      <w:r w:rsidRPr="00F83903">
        <w:rPr>
          <w:rFonts w:cstheme="minorHAnsi"/>
          <w:sz w:val="28"/>
          <w:szCs w:val="28"/>
        </w:rPr>
        <w:t xml:space="preserve"> with less than 5</w:t>
      </w:r>
      <w:r w:rsidR="00161842" w:rsidRPr="00F83903">
        <w:rPr>
          <w:rFonts w:cstheme="minorHAnsi"/>
          <w:sz w:val="28"/>
          <w:szCs w:val="28"/>
        </w:rPr>
        <w:t>,</w:t>
      </w:r>
      <w:r w:rsidRPr="00F83903">
        <w:rPr>
          <w:rFonts w:cstheme="minorHAnsi"/>
          <w:sz w:val="28"/>
          <w:szCs w:val="28"/>
        </w:rPr>
        <w:t>000 students in 2015/16 because they have v</w:t>
      </w:r>
      <w:r w:rsidR="00BB6D8F" w:rsidRPr="00F83903">
        <w:rPr>
          <w:rFonts w:cstheme="minorHAnsi"/>
          <w:sz w:val="28"/>
          <w:szCs w:val="28"/>
        </w:rPr>
        <w:t>ery little offshore provision (</w:t>
      </w:r>
      <w:r w:rsidRPr="00F83903">
        <w:rPr>
          <w:rFonts w:cstheme="minorHAnsi"/>
          <w:sz w:val="28"/>
          <w:szCs w:val="28"/>
        </w:rPr>
        <w:t xml:space="preserve">a total of only </w:t>
      </w:r>
      <w:r w:rsidR="00A6216B" w:rsidRPr="00F83903">
        <w:rPr>
          <w:rFonts w:cstheme="minorHAnsi"/>
          <w:sz w:val="28"/>
          <w:szCs w:val="28"/>
        </w:rPr>
        <w:t>5,600</w:t>
      </w:r>
      <w:r w:rsidRPr="00F83903">
        <w:rPr>
          <w:rFonts w:cstheme="minorHAnsi"/>
          <w:sz w:val="28"/>
          <w:szCs w:val="28"/>
        </w:rPr>
        <w:t xml:space="preserve"> students in this year). </w:t>
      </w:r>
      <w:r w:rsidR="002A3F54" w:rsidRPr="00F83903">
        <w:rPr>
          <w:rFonts w:cstheme="minorHAnsi"/>
          <w:sz w:val="28"/>
          <w:szCs w:val="28"/>
        </w:rPr>
        <w:t>Another issue is that t</w:t>
      </w:r>
      <w:r w:rsidR="00CA7580" w:rsidRPr="00F83903">
        <w:rPr>
          <w:rFonts w:cstheme="minorHAnsi"/>
          <w:sz w:val="28"/>
          <w:szCs w:val="28"/>
        </w:rPr>
        <w:t xml:space="preserve">he </w:t>
      </w:r>
      <w:r w:rsidR="00A6216B" w:rsidRPr="00F83903">
        <w:rPr>
          <w:rFonts w:cstheme="minorHAnsi"/>
          <w:sz w:val="28"/>
          <w:szCs w:val="28"/>
        </w:rPr>
        <w:t xml:space="preserve">18 </w:t>
      </w:r>
      <w:r w:rsidR="00CA7580" w:rsidRPr="00F83903">
        <w:rPr>
          <w:rFonts w:cstheme="minorHAnsi"/>
          <w:sz w:val="28"/>
          <w:szCs w:val="28"/>
        </w:rPr>
        <w:t xml:space="preserve">constituent schools, colleges and institutes of the University of London </w:t>
      </w:r>
      <w:r w:rsidR="002A3F54" w:rsidRPr="00F83903">
        <w:rPr>
          <w:rFonts w:cstheme="minorHAnsi"/>
          <w:sz w:val="28"/>
          <w:szCs w:val="28"/>
        </w:rPr>
        <w:t xml:space="preserve">(UoL) </w:t>
      </w:r>
      <w:r w:rsidR="00CA7580" w:rsidRPr="00F83903">
        <w:rPr>
          <w:rFonts w:cstheme="minorHAnsi"/>
          <w:sz w:val="28"/>
          <w:szCs w:val="28"/>
        </w:rPr>
        <w:t xml:space="preserve">are not all separately recorded in the HESA Aggregate Offshore Record. For example, the London School of Economics has </w:t>
      </w:r>
      <w:r w:rsidR="00BC5984">
        <w:rPr>
          <w:rFonts w:cstheme="minorHAnsi"/>
          <w:sz w:val="28"/>
          <w:szCs w:val="28"/>
        </w:rPr>
        <w:t xml:space="preserve">nearly 18,000 </w:t>
      </w:r>
      <w:r w:rsidR="00CA7580" w:rsidRPr="00F83903">
        <w:rPr>
          <w:rFonts w:cstheme="minorHAnsi"/>
          <w:sz w:val="28"/>
          <w:szCs w:val="28"/>
        </w:rPr>
        <w:t xml:space="preserve">overseas </w:t>
      </w:r>
      <w:r w:rsidR="001613C2" w:rsidRPr="00F83903">
        <w:rPr>
          <w:rFonts w:cstheme="minorHAnsi"/>
          <w:sz w:val="28"/>
          <w:szCs w:val="28"/>
        </w:rPr>
        <w:t>distance learning</w:t>
      </w:r>
      <w:r w:rsidR="00BC5984">
        <w:rPr>
          <w:rFonts w:cstheme="minorHAnsi"/>
          <w:sz w:val="28"/>
          <w:szCs w:val="28"/>
        </w:rPr>
        <w:t xml:space="preserve"> (ODL)</w:t>
      </w:r>
      <w:r w:rsidR="00CA7580" w:rsidRPr="00F83903">
        <w:rPr>
          <w:rFonts w:cstheme="minorHAnsi"/>
          <w:sz w:val="28"/>
          <w:szCs w:val="28"/>
        </w:rPr>
        <w:t xml:space="preserve"> </w:t>
      </w:r>
      <w:r w:rsidR="00CA7580" w:rsidRPr="00F83903">
        <w:rPr>
          <w:rFonts w:cstheme="minorHAnsi"/>
          <w:sz w:val="28"/>
          <w:szCs w:val="28"/>
        </w:rPr>
        <w:lastRenderedPageBreak/>
        <w:t xml:space="preserve">students but </w:t>
      </w:r>
      <w:r w:rsidR="001613C2" w:rsidRPr="00F83903">
        <w:rPr>
          <w:rFonts w:cstheme="minorHAnsi"/>
          <w:sz w:val="28"/>
          <w:szCs w:val="28"/>
        </w:rPr>
        <w:t xml:space="preserve">it </w:t>
      </w:r>
      <w:r w:rsidR="00CA7580" w:rsidRPr="00F83903">
        <w:rPr>
          <w:rFonts w:cstheme="minorHAnsi"/>
          <w:sz w:val="28"/>
          <w:szCs w:val="28"/>
        </w:rPr>
        <w:t>does not make</w:t>
      </w:r>
      <w:r w:rsidR="002A3F54" w:rsidRPr="00F83903">
        <w:rPr>
          <w:rFonts w:cstheme="minorHAnsi"/>
          <w:sz w:val="28"/>
          <w:szCs w:val="28"/>
        </w:rPr>
        <w:t xml:space="preserve"> a separate AOR return. These </w:t>
      </w:r>
      <w:r w:rsidR="00CA7580" w:rsidRPr="00F83903">
        <w:rPr>
          <w:rFonts w:cstheme="minorHAnsi"/>
          <w:sz w:val="28"/>
          <w:szCs w:val="28"/>
        </w:rPr>
        <w:t xml:space="preserve">students are managed centrally by </w:t>
      </w:r>
      <w:r w:rsidR="002A3F54" w:rsidRPr="00F83903">
        <w:rPr>
          <w:rFonts w:cstheme="minorHAnsi"/>
          <w:sz w:val="28"/>
          <w:szCs w:val="28"/>
        </w:rPr>
        <w:t xml:space="preserve">UoL’s dedicated distance learning organisation, </w:t>
      </w:r>
      <w:r w:rsidR="00CA7580" w:rsidRPr="00F83903">
        <w:rPr>
          <w:rFonts w:cstheme="minorHAnsi"/>
          <w:sz w:val="28"/>
          <w:szCs w:val="28"/>
        </w:rPr>
        <w:t>London International</w:t>
      </w:r>
      <w:r w:rsidR="002A3F54" w:rsidRPr="00F83903">
        <w:rPr>
          <w:rFonts w:cstheme="minorHAnsi"/>
          <w:sz w:val="28"/>
          <w:szCs w:val="28"/>
        </w:rPr>
        <w:t>,</w:t>
      </w:r>
      <w:r w:rsidR="00CA7580" w:rsidRPr="00F83903">
        <w:rPr>
          <w:rFonts w:cstheme="minorHAnsi"/>
          <w:sz w:val="28"/>
          <w:szCs w:val="28"/>
        </w:rPr>
        <w:t xml:space="preserve"> and reported to HESA as ‘</w:t>
      </w:r>
      <w:r w:rsidR="00161842" w:rsidRPr="00F83903">
        <w:rPr>
          <w:rFonts w:cstheme="minorHAnsi"/>
          <w:sz w:val="28"/>
          <w:szCs w:val="28"/>
        </w:rPr>
        <w:t xml:space="preserve">University of </w:t>
      </w:r>
      <w:r w:rsidR="00CA7580" w:rsidRPr="00F83903">
        <w:rPr>
          <w:rFonts w:cstheme="minorHAnsi"/>
          <w:sz w:val="28"/>
          <w:szCs w:val="28"/>
        </w:rPr>
        <w:t xml:space="preserve">London </w:t>
      </w:r>
      <w:r w:rsidR="00161842" w:rsidRPr="00F83903">
        <w:rPr>
          <w:rFonts w:cstheme="minorHAnsi"/>
          <w:sz w:val="28"/>
          <w:szCs w:val="28"/>
        </w:rPr>
        <w:t>(I</w:t>
      </w:r>
      <w:r w:rsidR="00CA7580" w:rsidRPr="00F83903">
        <w:rPr>
          <w:rFonts w:cstheme="minorHAnsi"/>
          <w:sz w:val="28"/>
          <w:szCs w:val="28"/>
        </w:rPr>
        <w:t xml:space="preserve">nstitutes </w:t>
      </w:r>
      <w:r w:rsidR="00161842" w:rsidRPr="00F83903">
        <w:rPr>
          <w:rFonts w:cstheme="minorHAnsi"/>
          <w:sz w:val="28"/>
          <w:szCs w:val="28"/>
        </w:rPr>
        <w:t>and activities)</w:t>
      </w:r>
      <w:r w:rsidR="00BB6D8F" w:rsidRPr="00F83903">
        <w:rPr>
          <w:rFonts w:cstheme="minorHAnsi"/>
          <w:sz w:val="28"/>
          <w:szCs w:val="28"/>
        </w:rPr>
        <w:t>’</w:t>
      </w:r>
      <w:r w:rsidR="00CA7580" w:rsidRPr="00F83903">
        <w:rPr>
          <w:rFonts w:cstheme="minorHAnsi"/>
          <w:sz w:val="28"/>
          <w:szCs w:val="28"/>
        </w:rPr>
        <w:t>. For this reason, all offshore UoL institutional enrolment data has been aggregated as the ‘University of London’</w:t>
      </w:r>
      <w:r w:rsidR="00BB6D8F" w:rsidRPr="00F83903">
        <w:rPr>
          <w:rFonts w:cstheme="minorHAnsi"/>
          <w:sz w:val="28"/>
          <w:szCs w:val="28"/>
        </w:rPr>
        <w:t>. This r</w:t>
      </w:r>
      <w:r w:rsidR="0040733D" w:rsidRPr="00F83903">
        <w:rPr>
          <w:rFonts w:cstheme="minorHAnsi"/>
          <w:sz w:val="28"/>
          <w:szCs w:val="28"/>
        </w:rPr>
        <w:t>educe</w:t>
      </w:r>
      <w:r w:rsidR="002A3F54" w:rsidRPr="00F83903">
        <w:rPr>
          <w:rFonts w:cstheme="minorHAnsi"/>
          <w:sz w:val="28"/>
          <w:szCs w:val="28"/>
        </w:rPr>
        <w:t>s</w:t>
      </w:r>
      <w:r w:rsidR="0040733D" w:rsidRPr="00F83903">
        <w:rPr>
          <w:rFonts w:cstheme="minorHAnsi"/>
          <w:sz w:val="28"/>
          <w:szCs w:val="28"/>
        </w:rPr>
        <w:t xml:space="preserve"> the survey size to 113</w:t>
      </w:r>
      <w:r w:rsidR="00BB6D8F" w:rsidRPr="00F83903">
        <w:rPr>
          <w:rFonts w:cstheme="minorHAnsi"/>
          <w:sz w:val="28"/>
          <w:szCs w:val="28"/>
        </w:rPr>
        <w:t xml:space="preserve"> universities.</w:t>
      </w:r>
      <w:r w:rsidR="00CA7580" w:rsidRPr="00F83903">
        <w:rPr>
          <w:rFonts w:cstheme="minorHAnsi"/>
          <w:sz w:val="28"/>
          <w:szCs w:val="28"/>
        </w:rPr>
        <w:t xml:space="preserve">  </w:t>
      </w:r>
    </w:p>
    <w:p w14:paraId="095507C1" w14:textId="6257931B" w:rsidR="001C0E84" w:rsidRPr="00F83903" w:rsidRDefault="006F2F51" w:rsidP="00E114E2">
      <w:pPr>
        <w:jc w:val="both"/>
        <w:rPr>
          <w:rFonts w:cstheme="minorHAnsi"/>
          <w:sz w:val="28"/>
          <w:szCs w:val="28"/>
        </w:rPr>
      </w:pPr>
      <w:r w:rsidRPr="00F83903">
        <w:rPr>
          <w:rFonts w:cstheme="minorHAnsi"/>
          <w:sz w:val="28"/>
          <w:szCs w:val="28"/>
        </w:rPr>
        <w:t xml:space="preserve">The </w:t>
      </w:r>
      <w:r w:rsidR="00034A22" w:rsidRPr="00F83903">
        <w:rPr>
          <w:rFonts w:cstheme="minorHAnsi"/>
          <w:sz w:val="28"/>
          <w:szCs w:val="28"/>
        </w:rPr>
        <w:t xml:space="preserve">overall survey </w:t>
      </w:r>
      <w:r w:rsidRPr="00F83903">
        <w:rPr>
          <w:rFonts w:cstheme="minorHAnsi"/>
          <w:sz w:val="28"/>
          <w:szCs w:val="28"/>
        </w:rPr>
        <w:t>response</w:t>
      </w:r>
      <w:r w:rsidR="0040733D" w:rsidRPr="00F83903">
        <w:rPr>
          <w:rFonts w:cstheme="minorHAnsi"/>
          <w:sz w:val="28"/>
          <w:szCs w:val="28"/>
        </w:rPr>
        <w:t xml:space="preserve"> rate was 70</w:t>
      </w:r>
      <w:r w:rsidR="00815BCC">
        <w:rPr>
          <w:rFonts w:cstheme="minorHAnsi"/>
          <w:sz w:val="28"/>
          <w:szCs w:val="28"/>
        </w:rPr>
        <w:t>%</w:t>
      </w:r>
      <w:r w:rsidR="008875DC">
        <w:rPr>
          <w:rFonts w:cstheme="minorHAnsi"/>
          <w:sz w:val="28"/>
          <w:szCs w:val="28"/>
        </w:rPr>
        <w:t xml:space="preserve">. </w:t>
      </w:r>
      <w:r w:rsidR="00034A22" w:rsidRPr="00F83903">
        <w:rPr>
          <w:rFonts w:cstheme="minorHAnsi"/>
          <w:sz w:val="28"/>
          <w:szCs w:val="28"/>
        </w:rPr>
        <w:t xml:space="preserve"> </w:t>
      </w:r>
      <w:r w:rsidR="00F30ACF" w:rsidRPr="00F83903">
        <w:rPr>
          <w:rFonts w:cstheme="minorHAnsi"/>
          <w:sz w:val="28"/>
          <w:szCs w:val="28"/>
        </w:rPr>
        <w:t xml:space="preserve">The sample of universities is </w:t>
      </w:r>
      <w:r w:rsidR="00ED0541">
        <w:rPr>
          <w:rFonts w:cstheme="minorHAnsi"/>
          <w:sz w:val="28"/>
          <w:szCs w:val="28"/>
        </w:rPr>
        <w:t xml:space="preserve">broadly </w:t>
      </w:r>
      <w:r w:rsidR="00F30ACF" w:rsidRPr="00F83903">
        <w:rPr>
          <w:rFonts w:cstheme="minorHAnsi"/>
          <w:sz w:val="28"/>
          <w:szCs w:val="28"/>
        </w:rPr>
        <w:t>representative of the university population as a whole</w:t>
      </w:r>
      <w:r w:rsidR="00ED0541">
        <w:rPr>
          <w:rFonts w:cstheme="minorHAnsi"/>
          <w:sz w:val="28"/>
          <w:szCs w:val="28"/>
        </w:rPr>
        <w:t xml:space="preserve"> with respect to both ons</w:t>
      </w:r>
      <w:r w:rsidR="00DD3B4E">
        <w:rPr>
          <w:rFonts w:cstheme="minorHAnsi"/>
          <w:sz w:val="28"/>
          <w:szCs w:val="28"/>
        </w:rPr>
        <w:t>hore and offshore student enrol</w:t>
      </w:r>
      <w:r w:rsidR="00ED0541">
        <w:rPr>
          <w:rFonts w:cstheme="minorHAnsi"/>
          <w:sz w:val="28"/>
          <w:szCs w:val="28"/>
        </w:rPr>
        <w:t>m</w:t>
      </w:r>
      <w:r w:rsidR="00DD3B4E">
        <w:rPr>
          <w:rFonts w:cstheme="minorHAnsi"/>
          <w:sz w:val="28"/>
          <w:szCs w:val="28"/>
        </w:rPr>
        <w:t>en</w:t>
      </w:r>
      <w:r w:rsidR="00ED0541">
        <w:rPr>
          <w:rFonts w:cstheme="minorHAnsi"/>
          <w:sz w:val="28"/>
          <w:szCs w:val="28"/>
        </w:rPr>
        <w:t>ts</w:t>
      </w:r>
      <w:r w:rsidR="00F30ACF" w:rsidRPr="00F83903">
        <w:rPr>
          <w:rFonts w:cstheme="minorHAnsi"/>
          <w:sz w:val="28"/>
          <w:szCs w:val="28"/>
        </w:rPr>
        <w:t>.</w:t>
      </w:r>
      <w:r w:rsidR="00E77DC5" w:rsidRPr="00F83903">
        <w:rPr>
          <w:rFonts w:cstheme="minorHAnsi"/>
          <w:sz w:val="28"/>
          <w:szCs w:val="28"/>
        </w:rPr>
        <w:t xml:space="preserve"> </w:t>
      </w:r>
      <w:r w:rsidR="00073C22" w:rsidRPr="00F83903">
        <w:rPr>
          <w:rFonts w:cstheme="minorHAnsi"/>
          <w:sz w:val="28"/>
          <w:szCs w:val="28"/>
        </w:rPr>
        <w:t xml:space="preserve">  </w:t>
      </w:r>
      <w:r w:rsidR="001C0E84" w:rsidRPr="00F83903">
        <w:rPr>
          <w:rFonts w:cstheme="minorHAnsi"/>
          <w:sz w:val="28"/>
          <w:szCs w:val="28"/>
        </w:rPr>
        <w:t xml:space="preserve">  </w:t>
      </w:r>
    </w:p>
    <w:p w14:paraId="2D17AE24" w14:textId="7005B870" w:rsidR="009137B4" w:rsidRPr="00E15746" w:rsidRDefault="00072915" w:rsidP="00815BCC">
      <w:pPr>
        <w:jc w:val="both"/>
        <w:rPr>
          <w:rFonts w:cstheme="minorHAnsi"/>
          <w:b/>
          <w:vanish/>
          <w:sz w:val="28"/>
          <w:szCs w:val="28"/>
        </w:rPr>
      </w:pPr>
      <w:r w:rsidRPr="00E15746">
        <w:rPr>
          <w:rFonts w:cstheme="minorHAnsi"/>
          <w:sz w:val="28"/>
          <w:szCs w:val="28"/>
        </w:rPr>
        <w:t xml:space="preserve"> </w:t>
      </w:r>
      <w:bookmarkStart w:id="5" w:name="_Toc531950374"/>
      <w:bookmarkStart w:id="6" w:name="_Toc531957299"/>
      <w:bookmarkEnd w:id="5"/>
      <w:bookmarkEnd w:id="6"/>
    </w:p>
    <w:p w14:paraId="5A2386AB" w14:textId="4D5D7C8D" w:rsidR="00451A9C" w:rsidRPr="00E15746" w:rsidRDefault="009137B4" w:rsidP="00815BCC">
      <w:pPr>
        <w:pStyle w:val="ListParagraph"/>
        <w:contextualSpacing w:val="0"/>
        <w:jc w:val="both"/>
        <w:outlineLvl w:val="1"/>
        <w:rPr>
          <w:b/>
          <w:sz w:val="28"/>
          <w:szCs w:val="28"/>
        </w:rPr>
      </w:pPr>
      <w:bookmarkStart w:id="7" w:name="_Toc531957300"/>
      <w:r w:rsidRPr="00E15746">
        <w:rPr>
          <w:b/>
          <w:sz w:val="28"/>
          <w:szCs w:val="28"/>
        </w:rPr>
        <w:t xml:space="preserve">2.3 </w:t>
      </w:r>
      <w:r w:rsidR="00451A9C" w:rsidRPr="00E15746">
        <w:rPr>
          <w:b/>
          <w:sz w:val="28"/>
          <w:szCs w:val="28"/>
        </w:rPr>
        <w:t>OTHER ISSUES</w:t>
      </w:r>
      <w:bookmarkEnd w:id="7"/>
    </w:p>
    <w:p w14:paraId="7DD34E59" w14:textId="77777777" w:rsidR="008E344A" w:rsidRPr="008E344A" w:rsidRDefault="008E344A" w:rsidP="00451A9C">
      <w:pPr>
        <w:jc w:val="both"/>
        <w:rPr>
          <w:rFonts w:cstheme="minorHAnsi"/>
          <w:b/>
          <w:sz w:val="28"/>
          <w:szCs w:val="28"/>
        </w:rPr>
      </w:pPr>
      <w:r w:rsidRPr="008E344A">
        <w:rPr>
          <w:rFonts w:cstheme="minorHAnsi"/>
          <w:b/>
          <w:sz w:val="28"/>
          <w:szCs w:val="28"/>
        </w:rPr>
        <w:t xml:space="preserve">2.3.1 </w:t>
      </w:r>
      <w:r w:rsidR="00AF7776" w:rsidRPr="008E344A">
        <w:rPr>
          <w:rFonts w:cstheme="minorHAnsi"/>
          <w:b/>
          <w:sz w:val="28"/>
          <w:szCs w:val="28"/>
        </w:rPr>
        <w:t xml:space="preserve">The </w:t>
      </w:r>
      <w:r w:rsidR="002B5CA0" w:rsidRPr="008E344A">
        <w:rPr>
          <w:rFonts w:cstheme="minorHAnsi"/>
          <w:b/>
          <w:sz w:val="28"/>
          <w:szCs w:val="28"/>
        </w:rPr>
        <w:t>Oxford Brookes University accountancy degree</w:t>
      </w:r>
    </w:p>
    <w:p w14:paraId="1FF246E8" w14:textId="2E71BA2C" w:rsidR="007D3033" w:rsidRDefault="002B5CA0" w:rsidP="00451A9C">
      <w:pPr>
        <w:jc w:val="both"/>
        <w:rPr>
          <w:rFonts w:cstheme="minorHAnsi"/>
          <w:sz w:val="28"/>
          <w:szCs w:val="28"/>
        </w:rPr>
      </w:pPr>
      <w:r w:rsidRPr="00F83903">
        <w:rPr>
          <w:rFonts w:cstheme="minorHAnsi"/>
          <w:sz w:val="28"/>
          <w:szCs w:val="28"/>
        </w:rPr>
        <w:t xml:space="preserve">This </w:t>
      </w:r>
      <w:r w:rsidR="00451A9C" w:rsidRPr="00F83903">
        <w:rPr>
          <w:rFonts w:cstheme="minorHAnsi"/>
          <w:sz w:val="28"/>
          <w:szCs w:val="28"/>
        </w:rPr>
        <w:t>update</w:t>
      </w:r>
      <w:r w:rsidRPr="00F83903">
        <w:rPr>
          <w:rFonts w:cstheme="minorHAnsi"/>
          <w:sz w:val="28"/>
          <w:szCs w:val="28"/>
        </w:rPr>
        <w:t xml:space="preserve"> excludes offshore students registered for </w:t>
      </w:r>
      <w:r w:rsidR="00AF7776" w:rsidRPr="00F83903">
        <w:rPr>
          <w:rFonts w:cstheme="minorHAnsi"/>
          <w:sz w:val="28"/>
          <w:szCs w:val="28"/>
        </w:rPr>
        <w:t xml:space="preserve">the </w:t>
      </w:r>
      <w:r w:rsidRPr="00F83903">
        <w:rPr>
          <w:rFonts w:cstheme="minorHAnsi"/>
          <w:sz w:val="28"/>
          <w:szCs w:val="28"/>
        </w:rPr>
        <w:t xml:space="preserve">Oxford Brookes accountancy degree. </w:t>
      </w:r>
      <w:r w:rsidR="004F06BA">
        <w:rPr>
          <w:rFonts w:cstheme="minorHAnsi"/>
          <w:sz w:val="28"/>
          <w:szCs w:val="28"/>
        </w:rPr>
        <w:t>An</w:t>
      </w:r>
      <w:r w:rsidRPr="00F83903">
        <w:rPr>
          <w:rFonts w:cstheme="minorHAnsi"/>
          <w:sz w:val="28"/>
          <w:szCs w:val="28"/>
        </w:rPr>
        <w:t xml:space="preserve"> arrangement with </w:t>
      </w:r>
      <w:r w:rsidR="00E413D2" w:rsidRPr="00F83903">
        <w:rPr>
          <w:rFonts w:cstheme="minorHAnsi"/>
          <w:sz w:val="28"/>
          <w:szCs w:val="28"/>
        </w:rPr>
        <w:t xml:space="preserve">the </w:t>
      </w:r>
      <w:r w:rsidR="001F7D13" w:rsidRPr="00F83903">
        <w:rPr>
          <w:rFonts w:cstheme="minorHAnsi"/>
          <w:sz w:val="28"/>
          <w:szCs w:val="28"/>
        </w:rPr>
        <w:t xml:space="preserve">UK Association of </w:t>
      </w:r>
      <w:r w:rsidR="00936541" w:rsidRPr="00F83903">
        <w:rPr>
          <w:rFonts w:cstheme="minorHAnsi"/>
          <w:sz w:val="28"/>
          <w:szCs w:val="28"/>
        </w:rPr>
        <w:t xml:space="preserve">Certified </w:t>
      </w:r>
      <w:r w:rsidR="001F7D13" w:rsidRPr="00F83903">
        <w:rPr>
          <w:rFonts w:cstheme="minorHAnsi"/>
          <w:sz w:val="28"/>
          <w:szCs w:val="28"/>
        </w:rPr>
        <w:t xml:space="preserve">Chartered Accountants </w:t>
      </w:r>
      <w:r w:rsidR="00E413D2" w:rsidRPr="00F83903">
        <w:rPr>
          <w:rFonts w:cstheme="minorHAnsi"/>
          <w:sz w:val="28"/>
          <w:szCs w:val="28"/>
        </w:rPr>
        <w:t>(</w:t>
      </w:r>
      <w:r w:rsidRPr="00F83903">
        <w:rPr>
          <w:rFonts w:cstheme="minorHAnsi"/>
          <w:sz w:val="28"/>
          <w:szCs w:val="28"/>
        </w:rPr>
        <w:t>ACCA</w:t>
      </w:r>
      <w:r w:rsidR="00E413D2" w:rsidRPr="00F83903">
        <w:rPr>
          <w:rFonts w:cstheme="minorHAnsi"/>
          <w:sz w:val="28"/>
          <w:szCs w:val="28"/>
        </w:rPr>
        <w:t>)</w:t>
      </w:r>
      <w:r w:rsidRPr="00F83903">
        <w:rPr>
          <w:rFonts w:cstheme="minorHAnsi"/>
          <w:sz w:val="28"/>
          <w:szCs w:val="28"/>
        </w:rPr>
        <w:t xml:space="preserve"> began in 2008 with all ACCA students worldwide being automatically registered for the O</w:t>
      </w:r>
      <w:r w:rsidR="001F7D13" w:rsidRPr="00F83903">
        <w:rPr>
          <w:rFonts w:cstheme="minorHAnsi"/>
          <w:sz w:val="28"/>
          <w:szCs w:val="28"/>
        </w:rPr>
        <w:t xml:space="preserve">xford </w:t>
      </w:r>
      <w:r w:rsidRPr="00F83903">
        <w:rPr>
          <w:rFonts w:cstheme="minorHAnsi"/>
          <w:sz w:val="28"/>
          <w:szCs w:val="28"/>
        </w:rPr>
        <w:t>B</w:t>
      </w:r>
      <w:r w:rsidR="001F7D13" w:rsidRPr="00F83903">
        <w:rPr>
          <w:rFonts w:cstheme="minorHAnsi"/>
          <w:sz w:val="28"/>
          <w:szCs w:val="28"/>
        </w:rPr>
        <w:t>rookes</w:t>
      </w:r>
      <w:r w:rsidRPr="00F83903">
        <w:rPr>
          <w:rFonts w:cstheme="minorHAnsi"/>
          <w:sz w:val="28"/>
          <w:szCs w:val="28"/>
        </w:rPr>
        <w:t xml:space="preserve"> degree. Numbers have grown exponentially since then. In 2015/16, </w:t>
      </w:r>
      <w:r w:rsidR="00AF7776" w:rsidRPr="00F83903">
        <w:rPr>
          <w:rFonts w:cstheme="minorHAnsi"/>
          <w:sz w:val="28"/>
          <w:szCs w:val="28"/>
        </w:rPr>
        <w:t xml:space="preserve">enrolments were </w:t>
      </w:r>
      <w:r w:rsidR="00936541" w:rsidRPr="00F83903">
        <w:rPr>
          <w:rFonts w:cstheme="minorHAnsi"/>
          <w:sz w:val="28"/>
          <w:szCs w:val="28"/>
        </w:rPr>
        <w:t xml:space="preserve">315,000 </w:t>
      </w:r>
      <w:r w:rsidR="00AF7776" w:rsidRPr="00F83903">
        <w:rPr>
          <w:rFonts w:cstheme="minorHAnsi"/>
          <w:sz w:val="28"/>
          <w:szCs w:val="28"/>
        </w:rPr>
        <w:t xml:space="preserve">which amounted to </w:t>
      </w:r>
      <w:r w:rsidR="00936541" w:rsidRPr="00F83903">
        <w:rPr>
          <w:rFonts w:cstheme="minorHAnsi"/>
          <w:sz w:val="28"/>
          <w:szCs w:val="28"/>
        </w:rPr>
        <w:t>45</w:t>
      </w:r>
      <w:r w:rsidR="00AF7776" w:rsidRPr="00F83903">
        <w:rPr>
          <w:rFonts w:cstheme="minorHAnsi"/>
          <w:sz w:val="28"/>
          <w:szCs w:val="28"/>
        </w:rPr>
        <w:t xml:space="preserve">% of total </w:t>
      </w:r>
      <w:r w:rsidR="0012649F">
        <w:rPr>
          <w:rFonts w:cstheme="minorHAnsi"/>
          <w:sz w:val="28"/>
          <w:szCs w:val="28"/>
        </w:rPr>
        <w:t xml:space="preserve">UK university </w:t>
      </w:r>
      <w:r w:rsidR="00AF7776" w:rsidRPr="00F83903">
        <w:rPr>
          <w:rFonts w:cstheme="minorHAnsi"/>
          <w:sz w:val="28"/>
          <w:szCs w:val="28"/>
        </w:rPr>
        <w:t>offshore provision</w:t>
      </w:r>
      <w:r w:rsidRPr="00F83903">
        <w:rPr>
          <w:rFonts w:cstheme="minorHAnsi"/>
          <w:sz w:val="28"/>
          <w:szCs w:val="28"/>
        </w:rPr>
        <w:t>. However, while precise figures are not available, at any one time, only a relatively very small number of ACCA students are actively studying for the OB</w:t>
      </w:r>
      <w:r w:rsidR="001F7D13" w:rsidRPr="00F83903">
        <w:rPr>
          <w:rFonts w:cstheme="minorHAnsi"/>
          <w:sz w:val="28"/>
          <w:szCs w:val="28"/>
        </w:rPr>
        <w:t>U</w:t>
      </w:r>
      <w:r w:rsidRPr="00F83903">
        <w:rPr>
          <w:rFonts w:cstheme="minorHAnsi"/>
          <w:sz w:val="28"/>
          <w:szCs w:val="28"/>
        </w:rPr>
        <w:t xml:space="preserve"> accountancy degree. </w:t>
      </w:r>
      <w:r w:rsidR="00D11338" w:rsidRPr="00F83903">
        <w:rPr>
          <w:rFonts w:cstheme="minorHAnsi"/>
          <w:sz w:val="28"/>
          <w:szCs w:val="28"/>
        </w:rPr>
        <w:t xml:space="preserve">The 2014 </w:t>
      </w:r>
      <w:r w:rsidR="00CA307B" w:rsidRPr="00F83903">
        <w:rPr>
          <w:rFonts w:cstheme="minorHAnsi"/>
          <w:sz w:val="28"/>
          <w:szCs w:val="28"/>
        </w:rPr>
        <w:t>report</w:t>
      </w:r>
      <w:r w:rsidR="00D11338" w:rsidRPr="00F83903">
        <w:rPr>
          <w:rFonts w:cstheme="minorHAnsi"/>
          <w:sz w:val="28"/>
          <w:szCs w:val="28"/>
        </w:rPr>
        <w:t xml:space="preserve"> by the Department of Business, Industry and Skills on the overall value of </w:t>
      </w:r>
      <w:r w:rsidR="00451A9C" w:rsidRPr="00F83903">
        <w:rPr>
          <w:rFonts w:cstheme="minorHAnsi"/>
          <w:sz w:val="28"/>
          <w:szCs w:val="28"/>
        </w:rPr>
        <w:t xml:space="preserve">UK university </w:t>
      </w:r>
      <w:r w:rsidR="00D11338" w:rsidRPr="00F83903">
        <w:rPr>
          <w:rFonts w:cstheme="minorHAnsi"/>
          <w:sz w:val="28"/>
          <w:szCs w:val="28"/>
        </w:rPr>
        <w:t xml:space="preserve">offshore provision estimated </w:t>
      </w:r>
      <w:r w:rsidR="00CA307B" w:rsidRPr="00F83903">
        <w:rPr>
          <w:rFonts w:cstheme="minorHAnsi"/>
          <w:sz w:val="28"/>
          <w:szCs w:val="28"/>
        </w:rPr>
        <w:t xml:space="preserve">that </w:t>
      </w:r>
      <w:r w:rsidR="00451A9C" w:rsidRPr="00F83903">
        <w:rPr>
          <w:rFonts w:cstheme="minorHAnsi"/>
          <w:sz w:val="28"/>
          <w:szCs w:val="28"/>
        </w:rPr>
        <w:t xml:space="preserve">less than </w:t>
      </w:r>
      <w:r w:rsidR="00CA307B" w:rsidRPr="00F83903">
        <w:rPr>
          <w:rFonts w:cstheme="minorHAnsi"/>
          <w:sz w:val="28"/>
          <w:szCs w:val="28"/>
        </w:rPr>
        <w:t>2% of enrolments in 2013/13 were active.</w:t>
      </w:r>
      <w:r w:rsidRPr="00F83903">
        <w:rPr>
          <w:rFonts w:cstheme="minorHAnsi"/>
          <w:sz w:val="28"/>
          <w:szCs w:val="28"/>
        </w:rPr>
        <w:t xml:space="preserve"> </w:t>
      </w:r>
    </w:p>
    <w:p w14:paraId="06BF516A" w14:textId="2ED2B6E8" w:rsidR="008E344A" w:rsidRPr="008E344A" w:rsidRDefault="008E344A" w:rsidP="002941B6">
      <w:pPr>
        <w:jc w:val="both"/>
        <w:rPr>
          <w:rFonts w:cstheme="minorHAnsi"/>
          <w:b/>
          <w:sz w:val="28"/>
          <w:szCs w:val="28"/>
        </w:rPr>
      </w:pPr>
      <w:r w:rsidRPr="008E344A">
        <w:rPr>
          <w:rFonts w:cstheme="minorHAnsi"/>
          <w:b/>
          <w:sz w:val="28"/>
          <w:szCs w:val="28"/>
        </w:rPr>
        <w:t xml:space="preserve">2.1.3 </w:t>
      </w:r>
      <w:r w:rsidR="00815BCC" w:rsidRPr="008E344A">
        <w:rPr>
          <w:rFonts w:cstheme="minorHAnsi"/>
          <w:b/>
          <w:sz w:val="28"/>
          <w:szCs w:val="28"/>
        </w:rPr>
        <w:t>University categorisation</w:t>
      </w:r>
    </w:p>
    <w:p w14:paraId="07FA692A" w14:textId="74A31111" w:rsidR="00671D41" w:rsidRDefault="00815BCC" w:rsidP="002941B6">
      <w:pPr>
        <w:jc w:val="both"/>
        <w:rPr>
          <w:rFonts w:cstheme="minorHAnsi"/>
          <w:sz w:val="28"/>
          <w:szCs w:val="28"/>
        </w:rPr>
      </w:pPr>
      <w:r>
        <w:rPr>
          <w:rFonts w:cstheme="minorHAnsi"/>
          <w:sz w:val="28"/>
          <w:szCs w:val="28"/>
        </w:rPr>
        <w:t xml:space="preserve">UK universities have been categorised </w:t>
      </w:r>
      <w:r w:rsidR="00945D5B">
        <w:rPr>
          <w:rFonts w:cstheme="minorHAnsi"/>
          <w:sz w:val="28"/>
          <w:szCs w:val="28"/>
        </w:rPr>
        <w:t xml:space="preserve">according to </w:t>
      </w:r>
      <w:r>
        <w:rPr>
          <w:rFonts w:cstheme="minorHAnsi"/>
          <w:sz w:val="28"/>
          <w:szCs w:val="28"/>
        </w:rPr>
        <w:t>the following four historical groups: ancient (established pre-1800), redbrick (1800-1945), plate-glass (1946-1991) and ex-polytechnics and teacher training colleges (post-1991). While there are other university categorisations (Russell, Alliance etc</w:t>
      </w:r>
      <w:r w:rsidR="00945D5B">
        <w:rPr>
          <w:rFonts w:cstheme="minorHAnsi"/>
          <w:sz w:val="28"/>
          <w:szCs w:val="28"/>
        </w:rPr>
        <w:t>.</w:t>
      </w:r>
      <w:r>
        <w:rPr>
          <w:rFonts w:cstheme="minorHAnsi"/>
          <w:sz w:val="28"/>
          <w:szCs w:val="28"/>
        </w:rPr>
        <w:t>),</w:t>
      </w:r>
      <w:r w:rsidR="00945D5B">
        <w:rPr>
          <w:rFonts w:cstheme="minorHAnsi"/>
          <w:sz w:val="28"/>
          <w:szCs w:val="28"/>
        </w:rPr>
        <w:t xml:space="preserve"> this simple fourfold grouping is the most appropriate for the purposes</w:t>
      </w:r>
      <w:r>
        <w:rPr>
          <w:rFonts w:cstheme="minorHAnsi"/>
          <w:sz w:val="28"/>
          <w:szCs w:val="28"/>
        </w:rPr>
        <w:t xml:space="preserve"> </w:t>
      </w:r>
      <w:r w:rsidR="00945D5B">
        <w:rPr>
          <w:rFonts w:cstheme="minorHAnsi"/>
          <w:sz w:val="28"/>
          <w:szCs w:val="28"/>
        </w:rPr>
        <w:t>of this review.</w:t>
      </w:r>
    </w:p>
    <w:p w14:paraId="7FEACDBE" w14:textId="77777777" w:rsidR="00671D41" w:rsidRDefault="00671D41">
      <w:pPr>
        <w:rPr>
          <w:rFonts w:cstheme="minorHAnsi"/>
          <w:sz w:val="28"/>
          <w:szCs w:val="28"/>
        </w:rPr>
      </w:pPr>
      <w:r>
        <w:rPr>
          <w:rFonts w:cstheme="minorHAnsi"/>
          <w:sz w:val="28"/>
          <w:szCs w:val="28"/>
        </w:rPr>
        <w:br w:type="page"/>
      </w:r>
    </w:p>
    <w:p w14:paraId="7E238F8D" w14:textId="77777777" w:rsidR="00E15746" w:rsidRDefault="00E15746" w:rsidP="002941B6">
      <w:pPr>
        <w:jc w:val="both"/>
        <w:rPr>
          <w:rFonts w:cstheme="minorHAnsi"/>
          <w:sz w:val="28"/>
          <w:szCs w:val="28"/>
        </w:rPr>
      </w:pPr>
    </w:p>
    <w:p w14:paraId="40D95F9A" w14:textId="1FE40A26" w:rsidR="009F4CAA" w:rsidRPr="00E15746" w:rsidRDefault="00647667" w:rsidP="009F4CAA">
      <w:pPr>
        <w:pStyle w:val="Heading1"/>
      </w:pPr>
      <w:bookmarkStart w:id="8" w:name="_Toc531957301"/>
      <w:r w:rsidRPr="00E15746">
        <w:t>EN</w:t>
      </w:r>
      <w:r w:rsidR="002941B6">
        <w:t>ROLMENTS A</w:t>
      </w:r>
      <w:r w:rsidR="00745565" w:rsidRPr="00E15746">
        <w:t xml:space="preserve">T </w:t>
      </w:r>
      <w:r w:rsidR="008F335E" w:rsidRPr="00E15746">
        <w:t>UK</w:t>
      </w:r>
      <w:r w:rsidR="00745565" w:rsidRPr="00E15746">
        <w:t xml:space="preserve"> UNIVERSITIES</w:t>
      </w:r>
      <w:bookmarkEnd w:id="8"/>
      <w:r w:rsidR="009F4CAA" w:rsidRPr="00E15746">
        <w:t xml:space="preserve">: </w:t>
      </w:r>
      <w:r w:rsidR="003C35B6" w:rsidRPr="00E15746">
        <w:t>AN</w:t>
      </w:r>
      <w:r w:rsidR="003C35B6" w:rsidRPr="00945D5B">
        <w:rPr>
          <w:sz w:val="28"/>
          <w:szCs w:val="28"/>
        </w:rPr>
        <w:t xml:space="preserve"> </w:t>
      </w:r>
      <w:r w:rsidR="003C35B6" w:rsidRPr="00E15746">
        <w:t>OVERVIEW</w:t>
      </w:r>
      <w:bookmarkStart w:id="9" w:name="_Toc531957302"/>
    </w:p>
    <w:p w14:paraId="5E565BED" w14:textId="6E3579B3" w:rsidR="006E21C2" w:rsidRPr="00E15746" w:rsidRDefault="001F7D13" w:rsidP="009F4CAA">
      <w:pPr>
        <w:pStyle w:val="Heading1"/>
        <w:numPr>
          <w:ilvl w:val="0"/>
          <w:numId w:val="0"/>
        </w:numPr>
        <w:ind w:left="720" w:hanging="360"/>
        <w:rPr>
          <w:sz w:val="28"/>
          <w:szCs w:val="28"/>
        </w:rPr>
      </w:pPr>
      <w:r w:rsidRPr="00E15746">
        <w:rPr>
          <w:sz w:val="28"/>
          <w:szCs w:val="28"/>
        </w:rPr>
        <w:t>3.1 ENROLMENT TRENDS</w:t>
      </w:r>
      <w:bookmarkEnd w:id="9"/>
    </w:p>
    <w:p w14:paraId="32118C1C" w14:textId="77777777" w:rsidR="0097576D" w:rsidRPr="00F83903" w:rsidRDefault="00234CE3" w:rsidP="00E114E2">
      <w:pPr>
        <w:jc w:val="both"/>
        <w:rPr>
          <w:rFonts w:cstheme="minorHAnsi"/>
          <w:sz w:val="28"/>
          <w:szCs w:val="28"/>
        </w:rPr>
      </w:pPr>
      <w:r w:rsidRPr="00F83903">
        <w:rPr>
          <w:rFonts w:cstheme="minorHAnsi"/>
          <w:sz w:val="28"/>
          <w:szCs w:val="28"/>
        </w:rPr>
        <w:t>Fig</w:t>
      </w:r>
      <w:r w:rsidR="001F7D13" w:rsidRPr="00F83903">
        <w:rPr>
          <w:rFonts w:cstheme="minorHAnsi"/>
          <w:sz w:val="28"/>
          <w:szCs w:val="28"/>
        </w:rPr>
        <w:t>ure 1 summarises British (UK domicile)</w:t>
      </w:r>
      <w:r w:rsidR="00745565" w:rsidRPr="00F83903">
        <w:rPr>
          <w:rFonts w:cstheme="minorHAnsi"/>
          <w:sz w:val="28"/>
          <w:szCs w:val="28"/>
        </w:rPr>
        <w:t xml:space="preserve"> and </w:t>
      </w:r>
      <w:r w:rsidR="001F7D13" w:rsidRPr="00F83903">
        <w:rPr>
          <w:rFonts w:cstheme="minorHAnsi"/>
          <w:sz w:val="28"/>
          <w:szCs w:val="28"/>
        </w:rPr>
        <w:t>overseas student (</w:t>
      </w:r>
      <w:r w:rsidR="00745565" w:rsidRPr="00F83903">
        <w:rPr>
          <w:rFonts w:cstheme="minorHAnsi"/>
          <w:sz w:val="28"/>
          <w:szCs w:val="28"/>
        </w:rPr>
        <w:t>both onshore and off</w:t>
      </w:r>
      <w:r w:rsidRPr="00F83903">
        <w:rPr>
          <w:rFonts w:cstheme="minorHAnsi"/>
          <w:sz w:val="28"/>
          <w:szCs w:val="28"/>
        </w:rPr>
        <w:t>shore</w:t>
      </w:r>
      <w:r w:rsidR="001F7D13" w:rsidRPr="00F83903">
        <w:rPr>
          <w:rFonts w:cstheme="minorHAnsi"/>
          <w:sz w:val="28"/>
          <w:szCs w:val="28"/>
        </w:rPr>
        <w:t>)</w:t>
      </w:r>
      <w:r w:rsidRPr="00F83903">
        <w:rPr>
          <w:rFonts w:cstheme="minorHAnsi"/>
          <w:sz w:val="28"/>
          <w:szCs w:val="28"/>
        </w:rPr>
        <w:t xml:space="preserve"> enrolments at UK unive</w:t>
      </w:r>
      <w:r w:rsidR="00647667" w:rsidRPr="00F83903">
        <w:rPr>
          <w:rFonts w:cstheme="minorHAnsi"/>
          <w:sz w:val="28"/>
          <w:szCs w:val="28"/>
        </w:rPr>
        <w:t>rsities between 1996/97</w:t>
      </w:r>
      <w:r w:rsidR="00745565" w:rsidRPr="00F83903">
        <w:rPr>
          <w:rFonts w:cstheme="minorHAnsi"/>
          <w:sz w:val="28"/>
          <w:szCs w:val="28"/>
        </w:rPr>
        <w:t xml:space="preserve"> and 2016</w:t>
      </w:r>
      <w:r w:rsidRPr="00F83903">
        <w:rPr>
          <w:rFonts w:cstheme="minorHAnsi"/>
          <w:sz w:val="28"/>
          <w:szCs w:val="28"/>
        </w:rPr>
        <w:t>/17.</w:t>
      </w:r>
    </w:p>
    <w:p w14:paraId="19A9BCC2" w14:textId="77777777" w:rsidR="001F62C5" w:rsidRDefault="001F62C5" w:rsidP="00E114E2">
      <w:pPr>
        <w:jc w:val="both"/>
        <w:rPr>
          <w:rFonts w:cstheme="minorHAnsi"/>
          <w:sz w:val="28"/>
          <w:szCs w:val="28"/>
        </w:rPr>
      </w:pPr>
      <w:r>
        <w:rPr>
          <w:rFonts w:cstheme="minorHAnsi"/>
          <w:b/>
          <w:sz w:val="28"/>
          <w:szCs w:val="28"/>
        </w:rPr>
        <w:t xml:space="preserve">3.1.1 </w:t>
      </w:r>
      <w:r w:rsidR="00234CE3" w:rsidRPr="00F83903">
        <w:rPr>
          <w:rFonts w:cstheme="minorHAnsi"/>
          <w:b/>
          <w:sz w:val="28"/>
          <w:szCs w:val="28"/>
        </w:rPr>
        <w:t>UK students</w:t>
      </w:r>
    </w:p>
    <w:p w14:paraId="6638CF0F" w14:textId="1FBB0B10" w:rsidR="00F83903" w:rsidRDefault="00451A9C" w:rsidP="00E114E2">
      <w:pPr>
        <w:jc w:val="both"/>
        <w:rPr>
          <w:rFonts w:cstheme="minorHAnsi"/>
          <w:sz w:val="28"/>
          <w:szCs w:val="28"/>
        </w:rPr>
      </w:pPr>
      <w:r w:rsidRPr="00F83903">
        <w:rPr>
          <w:rFonts w:cstheme="minorHAnsi"/>
          <w:sz w:val="28"/>
          <w:szCs w:val="28"/>
        </w:rPr>
        <w:t>E</w:t>
      </w:r>
      <w:r w:rsidR="00234CE3" w:rsidRPr="00F83903">
        <w:rPr>
          <w:rFonts w:cstheme="minorHAnsi"/>
          <w:sz w:val="28"/>
          <w:szCs w:val="28"/>
        </w:rPr>
        <w:t>nrolments of UK domiciled students</w:t>
      </w:r>
      <w:r w:rsidR="00921AD7" w:rsidRPr="00F83903">
        <w:rPr>
          <w:rFonts w:cstheme="minorHAnsi"/>
          <w:sz w:val="28"/>
          <w:szCs w:val="28"/>
        </w:rPr>
        <w:t xml:space="preserve"> rose steadily from 1.6 million 1996 to a peak of 2.1 million during 2009-11 </w:t>
      </w:r>
      <w:r w:rsidR="00745565" w:rsidRPr="00F83903">
        <w:rPr>
          <w:rFonts w:cstheme="minorHAnsi"/>
          <w:sz w:val="28"/>
          <w:szCs w:val="28"/>
        </w:rPr>
        <w:t xml:space="preserve">but </w:t>
      </w:r>
      <w:r w:rsidR="00921AD7" w:rsidRPr="00F83903">
        <w:rPr>
          <w:rFonts w:cstheme="minorHAnsi"/>
          <w:sz w:val="28"/>
          <w:szCs w:val="28"/>
        </w:rPr>
        <w:t xml:space="preserve">then, </w:t>
      </w:r>
      <w:r w:rsidR="00745565" w:rsidRPr="00F83903">
        <w:rPr>
          <w:rFonts w:cstheme="minorHAnsi"/>
          <w:sz w:val="28"/>
          <w:szCs w:val="28"/>
        </w:rPr>
        <w:t xml:space="preserve">largely as the result of the </w:t>
      </w:r>
      <w:r w:rsidR="00921AD7" w:rsidRPr="00F83903">
        <w:rPr>
          <w:rFonts w:cstheme="minorHAnsi"/>
          <w:sz w:val="28"/>
          <w:szCs w:val="28"/>
        </w:rPr>
        <w:t xml:space="preserve">hike in UK annual tuition fees from £3,000 to £9,000 in 2011/12, fell back to 1.9 million in 2016/17 (a decline of 10.2%). </w:t>
      </w:r>
      <w:r w:rsidR="0012649F">
        <w:rPr>
          <w:rFonts w:cstheme="minorHAnsi"/>
          <w:sz w:val="28"/>
          <w:szCs w:val="28"/>
        </w:rPr>
        <w:t>Even so, t</w:t>
      </w:r>
      <w:r w:rsidR="00A56350" w:rsidRPr="00F83903">
        <w:rPr>
          <w:rFonts w:cstheme="minorHAnsi"/>
          <w:sz w:val="28"/>
          <w:szCs w:val="28"/>
        </w:rPr>
        <w:t xml:space="preserve">he overall price elasticity of demand for university education is </w:t>
      </w:r>
      <w:r w:rsidR="007632F1" w:rsidRPr="00F83903">
        <w:rPr>
          <w:rFonts w:cstheme="minorHAnsi"/>
          <w:sz w:val="28"/>
          <w:szCs w:val="28"/>
        </w:rPr>
        <w:t xml:space="preserve">very low at </w:t>
      </w:r>
      <w:r w:rsidR="00A56350" w:rsidRPr="00F83903">
        <w:rPr>
          <w:rFonts w:cstheme="minorHAnsi"/>
          <w:sz w:val="28"/>
          <w:szCs w:val="28"/>
        </w:rPr>
        <w:t>0.05 (</w:t>
      </w:r>
      <w:r w:rsidR="00745565" w:rsidRPr="00F83903">
        <w:rPr>
          <w:rFonts w:cstheme="minorHAnsi"/>
          <w:sz w:val="28"/>
          <w:szCs w:val="28"/>
        </w:rPr>
        <w:t xml:space="preserve">a </w:t>
      </w:r>
      <w:r w:rsidR="00A56350" w:rsidRPr="00F83903">
        <w:rPr>
          <w:rFonts w:cstheme="minorHAnsi"/>
          <w:sz w:val="28"/>
          <w:szCs w:val="28"/>
        </w:rPr>
        <w:t xml:space="preserve">200% fee increase divided by </w:t>
      </w:r>
      <w:r w:rsidR="00745565" w:rsidRPr="00F83903">
        <w:rPr>
          <w:rFonts w:cstheme="minorHAnsi"/>
          <w:sz w:val="28"/>
          <w:szCs w:val="28"/>
        </w:rPr>
        <w:t xml:space="preserve">a </w:t>
      </w:r>
      <w:r w:rsidR="00A56350" w:rsidRPr="00F83903">
        <w:rPr>
          <w:rFonts w:cstheme="minorHAnsi"/>
          <w:sz w:val="28"/>
          <w:szCs w:val="28"/>
        </w:rPr>
        <w:t xml:space="preserve">10% fall in enrolments after four years). Total UK </w:t>
      </w:r>
      <w:r w:rsidR="00745565" w:rsidRPr="00F83903">
        <w:rPr>
          <w:rFonts w:cstheme="minorHAnsi"/>
          <w:sz w:val="28"/>
          <w:szCs w:val="28"/>
        </w:rPr>
        <w:t xml:space="preserve">student </w:t>
      </w:r>
      <w:r w:rsidR="00A56350" w:rsidRPr="00F83903">
        <w:rPr>
          <w:rFonts w:cstheme="minorHAnsi"/>
          <w:sz w:val="28"/>
          <w:szCs w:val="28"/>
        </w:rPr>
        <w:t>fee income has, th</w:t>
      </w:r>
      <w:r w:rsidR="00745565" w:rsidRPr="00F83903">
        <w:rPr>
          <w:rFonts w:cstheme="minorHAnsi"/>
          <w:sz w:val="28"/>
          <w:szCs w:val="28"/>
        </w:rPr>
        <w:t>erefore, increased almost three</w:t>
      </w:r>
      <w:r w:rsidR="00A56350" w:rsidRPr="00F83903">
        <w:rPr>
          <w:rFonts w:cstheme="minorHAnsi"/>
          <w:sz w:val="28"/>
          <w:szCs w:val="28"/>
        </w:rPr>
        <w:t>fold to around £17bn but</w:t>
      </w:r>
      <w:r w:rsidR="007632F1" w:rsidRPr="00F83903">
        <w:rPr>
          <w:rFonts w:cstheme="minorHAnsi"/>
          <w:sz w:val="28"/>
          <w:szCs w:val="28"/>
        </w:rPr>
        <w:t>,</w:t>
      </w:r>
      <w:r w:rsidR="00A56350" w:rsidRPr="00F83903">
        <w:rPr>
          <w:rFonts w:cstheme="minorHAnsi"/>
          <w:sz w:val="28"/>
          <w:szCs w:val="28"/>
        </w:rPr>
        <w:t xml:space="preserve"> at the same time</w:t>
      </w:r>
      <w:r w:rsidR="007632F1" w:rsidRPr="00F83903">
        <w:rPr>
          <w:rFonts w:cstheme="minorHAnsi"/>
          <w:sz w:val="28"/>
          <w:szCs w:val="28"/>
        </w:rPr>
        <w:t>,</w:t>
      </w:r>
      <w:r w:rsidR="000F5CAB" w:rsidRPr="00F83903">
        <w:rPr>
          <w:rFonts w:cstheme="minorHAnsi"/>
          <w:sz w:val="28"/>
          <w:szCs w:val="28"/>
        </w:rPr>
        <w:t xml:space="preserve"> government-funded </w:t>
      </w:r>
      <w:r w:rsidR="00A56350" w:rsidRPr="00F83903">
        <w:rPr>
          <w:rFonts w:cstheme="minorHAnsi"/>
          <w:sz w:val="28"/>
          <w:szCs w:val="28"/>
        </w:rPr>
        <w:t>teaching and research grants have been</w:t>
      </w:r>
      <w:r w:rsidR="0012649F">
        <w:rPr>
          <w:rFonts w:cstheme="minorHAnsi"/>
          <w:sz w:val="28"/>
          <w:szCs w:val="28"/>
        </w:rPr>
        <w:t xml:space="preserve"> seriously reduced</w:t>
      </w:r>
      <w:r w:rsidR="00A56350" w:rsidRPr="00F83903">
        <w:rPr>
          <w:rFonts w:cstheme="minorHAnsi"/>
          <w:sz w:val="28"/>
          <w:szCs w:val="28"/>
        </w:rPr>
        <w:t>.</w:t>
      </w:r>
      <w:r w:rsidR="008304A8" w:rsidRPr="00F83903">
        <w:rPr>
          <w:rStyle w:val="FootnoteReference"/>
          <w:rFonts w:cstheme="minorHAnsi"/>
          <w:sz w:val="28"/>
          <w:szCs w:val="28"/>
        </w:rPr>
        <w:footnoteReference w:id="1"/>
      </w:r>
    </w:p>
    <w:p w14:paraId="2C6C57D4" w14:textId="77777777" w:rsidR="00234CE3" w:rsidRPr="00F83903" w:rsidRDefault="00AD3D62" w:rsidP="00E114E2">
      <w:pPr>
        <w:jc w:val="both"/>
        <w:rPr>
          <w:rFonts w:cstheme="minorHAnsi"/>
          <w:sz w:val="28"/>
          <w:szCs w:val="28"/>
        </w:rPr>
      </w:pPr>
      <w:r w:rsidRPr="00AD3D62">
        <w:rPr>
          <w:rFonts w:cstheme="minorHAnsi"/>
          <w:noProof/>
          <w:sz w:val="28"/>
          <w:szCs w:val="28"/>
          <w:lang w:eastAsia="en-GB"/>
        </w:rPr>
        <w:drawing>
          <wp:inline distT="0" distB="0" distL="0" distR="0" wp14:anchorId="1861A693" wp14:editId="75400940">
            <wp:extent cx="5642714" cy="2855934"/>
            <wp:effectExtent l="19050" t="0" r="15136" b="1566"/>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F9BCF5" w14:textId="77777777" w:rsidR="001F62C5" w:rsidRDefault="001F62C5" w:rsidP="00E114E2">
      <w:pPr>
        <w:jc w:val="both"/>
        <w:rPr>
          <w:rFonts w:cstheme="minorHAnsi"/>
          <w:b/>
          <w:sz w:val="28"/>
          <w:szCs w:val="28"/>
        </w:rPr>
      </w:pPr>
      <w:r>
        <w:rPr>
          <w:rFonts w:cstheme="minorHAnsi"/>
          <w:b/>
          <w:sz w:val="28"/>
          <w:szCs w:val="28"/>
        </w:rPr>
        <w:t xml:space="preserve">3.1.2 </w:t>
      </w:r>
      <w:r w:rsidR="00C71E7D" w:rsidRPr="00F83903">
        <w:rPr>
          <w:rFonts w:cstheme="minorHAnsi"/>
          <w:b/>
          <w:sz w:val="28"/>
          <w:szCs w:val="28"/>
        </w:rPr>
        <w:t>O</w:t>
      </w:r>
      <w:r w:rsidR="003302DD" w:rsidRPr="00F83903">
        <w:rPr>
          <w:rFonts w:cstheme="minorHAnsi"/>
          <w:b/>
          <w:sz w:val="28"/>
          <w:szCs w:val="28"/>
        </w:rPr>
        <w:t xml:space="preserve">nshore </w:t>
      </w:r>
      <w:r w:rsidR="00C71E7D" w:rsidRPr="00F83903">
        <w:rPr>
          <w:rFonts w:cstheme="minorHAnsi"/>
          <w:b/>
          <w:sz w:val="28"/>
          <w:szCs w:val="28"/>
        </w:rPr>
        <w:t xml:space="preserve">overseas </w:t>
      </w:r>
      <w:r>
        <w:rPr>
          <w:rFonts w:cstheme="minorHAnsi"/>
          <w:b/>
          <w:sz w:val="28"/>
          <w:szCs w:val="28"/>
        </w:rPr>
        <w:t>students</w:t>
      </w:r>
    </w:p>
    <w:p w14:paraId="537230A3" w14:textId="41D2B881" w:rsidR="00921AD7" w:rsidRPr="00F83903" w:rsidRDefault="00745565" w:rsidP="00E114E2">
      <w:pPr>
        <w:jc w:val="both"/>
        <w:rPr>
          <w:rFonts w:cstheme="minorHAnsi"/>
          <w:sz w:val="28"/>
          <w:szCs w:val="28"/>
        </w:rPr>
      </w:pPr>
      <w:r w:rsidRPr="00F83903">
        <w:rPr>
          <w:rFonts w:cstheme="minorHAnsi"/>
          <w:sz w:val="28"/>
          <w:szCs w:val="28"/>
        </w:rPr>
        <w:t>O</w:t>
      </w:r>
      <w:r w:rsidR="00451A9C" w:rsidRPr="00F83903">
        <w:rPr>
          <w:rFonts w:cstheme="minorHAnsi"/>
          <w:sz w:val="28"/>
          <w:szCs w:val="28"/>
        </w:rPr>
        <w:t xml:space="preserve">nshore overseas student </w:t>
      </w:r>
      <w:r w:rsidR="003302DD" w:rsidRPr="00F83903">
        <w:rPr>
          <w:rFonts w:cstheme="minorHAnsi"/>
          <w:sz w:val="28"/>
          <w:szCs w:val="28"/>
        </w:rPr>
        <w:t xml:space="preserve">enrolments </w:t>
      </w:r>
      <w:r w:rsidRPr="00F83903">
        <w:rPr>
          <w:rFonts w:cstheme="minorHAnsi"/>
          <w:sz w:val="28"/>
          <w:szCs w:val="28"/>
        </w:rPr>
        <w:t xml:space="preserve">at UK universities </w:t>
      </w:r>
      <w:r w:rsidR="003302DD" w:rsidRPr="00F83903">
        <w:rPr>
          <w:rFonts w:cstheme="minorHAnsi"/>
          <w:sz w:val="28"/>
          <w:szCs w:val="28"/>
        </w:rPr>
        <w:t xml:space="preserve">have </w:t>
      </w:r>
      <w:r w:rsidR="003070FD" w:rsidRPr="00F83903">
        <w:rPr>
          <w:rFonts w:cstheme="minorHAnsi"/>
          <w:sz w:val="28"/>
          <w:szCs w:val="28"/>
        </w:rPr>
        <w:t>doubled in the last 20 years –</w:t>
      </w:r>
      <w:r w:rsidR="00451A9C" w:rsidRPr="00F83903">
        <w:rPr>
          <w:rFonts w:cstheme="minorHAnsi"/>
          <w:sz w:val="28"/>
          <w:szCs w:val="28"/>
        </w:rPr>
        <w:t xml:space="preserve"> </w:t>
      </w:r>
      <w:r w:rsidR="003070FD" w:rsidRPr="00F83903">
        <w:rPr>
          <w:rFonts w:cstheme="minorHAnsi"/>
          <w:sz w:val="28"/>
          <w:szCs w:val="28"/>
        </w:rPr>
        <w:t>from 198,000 in 1996/7 to 443,000</w:t>
      </w:r>
      <w:r w:rsidR="00995C02" w:rsidRPr="00F83903">
        <w:rPr>
          <w:rFonts w:cstheme="minorHAnsi"/>
          <w:sz w:val="28"/>
          <w:szCs w:val="28"/>
        </w:rPr>
        <w:t xml:space="preserve"> in 2016/17</w:t>
      </w:r>
      <w:r w:rsidR="003070FD" w:rsidRPr="00F83903">
        <w:rPr>
          <w:rFonts w:cstheme="minorHAnsi"/>
          <w:sz w:val="28"/>
          <w:szCs w:val="28"/>
        </w:rPr>
        <w:t xml:space="preserve">. Slightly more than </w:t>
      </w:r>
      <w:r w:rsidR="003070FD" w:rsidRPr="00F83903">
        <w:rPr>
          <w:rFonts w:cstheme="minorHAnsi"/>
          <w:sz w:val="28"/>
          <w:szCs w:val="28"/>
        </w:rPr>
        <w:lastRenderedPageBreak/>
        <w:t>80% of this inc</w:t>
      </w:r>
      <w:r w:rsidR="00995C02" w:rsidRPr="00F83903">
        <w:rPr>
          <w:rFonts w:cstheme="minorHAnsi"/>
          <w:sz w:val="28"/>
          <w:szCs w:val="28"/>
        </w:rPr>
        <w:t>r</w:t>
      </w:r>
      <w:r w:rsidR="003070FD" w:rsidRPr="00F83903">
        <w:rPr>
          <w:rFonts w:cstheme="minorHAnsi"/>
          <w:sz w:val="28"/>
          <w:szCs w:val="28"/>
        </w:rPr>
        <w:t>ease</w:t>
      </w:r>
      <w:r w:rsidR="00995C02" w:rsidRPr="00F83903">
        <w:rPr>
          <w:rFonts w:cstheme="minorHAnsi"/>
          <w:sz w:val="28"/>
          <w:szCs w:val="28"/>
        </w:rPr>
        <w:t xml:space="preserve"> is accounted for by non-EU </w:t>
      </w:r>
      <w:r w:rsidRPr="00F83903">
        <w:rPr>
          <w:rFonts w:cstheme="minorHAnsi"/>
          <w:sz w:val="28"/>
          <w:szCs w:val="28"/>
        </w:rPr>
        <w:t xml:space="preserve">overseas </w:t>
      </w:r>
      <w:r w:rsidR="00995C02" w:rsidRPr="00F83903">
        <w:rPr>
          <w:rFonts w:cstheme="minorHAnsi"/>
          <w:sz w:val="28"/>
          <w:szCs w:val="28"/>
        </w:rPr>
        <w:t xml:space="preserve">students. Despite continued concerted efforts to increase overseas student enrolments, the overall numbers of both EU and non-EU students have remained fairly constant since 2010/11. </w:t>
      </w:r>
      <w:r w:rsidR="007632F1" w:rsidRPr="00F83903">
        <w:rPr>
          <w:rFonts w:cstheme="minorHAnsi"/>
          <w:sz w:val="28"/>
          <w:szCs w:val="28"/>
        </w:rPr>
        <w:t xml:space="preserve">EU students pay the same tuition fees as UK students so demand for UK university education among European students has </w:t>
      </w:r>
      <w:r w:rsidR="0012649F">
        <w:rPr>
          <w:rFonts w:cstheme="minorHAnsi"/>
          <w:sz w:val="28"/>
          <w:szCs w:val="28"/>
        </w:rPr>
        <w:t xml:space="preserve">also </w:t>
      </w:r>
      <w:r w:rsidR="007632F1" w:rsidRPr="00F83903">
        <w:rPr>
          <w:rFonts w:cstheme="minorHAnsi"/>
          <w:sz w:val="28"/>
          <w:szCs w:val="28"/>
        </w:rPr>
        <w:t xml:space="preserve">been almost totally price inelastic. </w:t>
      </w:r>
      <w:r w:rsidR="007518E1" w:rsidRPr="00F83903">
        <w:rPr>
          <w:rFonts w:cstheme="minorHAnsi"/>
          <w:sz w:val="28"/>
          <w:szCs w:val="28"/>
        </w:rPr>
        <w:t>Tuition fees for both under</w:t>
      </w:r>
      <w:r w:rsidR="007632F1" w:rsidRPr="00F83903">
        <w:rPr>
          <w:rFonts w:cstheme="minorHAnsi"/>
          <w:sz w:val="28"/>
          <w:szCs w:val="28"/>
        </w:rPr>
        <w:t>grad</w:t>
      </w:r>
      <w:r w:rsidR="00147A00" w:rsidRPr="00F83903">
        <w:rPr>
          <w:rFonts w:cstheme="minorHAnsi"/>
          <w:sz w:val="28"/>
          <w:szCs w:val="28"/>
        </w:rPr>
        <w:t>uate and postgraduate non-EU on</w:t>
      </w:r>
      <w:r w:rsidR="007632F1" w:rsidRPr="00F83903">
        <w:rPr>
          <w:rFonts w:cstheme="minorHAnsi"/>
          <w:sz w:val="28"/>
          <w:szCs w:val="28"/>
        </w:rPr>
        <w:t>shore students have also increased appreciably</w:t>
      </w:r>
      <w:r w:rsidR="006E4CF4" w:rsidRPr="00F83903">
        <w:rPr>
          <w:rFonts w:cstheme="minorHAnsi"/>
          <w:sz w:val="28"/>
          <w:szCs w:val="28"/>
        </w:rPr>
        <w:t>.</w:t>
      </w:r>
      <w:r w:rsidR="006E4CF4" w:rsidRPr="00F83903">
        <w:rPr>
          <w:rStyle w:val="FootnoteReference"/>
          <w:rFonts w:cstheme="minorHAnsi"/>
          <w:sz w:val="28"/>
          <w:szCs w:val="28"/>
        </w:rPr>
        <w:footnoteReference w:id="2"/>
      </w:r>
      <w:r w:rsidR="007632F1" w:rsidRPr="00F83903">
        <w:rPr>
          <w:rFonts w:cstheme="minorHAnsi"/>
          <w:sz w:val="28"/>
          <w:szCs w:val="28"/>
        </w:rPr>
        <w:t xml:space="preserve"> </w:t>
      </w:r>
      <w:r w:rsidR="007518E1" w:rsidRPr="00F83903">
        <w:rPr>
          <w:rFonts w:cstheme="minorHAnsi"/>
          <w:sz w:val="28"/>
          <w:szCs w:val="28"/>
        </w:rPr>
        <w:t xml:space="preserve">With little likelihood </w:t>
      </w:r>
      <w:r w:rsidR="006E4CF4" w:rsidRPr="00F83903">
        <w:rPr>
          <w:rFonts w:cstheme="minorHAnsi"/>
          <w:sz w:val="28"/>
          <w:szCs w:val="28"/>
        </w:rPr>
        <w:t>of significant reductions in the</w:t>
      </w:r>
      <w:r w:rsidR="007518E1" w:rsidRPr="00F83903">
        <w:rPr>
          <w:rFonts w:cstheme="minorHAnsi"/>
          <w:sz w:val="28"/>
          <w:szCs w:val="28"/>
        </w:rPr>
        <w:t>s</w:t>
      </w:r>
      <w:r w:rsidR="006E4CF4" w:rsidRPr="00F83903">
        <w:rPr>
          <w:rFonts w:cstheme="minorHAnsi"/>
          <w:sz w:val="28"/>
          <w:szCs w:val="28"/>
        </w:rPr>
        <w:t>e</w:t>
      </w:r>
      <w:r w:rsidR="007518E1" w:rsidRPr="00F83903">
        <w:rPr>
          <w:rFonts w:cstheme="minorHAnsi"/>
          <w:sz w:val="28"/>
          <w:szCs w:val="28"/>
        </w:rPr>
        <w:t xml:space="preserve"> high level</w:t>
      </w:r>
      <w:r w:rsidR="006E4CF4" w:rsidRPr="00F83903">
        <w:rPr>
          <w:rFonts w:cstheme="minorHAnsi"/>
          <w:sz w:val="28"/>
          <w:szCs w:val="28"/>
        </w:rPr>
        <w:t>s</w:t>
      </w:r>
      <w:r w:rsidR="007518E1" w:rsidRPr="00F83903">
        <w:rPr>
          <w:rFonts w:cstheme="minorHAnsi"/>
          <w:sz w:val="28"/>
          <w:szCs w:val="28"/>
        </w:rPr>
        <w:t xml:space="preserve"> of tuition fees coupled with rapidly intensif</w:t>
      </w:r>
      <w:r w:rsidRPr="00F83903">
        <w:rPr>
          <w:rFonts w:cstheme="minorHAnsi"/>
          <w:sz w:val="28"/>
          <w:szCs w:val="28"/>
        </w:rPr>
        <w:t>ying foreign competition for on</w:t>
      </w:r>
      <w:r w:rsidR="007518E1" w:rsidRPr="00F83903">
        <w:rPr>
          <w:rFonts w:cstheme="minorHAnsi"/>
          <w:sz w:val="28"/>
          <w:szCs w:val="28"/>
        </w:rPr>
        <w:t>shore overseas students</w:t>
      </w:r>
      <w:r w:rsidR="006E4CF4" w:rsidRPr="00F83903">
        <w:rPr>
          <w:rFonts w:cstheme="minorHAnsi"/>
          <w:sz w:val="28"/>
          <w:szCs w:val="28"/>
        </w:rPr>
        <w:t xml:space="preserve"> and the likely fallout from BREXIT</w:t>
      </w:r>
      <w:r w:rsidR="007518E1" w:rsidRPr="00F83903">
        <w:rPr>
          <w:rFonts w:cstheme="minorHAnsi"/>
          <w:sz w:val="28"/>
          <w:szCs w:val="28"/>
        </w:rPr>
        <w:t xml:space="preserve">, </w:t>
      </w:r>
      <w:r w:rsidRPr="00F83903">
        <w:rPr>
          <w:rFonts w:cstheme="minorHAnsi"/>
          <w:sz w:val="28"/>
          <w:szCs w:val="28"/>
        </w:rPr>
        <w:t>the number of on</w:t>
      </w:r>
      <w:r w:rsidR="00995C02" w:rsidRPr="00F83903">
        <w:rPr>
          <w:rFonts w:cstheme="minorHAnsi"/>
          <w:sz w:val="28"/>
          <w:szCs w:val="28"/>
        </w:rPr>
        <w:t xml:space="preserve">shore overseas </w:t>
      </w:r>
      <w:r w:rsidRPr="00F83903">
        <w:rPr>
          <w:rFonts w:cstheme="minorHAnsi"/>
          <w:sz w:val="28"/>
          <w:szCs w:val="28"/>
        </w:rPr>
        <w:t xml:space="preserve">university </w:t>
      </w:r>
      <w:r w:rsidR="00995C02" w:rsidRPr="00F83903">
        <w:rPr>
          <w:rFonts w:cstheme="minorHAnsi"/>
          <w:sz w:val="28"/>
          <w:szCs w:val="28"/>
        </w:rPr>
        <w:t xml:space="preserve">students </w:t>
      </w:r>
      <w:r w:rsidRPr="00F83903">
        <w:rPr>
          <w:rFonts w:cstheme="minorHAnsi"/>
          <w:sz w:val="28"/>
          <w:szCs w:val="28"/>
        </w:rPr>
        <w:t xml:space="preserve">in the UK </w:t>
      </w:r>
      <w:r w:rsidR="00995C02" w:rsidRPr="00F83903">
        <w:rPr>
          <w:rFonts w:cstheme="minorHAnsi"/>
          <w:sz w:val="28"/>
          <w:szCs w:val="28"/>
        </w:rPr>
        <w:t xml:space="preserve">is unlikely to increase appreciably in the next decade. </w:t>
      </w:r>
      <w:r w:rsidR="003070FD" w:rsidRPr="00F83903">
        <w:rPr>
          <w:rFonts w:cstheme="minorHAnsi"/>
          <w:sz w:val="28"/>
          <w:szCs w:val="28"/>
        </w:rPr>
        <w:t xml:space="preserve"> </w:t>
      </w:r>
      <w:r w:rsidR="00921AD7" w:rsidRPr="00F83903">
        <w:rPr>
          <w:rFonts w:cstheme="minorHAnsi"/>
          <w:sz w:val="28"/>
          <w:szCs w:val="28"/>
        </w:rPr>
        <w:t xml:space="preserve"> </w:t>
      </w:r>
    </w:p>
    <w:p w14:paraId="2B0E7984" w14:textId="77777777" w:rsidR="001F62C5" w:rsidRDefault="001F62C5" w:rsidP="00E114E2">
      <w:pPr>
        <w:jc w:val="both"/>
        <w:rPr>
          <w:rFonts w:cstheme="minorHAnsi"/>
          <w:sz w:val="28"/>
          <w:szCs w:val="28"/>
        </w:rPr>
      </w:pPr>
      <w:r>
        <w:rPr>
          <w:rFonts w:cstheme="minorHAnsi"/>
          <w:b/>
          <w:sz w:val="28"/>
          <w:szCs w:val="28"/>
        </w:rPr>
        <w:t xml:space="preserve">3.1.3 </w:t>
      </w:r>
      <w:r w:rsidR="00C71E7D" w:rsidRPr="00F83903">
        <w:rPr>
          <w:rFonts w:cstheme="minorHAnsi"/>
          <w:b/>
          <w:sz w:val="28"/>
          <w:szCs w:val="28"/>
        </w:rPr>
        <w:t>O</w:t>
      </w:r>
      <w:r w:rsidR="003F58AD" w:rsidRPr="00F83903">
        <w:rPr>
          <w:rFonts w:cstheme="minorHAnsi"/>
          <w:b/>
          <w:sz w:val="28"/>
          <w:szCs w:val="28"/>
        </w:rPr>
        <w:t xml:space="preserve">ffshore </w:t>
      </w:r>
      <w:r w:rsidR="00C71E7D" w:rsidRPr="00F83903">
        <w:rPr>
          <w:rFonts w:cstheme="minorHAnsi"/>
          <w:b/>
          <w:sz w:val="28"/>
          <w:szCs w:val="28"/>
        </w:rPr>
        <w:t xml:space="preserve">overseas </w:t>
      </w:r>
      <w:r w:rsidR="003F58AD" w:rsidRPr="00F83903">
        <w:rPr>
          <w:rFonts w:cstheme="minorHAnsi"/>
          <w:b/>
          <w:sz w:val="28"/>
          <w:szCs w:val="28"/>
        </w:rPr>
        <w:t>students</w:t>
      </w:r>
    </w:p>
    <w:p w14:paraId="5EC0C823" w14:textId="65587599" w:rsidR="00F83903" w:rsidRDefault="003F58AD" w:rsidP="00E114E2">
      <w:pPr>
        <w:jc w:val="both"/>
        <w:rPr>
          <w:rFonts w:cstheme="minorHAnsi"/>
          <w:sz w:val="28"/>
          <w:szCs w:val="28"/>
        </w:rPr>
      </w:pPr>
      <w:r w:rsidRPr="00F83903">
        <w:rPr>
          <w:rFonts w:cstheme="minorHAnsi"/>
          <w:sz w:val="28"/>
          <w:szCs w:val="28"/>
        </w:rPr>
        <w:t xml:space="preserve">During the last 30 years, </w:t>
      </w:r>
      <w:r w:rsidR="00451A9C" w:rsidRPr="00F83903">
        <w:rPr>
          <w:rFonts w:cstheme="minorHAnsi"/>
          <w:sz w:val="28"/>
          <w:szCs w:val="28"/>
        </w:rPr>
        <w:t xml:space="preserve">offshore </w:t>
      </w:r>
      <w:r w:rsidR="006E4CF4" w:rsidRPr="00F83903">
        <w:rPr>
          <w:rFonts w:cstheme="minorHAnsi"/>
          <w:sz w:val="28"/>
          <w:szCs w:val="28"/>
        </w:rPr>
        <w:t xml:space="preserve">overseas student </w:t>
      </w:r>
      <w:r w:rsidRPr="00F83903">
        <w:rPr>
          <w:rFonts w:cstheme="minorHAnsi"/>
          <w:sz w:val="28"/>
          <w:szCs w:val="28"/>
        </w:rPr>
        <w:t>enrolments have grown impressively - from an estimated 50,000 in the mid</w:t>
      </w:r>
      <w:r w:rsidR="00B61207">
        <w:rPr>
          <w:rFonts w:cstheme="minorHAnsi"/>
          <w:sz w:val="28"/>
          <w:szCs w:val="28"/>
        </w:rPr>
        <w:t>-</w:t>
      </w:r>
      <w:r w:rsidRPr="00F83903">
        <w:rPr>
          <w:rFonts w:cstheme="minorHAnsi"/>
          <w:sz w:val="28"/>
          <w:szCs w:val="28"/>
        </w:rPr>
        <w:t xml:space="preserve"> 1980s (al</w:t>
      </w:r>
      <w:r w:rsidR="006E4CF4" w:rsidRPr="00F83903">
        <w:rPr>
          <w:rFonts w:cstheme="minorHAnsi"/>
          <w:sz w:val="28"/>
          <w:szCs w:val="28"/>
        </w:rPr>
        <w:t xml:space="preserve">most all of which were </w:t>
      </w:r>
      <w:r w:rsidRPr="00F83903">
        <w:rPr>
          <w:rFonts w:cstheme="minorHAnsi"/>
          <w:sz w:val="28"/>
          <w:szCs w:val="28"/>
        </w:rPr>
        <w:t xml:space="preserve">distance learners) to </w:t>
      </w:r>
      <w:r w:rsidR="003302DD" w:rsidRPr="00F83903">
        <w:rPr>
          <w:rFonts w:cstheme="minorHAnsi"/>
          <w:sz w:val="28"/>
          <w:szCs w:val="28"/>
        </w:rPr>
        <w:t xml:space="preserve">an estimated </w:t>
      </w:r>
      <w:r w:rsidRPr="00F83903">
        <w:rPr>
          <w:rFonts w:cstheme="minorHAnsi"/>
          <w:sz w:val="28"/>
          <w:szCs w:val="28"/>
        </w:rPr>
        <w:t>140,000 in 1996-97 to 404,000 in 2016/17, a</w:t>
      </w:r>
      <w:r w:rsidR="00251438" w:rsidRPr="00F83903">
        <w:rPr>
          <w:rFonts w:cstheme="minorHAnsi"/>
          <w:sz w:val="28"/>
          <w:szCs w:val="28"/>
        </w:rPr>
        <w:t xml:space="preserve"> six-</w:t>
      </w:r>
      <w:r w:rsidRPr="00F83903">
        <w:rPr>
          <w:rFonts w:cstheme="minorHAnsi"/>
          <w:sz w:val="28"/>
          <w:szCs w:val="28"/>
        </w:rPr>
        <w:t>fold increase.</w:t>
      </w:r>
      <w:r w:rsidR="003A6510" w:rsidRPr="00F83903">
        <w:rPr>
          <w:rFonts w:cstheme="minorHAnsi"/>
          <w:sz w:val="28"/>
          <w:szCs w:val="28"/>
        </w:rPr>
        <w:t xml:space="preserve"> R</w:t>
      </w:r>
      <w:r w:rsidR="00251438" w:rsidRPr="00F83903">
        <w:rPr>
          <w:rFonts w:cstheme="minorHAnsi"/>
          <w:sz w:val="28"/>
          <w:szCs w:val="28"/>
        </w:rPr>
        <w:t xml:space="preserve">apid growth from the </w:t>
      </w:r>
      <w:r w:rsidR="003302DD" w:rsidRPr="00F83903">
        <w:rPr>
          <w:rFonts w:cstheme="minorHAnsi"/>
          <w:sz w:val="28"/>
          <w:szCs w:val="28"/>
        </w:rPr>
        <w:t>late 1980s-</w:t>
      </w:r>
      <w:r w:rsidR="00251438" w:rsidRPr="00F83903">
        <w:rPr>
          <w:rFonts w:cstheme="minorHAnsi"/>
          <w:sz w:val="28"/>
          <w:szCs w:val="28"/>
        </w:rPr>
        <w:t>earl</w:t>
      </w:r>
      <w:r w:rsidR="003A6510" w:rsidRPr="00F83903">
        <w:rPr>
          <w:rFonts w:cstheme="minorHAnsi"/>
          <w:sz w:val="28"/>
          <w:szCs w:val="28"/>
        </w:rPr>
        <w:t xml:space="preserve">y 1990s was largely driven by </w:t>
      </w:r>
      <w:r w:rsidR="00251438" w:rsidRPr="00F83903">
        <w:rPr>
          <w:rFonts w:cstheme="minorHAnsi"/>
          <w:sz w:val="28"/>
          <w:szCs w:val="28"/>
        </w:rPr>
        <w:t xml:space="preserve">the </w:t>
      </w:r>
      <w:r w:rsidR="003302DD" w:rsidRPr="00F83903">
        <w:rPr>
          <w:rFonts w:cstheme="minorHAnsi"/>
          <w:sz w:val="28"/>
          <w:szCs w:val="28"/>
        </w:rPr>
        <w:t>profit-seeking</w:t>
      </w:r>
      <w:r w:rsidR="003A6510" w:rsidRPr="00F83903">
        <w:rPr>
          <w:rFonts w:cstheme="minorHAnsi"/>
          <w:sz w:val="28"/>
          <w:szCs w:val="28"/>
        </w:rPr>
        <w:t>,</w:t>
      </w:r>
      <w:r w:rsidR="003302DD" w:rsidRPr="00F83903">
        <w:rPr>
          <w:rFonts w:cstheme="minorHAnsi"/>
          <w:sz w:val="28"/>
          <w:szCs w:val="28"/>
        </w:rPr>
        <w:t xml:space="preserve"> entrepreneurial flair of the </w:t>
      </w:r>
      <w:r w:rsidR="00251438" w:rsidRPr="00F83903">
        <w:rPr>
          <w:rFonts w:cstheme="minorHAnsi"/>
          <w:sz w:val="28"/>
          <w:szCs w:val="28"/>
        </w:rPr>
        <w:t xml:space="preserve">ex-polytechnic universities </w:t>
      </w:r>
      <w:r w:rsidR="003A6510" w:rsidRPr="00F83903">
        <w:rPr>
          <w:rFonts w:cstheme="minorHAnsi"/>
          <w:sz w:val="28"/>
          <w:szCs w:val="28"/>
        </w:rPr>
        <w:t xml:space="preserve">many of </w:t>
      </w:r>
      <w:r w:rsidR="00251438" w:rsidRPr="00F83903">
        <w:rPr>
          <w:rFonts w:cstheme="minorHAnsi"/>
          <w:sz w:val="28"/>
          <w:szCs w:val="28"/>
        </w:rPr>
        <w:t xml:space="preserve">which were keen to seek out new market opportunities </w:t>
      </w:r>
      <w:r w:rsidR="003A6510" w:rsidRPr="00F83903">
        <w:rPr>
          <w:rFonts w:cstheme="minorHAnsi"/>
          <w:sz w:val="28"/>
          <w:szCs w:val="28"/>
        </w:rPr>
        <w:t xml:space="preserve">both domestically and </w:t>
      </w:r>
      <w:r w:rsidR="00251438" w:rsidRPr="00F83903">
        <w:rPr>
          <w:rFonts w:cstheme="minorHAnsi"/>
          <w:sz w:val="28"/>
          <w:szCs w:val="28"/>
        </w:rPr>
        <w:t xml:space="preserve">overseas. However, </w:t>
      </w:r>
      <w:r w:rsidR="003302DD" w:rsidRPr="00F83903">
        <w:rPr>
          <w:rFonts w:cstheme="minorHAnsi"/>
          <w:sz w:val="28"/>
          <w:szCs w:val="28"/>
        </w:rPr>
        <w:t xml:space="preserve">largely as a result of wider </w:t>
      </w:r>
      <w:r w:rsidR="00251438" w:rsidRPr="00F83903">
        <w:rPr>
          <w:rFonts w:cstheme="minorHAnsi"/>
          <w:sz w:val="28"/>
          <w:szCs w:val="28"/>
        </w:rPr>
        <w:t>UK university concerns about reputational damage due to low quality provision among overseas franchise and validation partners</w:t>
      </w:r>
      <w:r w:rsidR="00451A9C" w:rsidRPr="00F83903">
        <w:rPr>
          <w:rFonts w:cstheme="minorHAnsi"/>
          <w:sz w:val="28"/>
          <w:szCs w:val="28"/>
        </w:rPr>
        <w:t xml:space="preserve">, offshore </w:t>
      </w:r>
      <w:r w:rsidR="003302DD" w:rsidRPr="00F83903">
        <w:rPr>
          <w:rFonts w:cstheme="minorHAnsi"/>
          <w:sz w:val="28"/>
          <w:szCs w:val="28"/>
        </w:rPr>
        <w:t xml:space="preserve">enrolments </w:t>
      </w:r>
      <w:r w:rsidR="00251438" w:rsidRPr="00F83903">
        <w:rPr>
          <w:rFonts w:cstheme="minorHAnsi"/>
          <w:sz w:val="28"/>
          <w:szCs w:val="28"/>
        </w:rPr>
        <w:t>stagnated from the late 1990s</w:t>
      </w:r>
      <w:r w:rsidR="003302DD" w:rsidRPr="00F83903">
        <w:rPr>
          <w:rFonts w:cstheme="minorHAnsi"/>
          <w:sz w:val="28"/>
          <w:szCs w:val="28"/>
        </w:rPr>
        <w:t xml:space="preserve">; they </w:t>
      </w:r>
      <w:r w:rsidR="00251438" w:rsidRPr="00F83903">
        <w:rPr>
          <w:rFonts w:cstheme="minorHAnsi"/>
          <w:sz w:val="28"/>
          <w:szCs w:val="28"/>
        </w:rPr>
        <w:t>increased by barely 4% betw</w:t>
      </w:r>
      <w:r w:rsidR="00F125F1">
        <w:rPr>
          <w:rFonts w:cstheme="minorHAnsi"/>
          <w:sz w:val="28"/>
          <w:szCs w:val="28"/>
        </w:rPr>
        <w:t>een 2002 and 2007</w:t>
      </w:r>
      <w:r w:rsidR="00251438" w:rsidRPr="00F83903">
        <w:rPr>
          <w:rFonts w:cstheme="minorHAnsi"/>
          <w:sz w:val="28"/>
          <w:szCs w:val="28"/>
        </w:rPr>
        <w:t>.</w:t>
      </w:r>
    </w:p>
    <w:p w14:paraId="1271EBF1" w14:textId="0E6C4747" w:rsidR="008B0B32" w:rsidRPr="00F83903" w:rsidRDefault="00C71E7D" w:rsidP="00E114E2">
      <w:pPr>
        <w:jc w:val="both"/>
        <w:rPr>
          <w:rFonts w:cstheme="minorHAnsi"/>
          <w:sz w:val="28"/>
          <w:szCs w:val="28"/>
        </w:rPr>
      </w:pPr>
      <w:r w:rsidRPr="00F83903">
        <w:rPr>
          <w:rFonts w:cstheme="minorHAnsi"/>
          <w:sz w:val="28"/>
          <w:szCs w:val="28"/>
        </w:rPr>
        <w:t xml:space="preserve">No </w:t>
      </w:r>
      <w:r w:rsidR="00BF37C8" w:rsidRPr="00F83903">
        <w:rPr>
          <w:rFonts w:cstheme="minorHAnsi"/>
          <w:sz w:val="28"/>
          <w:szCs w:val="28"/>
        </w:rPr>
        <w:t xml:space="preserve">robust </w:t>
      </w:r>
      <w:r w:rsidRPr="00F83903">
        <w:rPr>
          <w:rFonts w:cstheme="minorHAnsi"/>
          <w:sz w:val="28"/>
          <w:szCs w:val="28"/>
        </w:rPr>
        <w:t xml:space="preserve">research has been undertaken on the reasons for the </w:t>
      </w:r>
      <w:r w:rsidR="003302DD" w:rsidRPr="00F83903">
        <w:rPr>
          <w:rFonts w:cstheme="minorHAnsi"/>
          <w:sz w:val="28"/>
          <w:szCs w:val="28"/>
        </w:rPr>
        <w:t xml:space="preserve">surge in offshore provision </w:t>
      </w:r>
      <w:r w:rsidR="00914B3C" w:rsidRPr="00F83903">
        <w:rPr>
          <w:rFonts w:cstheme="minorHAnsi"/>
          <w:sz w:val="28"/>
          <w:szCs w:val="28"/>
        </w:rPr>
        <w:t xml:space="preserve">that occurred after </w:t>
      </w:r>
      <w:r w:rsidR="00147A00" w:rsidRPr="00F83903">
        <w:rPr>
          <w:rFonts w:cstheme="minorHAnsi"/>
          <w:sz w:val="28"/>
          <w:szCs w:val="28"/>
        </w:rPr>
        <w:t>2008</w:t>
      </w:r>
      <w:r w:rsidR="003302DD" w:rsidRPr="00F83903">
        <w:rPr>
          <w:rFonts w:cstheme="minorHAnsi"/>
          <w:sz w:val="28"/>
          <w:szCs w:val="28"/>
        </w:rPr>
        <w:t xml:space="preserve"> </w:t>
      </w:r>
      <w:r w:rsidRPr="00F83903">
        <w:rPr>
          <w:rFonts w:cstheme="minorHAnsi"/>
          <w:sz w:val="28"/>
          <w:szCs w:val="28"/>
        </w:rPr>
        <w:t xml:space="preserve">but a key factor is </w:t>
      </w:r>
      <w:r w:rsidR="00006F1E" w:rsidRPr="00F83903">
        <w:rPr>
          <w:rFonts w:cstheme="minorHAnsi"/>
          <w:sz w:val="28"/>
          <w:szCs w:val="28"/>
        </w:rPr>
        <w:t xml:space="preserve">likely to be </w:t>
      </w:r>
      <w:r w:rsidR="003302DD" w:rsidRPr="00F83903">
        <w:rPr>
          <w:rFonts w:cstheme="minorHAnsi"/>
          <w:sz w:val="28"/>
          <w:szCs w:val="28"/>
        </w:rPr>
        <w:t xml:space="preserve">the </w:t>
      </w:r>
      <w:r w:rsidR="006E4CF4" w:rsidRPr="00F83903">
        <w:rPr>
          <w:rFonts w:cstheme="minorHAnsi"/>
          <w:sz w:val="28"/>
          <w:szCs w:val="28"/>
        </w:rPr>
        <w:t xml:space="preserve">increasing pace of </w:t>
      </w:r>
      <w:r w:rsidR="003302DD" w:rsidRPr="00F83903">
        <w:rPr>
          <w:rFonts w:cstheme="minorHAnsi"/>
          <w:sz w:val="28"/>
          <w:szCs w:val="28"/>
        </w:rPr>
        <w:t xml:space="preserve">commercialisation </w:t>
      </w:r>
      <w:r w:rsidR="006E4CF4" w:rsidRPr="00F83903">
        <w:rPr>
          <w:rFonts w:cstheme="minorHAnsi"/>
          <w:sz w:val="28"/>
          <w:szCs w:val="28"/>
        </w:rPr>
        <w:t>in</w:t>
      </w:r>
      <w:r w:rsidR="003302DD" w:rsidRPr="00F83903">
        <w:rPr>
          <w:rFonts w:cstheme="minorHAnsi"/>
          <w:sz w:val="28"/>
          <w:szCs w:val="28"/>
        </w:rPr>
        <w:t xml:space="preserve"> the university sector </w:t>
      </w:r>
      <w:r w:rsidR="00914B3C" w:rsidRPr="00F83903">
        <w:rPr>
          <w:rFonts w:cstheme="minorHAnsi"/>
          <w:sz w:val="28"/>
          <w:szCs w:val="28"/>
        </w:rPr>
        <w:t xml:space="preserve">in the UK </w:t>
      </w:r>
      <w:r w:rsidRPr="00F83903">
        <w:rPr>
          <w:rFonts w:cstheme="minorHAnsi"/>
          <w:sz w:val="28"/>
          <w:szCs w:val="28"/>
        </w:rPr>
        <w:t>which</w:t>
      </w:r>
      <w:r w:rsidR="00914B3C" w:rsidRPr="00F83903">
        <w:rPr>
          <w:rFonts w:cstheme="minorHAnsi"/>
          <w:sz w:val="28"/>
          <w:szCs w:val="28"/>
        </w:rPr>
        <w:t>, as noted above,</w:t>
      </w:r>
      <w:r w:rsidRPr="00F83903">
        <w:rPr>
          <w:rFonts w:cstheme="minorHAnsi"/>
          <w:sz w:val="28"/>
          <w:szCs w:val="28"/>
        </w:rPr>
        <w:t xml:space="preserve"> has been driven by the privatisation of university funding</w:t>
      </w:r>
      <w:r w:rsidR="00914B3C" w:rsidRPr="00F83903">
        <w:rPr>
          <w:rFonts w:cstheme="minorHAnsi"/>
          <w:sz w:val="28"/>
          <w:szCs w:val="28"/>
        </w:rPr>
        <w:t>, particularly since 2010</w:t>
      </w:r>
      <w:r w:rsidR="00BF37C8" w:rsidRPr="00F83903">
        <w:rPr>
          <w:rFonts w:cstheme="minorHAnsi"/>
          <w:sz w:val="28"/>
          <w:szCs w:val="28"/>
        </w:rPr>
        <w:t>.</w:t>
      </w:r>
      <w:r w:rsidRPr="00F83903">
        <w:rPr>
          <w:rFonts w:cstheme="minorHAnsi"/>
          <w:sz w:val="28"/>
          <w:szCs w:val="28"/>
        </w:rPr>
        <w:t xml:space="preserve"> </w:t>
      </w:r>
      <w:r w:rsidR="00E66BFB" w:rsidRPr="00F83903">
        <w:rPr>
          <w:rFonts w:cstheme="minorHAnsi"/>
          <w:sz w:val="28"/>
          <w:szCs w:val="28"/>
        </w:rPr>
        <w:t>Assuming this to be the case, it has been argued</w:t>
      </w:r>
      <w:r w:rsidR="00BF37C8" w:rsidRPr="00F83903">
        <w:rPr>
          <w:rFonts w:cstheme="minorHAnsi"/>
          <w:sz w:val="28"/>
          <w:szCs w:val="28"/>
        </w:rPr>
        <w:t xml:space="preserve"> </w:t>
      </w:r>
      <w:r w:rsidR="00E66BFB" w:rsidRPr="00F83903">
        <w:rPr>
          <w:rFonts w:cstheme="minorHAnsi"/>
          <w:sz w:val="28"/>
          <w:szCs w:val="28"/>
        </w:rPr>
        <w:t xml:space="preserve">(particularly by </w:t>
      </w:r>
      <w:r w:rsidR="0091021F">
        <w:rPr>
          <w:rFonts w:cstheme="minorHAnsi"/>
          <w:sz w:val="28"/>
          <w:szCs w:val="28"/>
        </w:rPr>
        <w:t>Nigel</w:t>
      </w:r>
      <w:r w:rsidR="00E66BFB" w:rsidRPr="00F83903">
        <w:rPr>
          <w:rFonts w:cstheme="minorHAnsi"/>
          <w:sz w:val="28"/>
          <w:szCs w:val="28"/>
        </w:rPr>
        <w:t xml:space="preserve"> Healey) </w:t>
      </w:r>
      <w:r w:rsidR="00BF37C8" w:rsidRPr="00F83903">
        <w:rPr>
          <w:rFonts w:cstheme="minorHAnsi"/>
          <w:sz w:val="28"/>
          <w:szCs w:val="28"/>
        </w:rPr>
        <w:t xml:space="preserve">that </w:t>
      </w:r>
      <w:r w:rsidR="00451A9C" w:rsidRPr="00F83903">
        <w:rPr>
          <w:rFonts w:cstheme="minorHAnsi"/>
          <w:sz w:val="28"/>
          <w:szCs w:val="28"/>
        </w:rPr>
        <w:t>the internationalisation of higher education</w:t>
      </w:r>
      <w:r w:rsidR="00BF37C8" w:rsidRPr="00F83903">
        <w:rPr>
          <w:rFonts w:cstheme="minorHAnsi"/>
          <w:sz w:val="28"/>
          <w:szCs w:val="28"/>
        </w:rPr>
        <w:t xml:space="preserve"> </w:t>
      </w:r>
      <w:r w:rsidR="00E66BFB" w:rsidRPr="00F83903">
        <w:rPr>
          <w:rFonts w:cstheme="minorHAnsi"/>
          <w:sz w:val="28"/>
          <w:szCs w:val="28"/>
        </w:rPr>
        <w:t xml:space="preserve">should, therefore, </w:t>
      </w:r>
      <w:r w:rsidR="00BF37C8" w:rsidRPr="00F83903">
        <w:rPr>
          <w:rFonts w:cstheme="minorHAnsi"/>
          <w:sz w:val="28"/>
          <w:szCs w:val="28"/>
        </w:rPr>
        <w:t xml:space="preserve">be </w:t>
      </w:r>
      <w:r w:rsidR="00E66BFB" w:rsidRPr="00F83903">
        <w:rPr>
          <w:rFonts w:cstheme="minorHAnsi"/>
          <w:sz w:val="28"/>
          <w:szCs w:val="28"/>
        </w:rPr>
        <w:t xml:space="preserve">viewed primarily </w:t>
      </w:r>
      <w:r w:rsidR="00BF37C8" w:rsidRPr="00F83903">
        <w:rPr>
          <w:rFonts w:cstheme="minorHAnsi"/>
          <w:sz w:val="28"/>
          <w:szCs w:val="28"/>
        </w:rPr>
        <w:t xml:space="preserve">as </w:t>
      </w:r>
      <w:r w:rsidR="00451A9C" w:rsidRPr="00F83903">
        <w:rPr>
          <w:rFonts w:cstheme="minorHAnsi"/>
          <w:sz w:val="28"/>
          <w:szCs w:val="28"/>
        </w:rPr>
        <w:t xml:space="preserve">an </w:t>
      </w:r>
      <w:r w:rsidR="00E66BFB" w:rsidRPr="00F83903">
        <w:rPr>
          <w:rFonts w:cstheme="minorHAnsi"/>
          <w:sz w:val="28"/>
          <w:szCs w:val="28"/>
        </w:rPr>
        <w:t xml:space="preserve">essentially </w:t>
      </w:r>
      <w:r w:rsidR="00914B3C" w:rsidRPr="00F83903">
        <w:rPr>
          <w:rFonts w:cstheme="minorHAnsi"/>
          <w:sz w:val="28"/>
          <w:szCs w:val="28"/>
        </w:rPr>
        <w:t>short-term</w:t>
      </w:r>
      <w:r w:rsidR="00451A9C" w:rsidRPr="00F83903">
        <w:rPr>
          <w:rFonts w:cstheme="minorHAnsi"/>
          <w:sz w:val="28"/>
          <w:szCs w:val="28"/>
        </w:rPr>
        <w:t>,</w:t>
      </w:r>
      <w:r w:rsidR="00914B3C" w:rsidRPr="00F83903">
        <w:rPr>
          <w:rFonts w:cstheme="minorHAnsi"/>
          <w:sz w:val="28"/>
          <w:szCs w:val="28"/>
        </w:rPr>
        <w:t xml:space="preserve"> </w:t>
      </w:r>
      <w:r w:rsidR="00451A9C" w:rsidRPr="00F83903">
        <w:rPr>
          <w:rFonts w:cstheme="minorHAnsi"/>
          <w:sz w:val="28"/>
          <w:szCs w:val="28"/>
        </w:rPr>
        <w:t>pragmatic/</w:t>
      </w:r>
      <w:r w:rsidR="006E4CF4" w:rsidRPr="00F83903">
        <w:rPr>
          <w:rFonts w:cstheme="minorHAnsi"/>
          <w:sz w:val="28"/>
          <w:szCs w:val="28"/>
        </w:rPr>
        <w:t>opportunistic response by</w:t>
      </w:r>
      <w:r w:rsidR="00BF37C8" w:rsidRPr="00F83903">
        <w:rPr>
          <w:rFonts w:cstheme="minorHAnsi"/>
          <w:sz w:val="28"/>
          <w:szCs w:val="28"/>
        </w:rPr>
        <w:t xml:space="preserve"> a certain segment of British universities </w:t>
      </w:r>
      <w:r w:rsidR="00E66BFB" w:rsidRPr="00F83903">
        <w:rPr>
          <w:rFonts w:cstheme="minorHAnsi"/>
          <w:sz w:val="28"/>
          <w:szCs w:val="28"/>
        </w:rPr>
        <w:t xml:space="preserve">to </w:t>
      </w:r>
      <w:r w:rsidR="00914B3C" w:rsidRPr="00F83903">
        <w:rPr>
          <w:rFonts w:cstheme="minorHAnsi"/>
          <w:sz w:val="28"/>
          <w:szCs w:val="28"/>
        </w:rPr>
        <w:t>(</w:t>
      </w:r>
      <w:r w:rsidR="00E66BFB" w:rsidRPr="00F83903">
        <w:rPr>
          <w:rFonts w:cstheme="minorHAnsi"/>
          <w:sz w:val="28"/>
          <w:szCs w:val="28"/>
        </w:rPr>
        <w:t>poorly conceived</w:t>
      </w:r>
      <w:r w:rsidR="00914B3C" w:rsidRPr="00F83903">
        <w:rPr>
          <w:rFonts w:cstheme="minorHAnsi"/>
          <w:sz w:val="28"/>
          <w:szCs w:val="28"/>
        </w:rPr>
        <w:t>)</w:t>
      </w:r>
      <w:r w:rsidR="00E66BFB" w:rsidRPr="00F83903">
        <w:rPr>
          <w:rFonts w:cstheme="minorHAnsi"/>
          <w:sz w:val="28"/>
          <w:szCs w:val="28"/>
        </w:rPr>
        <w:t xml:space="preserve"> government policy</w:t>
      </w:r>
      <w:r w:rsidR="00914B3C" w:rsidRPr="00F83903">
        <w:rPr>
          <w:rFonts w:cstheme="minorHAnsi"/>
          <w:sz w:val="28"/>
          <w:szCs w:val="28"/>
        </w:rPr>
        <w:t xml:space="preserve">. This is </w:t>
      </w:r>
      <w:r w:rsidR="00E66BFB" w:rsidRPr="00F83903">
        <w:rPr>
          <w:rFonts w:cstheme="minorHAnsi"/>
          <w:sz w:val="28"/>
          <w:szCs w:val="28"/>
        </w:rPr>
        <w:t xml:space="preserve">in marked contrast to the mainstream view of </w:t>
      </w:r>
      <w:r w:rsidR="00451A9C" w:rsidRPr="00F83903">
        <w:rPr>
          <w:rFonts w:cstheme="minorHAnsi"/>
          <w:sz w:val="28"/>
          <w:szCs w:val="28"/>
        </w:rPr>
        <w:t xml:space="preserve">Universities UK, </w:t>
      </w:r>
      <w:r w:rsidR="00E66BFB" w:rsidRPr="00F83903">
        <w:rPr>
          <w:rFonts w:cstheme="minorHAnsi"/>
          <w:sz w:val="28"/>
          <w:szCs w:val="28"/>
        </w:rPr>
        <w:t xml:space="preserve">the </w:t>
      </w:r>
      <w:r w:rsidR="00E66BFB" w:rsidRPr="00F83903">
        <w:rPr>
          <w:rFonts w:cstheme="minorHAnsi"/>
          <w:sz w:val="28"/>
          <w:szCs w:val="28"/>
        </w:rPr>
        <w:lastRenderedPageBreak/>
        <w:t>Bri</w:t>
      </w:r>
      <w:r w:rsidR="00006F1E" w:rsidRPr="00F83903">
        <w:rPr>
          <w:rFonts w:cstheme="minorHAnsi"/>
          <w:sz w:val="28"/>
          <w:szCs w:val="28"/>
        </w:rPr>
        <w:t>tish Council a</w:t>
      </w:r>
      <w:r w:rsidR="003A6510" w:rsidRPr="00F83903">
        <w:rPr>
          <w:rFonts w:cstheme="minorHAnsi"/>
          <w:sz w:val="28"/>
          <w:szCs w:val="28"/>
        </w:rPr>
        <w:t xml:space="preserve">nd others (including most academic commentators) </w:t>
      </w:r>
      <w:r w:rsidR="00006F1E" w:rsidRPr="00F83903">
        <w:rPr>
          <w:rFonts w:cstheme="minorHAnsi"/>
          <w:sz w:val="28"/>
          <w:szCs w:val="28"/>
        </w:rPr>
        <w:t xml:space="preserve">that </w:t>
      </w:r>
      <w:r w:rsidR="00451A9C" w:rsidRPr="00F83903">
        <w:rPr>
          <w:rFonts w:cstheme="minorHAnsi"/>
          <w:sz w:val="28"/>
          <w:szCs w:val="28"/>
        </w:rPr>
        <w:t>higher education internationalisation i</w:t>
      </w:r>
      <w:r w:rsidR="00E66BFB" w:rsidRPr="00F83903">
        <w:rPr>
          <w:rFonts w:cstheme="minorHAnsi"/>
          <w:sz w:val="28"/>
          <w:szCs w:val="28"/>
        </w:rPr>
        <w:t xml:space="preserve">s </w:t>
      </w:r>
      <w:r w:rsidR="00914B3C" w:rsidRPr="00F83903">
        <w:rPr>
          <w:rFonts w:cstheme="minorHAnsi"/>
          <w:sz w:val="28"/>
          <w:szCs w:val="28"/>
        </w:rPr>
        <w:t xml:space="preserve">largely </w:t>
      </w:r>
      <w:r w:rsidR="00E66BFB" w:rsidRPr="00F83903">
        <w:rPr>
          <w:rFonts w:cstheme="minorHAnsi"/>
          <w:sz w:val="28"/>
          <w:szCs w:val="28"/>
        </w:rPr>
        <w:t xml:space="preserve">explicable in terms of </w:t>
      </w:r>
      <w:r w:rsidR="00914B3C" w:rsidRPr="00F83903">
        <w:rPr>
          <w:rFonts w:cstheme="minorHAnsi"/>
          <w:sz w:val="28"/>
          <w:szCs w:val="28"/>
        </w:rPr>
        <w:t xml:space="preserve">a </w:t>
      </w:r>
      <w:r w:rsidR="00E66BFB" w:rsidRPr="00F83903">
        <w:rPr>
          <w:rFonts w:cstheme="minorHAnsi"/>
          <w:sz w:val="28"/>
          <w:szCs w:val="28"/>
        </w:rPr>
        <w:t xml:space="preserve">much wider, longer-term </w:t>
      </w:r>
      <w:r w:rsidR="00B23A58" w:rsidRPr="00F83903">
        <w:rPr>
          <w:rFonts w:cstheme="minorHAnsi"/>
          <w:sz w:val="28"/>
          <w:szCs w:val="28"/>
        </w:rPr>
        <w:t xml:space="preserve">and irreversible </w:t>
      </w:r>
      <w:r w:rsidR="00E66BFB" w:rsidRPr="00F83903">
        <w:rPr>
          <w:rFonts w:cstheme="minorHAnsi"/>
          <w:sz w:val="28"/>
          <w:szCs w:val="28"/>
        </w:rPr>
        <w:t xml:space="preserve">globalisation process of higher education provision </w:t>
      </w:r>
      <w:r w:rsidR="00914B3C" w:rsidRPr="00F83903">
        <w:rPr>
          <w:rFonts w:cstheme="minorHAnsi"/>
          <w:sz w:val="28"/>
          <w:szCs w:val="28"/>
        </w:rPr>
        <w:t xml:space="preserve">worldwide </w:t>
      </w:r>
      <w:r w:rsidR="00E66BFB" w:rsidRPr="00F83903">
        <w:rPr>
          <w:rFonts w:cstheme="minorHAnsi"/>
          <w:sz w:val="28"/>
          <w:szCs w:val="28"/>
        </w:rPr>
        <w:t xml:space="preserve">whose scope and forms </w:t>
      </w:r>
      <w:r w:rsidR="00914B3C" w:rsidRPr="00F83903">
        <w:rPr>
          <w:rFonts w:cstheme="minorHAnsi"/>
          <w:sz w:val="28"/>
          <w:szCs w:val="28"/>
        </w:rPr>
        <w:t xml:space="preserve">are likely to </w:t>
      </w:r>
      <w:r w:rsidR="00E66BFB" w:rsidRPr="00F83903">
        <w:rPr>
          <w:rFonts w:cstheme="minorHAnsi"/>
          <w:sz w:val="28"/>
          <w:szCs w:val="28"/>
        </w:rPr>
        <w:t xml:space="preserve">evolve in a similar manner to the earlier emergence of multinational corporations and the </w:t>
      </w:r>
      <w:r w:rsidR="006E4CF4" w:rsidRPr="00F83903">
        <w:rPr>
          <w:rFonts w:cstheme="minorHAnsi"/>
          <w:sz w:val="28"/>
          <w:szCs w:val="28"/>
        </w:rPr>
        <w:t>globalisation</w:t>
      </w:r>
      <w:r w:rsidR="00E66BFB" w:rsidRPr="00F83903">
        <w:rPr>
          <w:rFonts w:cstheme="minorHAnsi"/>
          <w:sz w:val="28"/>
          <w:szCs w:val="28"/>
        </w:rPr>
        <w:t xml:space="preserve"> of </w:t>
      </w:r>
      <w:r w:rsidR="00914B3C" w:rsidRPr="00F83903">
        <w:rPr>
          <w:rFonts w:cstheme="minorHAnsi"/>
          <w:sz w:val="28"/>
          <w:szCs w:val="28"/>
        </w:rPr>
        <w:t xml:space="preserve">the production of </w:t>
      </w:r>
      <w:r w:rsidR="00E66BFB" w:rsidRPr="00F83903">
        <w:rPr>
          <w:rFonts w:cstheme="minorHAnsi"/>
          <w:sz w:val="28"/>
          <w:szCs w:val="28"/>
        </w:rPr>
        <w:t>goods and services</w:t>
      </w:r>
      <w:r w:rsidR="0012649F">
        <w:rPr>
          <w:rFonts w:cstheme="minorHAnsi"/>
          <w:sz w:val="28"/>
          <w:szCs w:val="28"/>
        </w:rPr>
        <w:t xml:space="preserve"> as a whole (see Healey, 2013</w:t>
      </w:r>
      <w:r w:rsidR="00914B3C" w:rsidRPr="00F83903">
        <w:rPr>
          <w:rFonts w:cstheme="minorHAnsi"/>
          <w:sz w:val="28"/>
          <w:szCs w:val="28"/>
        </w:rPr>
        <w:t>)</w:t>
      </w:r>
      <w:r w:rsidR="00E66BFB" w:rsidRPr="00F83903">
        <w:rPr>
          <w:rFonts w:cstheme="minorHAnsi"/>
          <w:sz w:val="28"/>
          <w:szCs w:val="28"/>
        </w:rPr>
        <w:t>.</w:t>
      </w:r>
      <w:r w:rsidR="00914B3C" w:rsidRPr="00F83903">
        <w:rPr>
          <w:rFonts w:cstheme="minorHAnsi"/>
          <w:sz w:val="28"/>
          <w:szCs w:val="28"/>
        </w:rPr>
        <w:t xml:space="preserve"> </w:t>
      </w:r>
    </w:p>
    <w:p w14:paraId="37752D1B" w14:textId="0CD28FF3" w:rsidR="008B0B32" w:rsidRPr="00F83903" w:rsidRDefault="008B0B32" w:rsidP="00E114E2">
      <w:pPr>
        <w:jc w:val="both"/>
        <w:rPr>
          <w:rFonts w:cstheme="minorHAnsi"/>
          <w:sz w:val="28"/>
          <w:szCs w:val="28"/>
        </w:rPr>
      </w:pPr>
      <w:r w:rsidRPr="00F83903">
        <w:rPr>
          <w:rFonts w:cstheme="minorHAnsi"/>
          <w:sz w:val="28"/>
          <w:szCs w:val="28"/>
        </w:rPr>
        <w:t xml:space="preserve">Whereas </w:t>
      </w:r>
      <w:r w:rsidR="00451A9C" w:rsidRPr="00F83903">
        <w:rPr>
          <w:rFonts w:cstheme="minorHAnsi"/>
          <w:sz w:val="28"/>
          <w:szCs w:val="28"/>
        </w:rPr>
        <w:t xml:space="preserve">offshore </w:t>
      </w:r>
      <w:r w:rsidR="00647667" w:rsidRPr="00F83903">
        <w:rPr>
          <w:rFonts w:cstheme="minorHAnsi"/>
          <w:sz w:val="28"/>
          <w:szCs w:val="28"/>
        </w:rPr>
        <w:t xml:space="preserve">student </w:t>
      </w:r>
      <w:r w:rsidRPr="00F83903">
        <w:rPr>
          <w:rFonts w:cstheme="minorHAnsi"/>
          <w:sz w:val="28"/>
          <w:szCs w:val="28"/>
        </w:rPr>
        <w:t xml:space="preserve">enrolment </w:t>
      </w:r>
      <w:r w:rsidR="00B23A58" w:rsidRPr="00F83903">
        <w:rPr>
          <w:rFonts w:cstheme="minorHAnsi"/>
          <w:sz w:val="28"/>
          <w:szCs w:val="28"/>
        </w:rPr>
        <w:t xml:space="preserve">among UK universities </w:t>
      </w:r>
      <w:r w:rsidRPr="00F83903">
        <w:rPr>
          <w:rFonts w:cstheme="minorHAnsi"/>
          <w:sz w:val="28"/>
          <w:szCs w:val="28"/>
        </w:rPr>
        <w:t>grew by 72% between 2007/08 and 2012/13, it increased by little more than 10% between 20</w:t>
      </w:r>
      <w:r w:rsidR="00647667" w:rsidRPr="00F83903">
        <w:rPr>
          <w:rFonts w:cstheme="minorHAnsi"/>
          <w:sz w:val="28"/>
          <w:szCs w:val="28"/>
        </w:rPr>
        <w:t>13/14 and 2016/17</w:t>
      </w:r>
      <w:r w:rsidRPr="00F83903">
        <w:rPr>
          <w:rFonts w:cstheme="minorHAnsi"/>
          <w:sz w:val="28"/>
          <w:szCs w:val="28"/>
        </w:rPr>
        <w:t>. Th</w:t>
      </w:r>
      <w:r w:rsidR="00B23A58" w:rsidRPr="00F83903">
        <w:rPr>
          <w:rFonts w:cstheme="minorHAnsi"/>
          <w:sz w:val="28"/>
          <w:szCs w:val="28"/>
        </w:rPr>
        <w:t xml:space="preserve">e possible reasons for this </w:t>
      </w:r>
      <w:r w:rsidR="00D77761" w:rsidRPr="00F83903">
        <w:rPr>
          <w:rFonts w:cstheme="minorHAnsi"/>
          <w:sz w:val="28"/>
          <w:szCs w:val="28"/>
        </w:rPr>
        <w:t xml:space="preserve">marked </w:t>
      </w:r>
      <w:r w:rsidRPr="00F83903">
        <w:rPr>
          <w:rFonts w:cstheme="minorHAnsi"/>
          <w:sz w:val="28"/>
          <w:szCs w:val="28"/>
        </w:rPr>
        <w:t xml:space="preserve">slowdown in </w:t>
      </w:r>
      <w:r w:rsidR="00D77761" w:rsidRPr="00F83903">
        <w:rPr>
          <w:rFonts w:cstheme="minorHAnsi"/>
          <w:sz w:val="28"/>
          <w:szCs w:val="28"/>
        </w:rPr>
        <w:t xml:space="preserve">offshore enrolment </w:t>
      </w:r>
      <w:r w:rsidRPr="00F83903">
        <w:rPr>
          <w:rFonts w:cstheme="minorHAnsi"/>
          <w:sz w:val="28"/>
          <w:szCs w:val="28"/>
        </w:rPr>
        <w:t xml:space="preserve">growth </w:t>
      </w:r>
      <w:r w:rsidR="00B23A58" w:rsidRPr="00F83903">
        <w:rPr>
          <w:rFonts w:cstheme="minorHAnsi"/>
          <w:sz w:val="28"/>
          <w:szCs w:val="28"/>
        </w:rPr>
        <w:t xml:space="preserve">will be discussed in greater depth </w:t>
      </w:r>
      <w:r w:rsidR="00006F1E" w:rsidRPr="00F83903">
        <w:rPr>
          <w:rFonts w:cstheme="minorHAnsi"/>
          <w:sz w:val="28"/>
          <w:szCs w:val="28"/>
        </w:rPr>
        <w:t>later in this paper</w:t>
      </w:r>
      <w:r w:rsidR="00B23A58" w:rsidRPr="00F83903">
        <w:rPr>
          <w:rFonts w:cstheme="minorHAnsi"/>
          <w:sz w:val="28"/>
          <w:szCs w:val="28"/>
        </w:rPr>
        <w:t xml:space="preserve">. However, it would appear to provide </w:t>
      </w:r>
      <w:r w:rsidR="00006F1E" w:rsidRPr="00F83903">
        <w:rPr>
          <w:rFonts w:cstheme="minorHAnsi"/>
          <w:sz w:val="28"/>
          <w:szCs w:val="28"/>
        </w:rPr>
        <w:t xml:space="preserve">some </w:t>
      </w:r>
      <w:r w:rsidR="00B23A58" w:rsidRPr="00F83903">
        <w:rPr>
          <w:rFonts w:cstheme="minorHAnsi"/>
          <w:sz w:val="28"/>
          <w:szCs w:val="28"/>
        </w:rPr>
        <w:t>prima facie support for</w:t>
      </w:r>
      <w:r w:rsidR="003A6510" w:rsidRPr="00F83903">
        <w:rPr>
          <w:rFonts w:cstheme="minorHAnsi"/>
          <w:sz w:val="28"/>
          <w:szCs w:val="28"/>
        </w:rPr>
        <w:t>,</w:t>
      </w:r>
      <w:r w:rsidR="00B23A58" w:rsidRPr="00F83903">
        <w:rPr>
          <w:rFonts w:cstheme="minorHAnsi"/>
          <w:sz w:val="28"/>
          <w:szCs w:val="28"/>
        </w:rPr>
        <w:t xml:space="preserve"> </w:t>
      </w:r>
      <w:r w:rsidR="003A6510" w:rsidRPr="00F83903">
        <w:rPr>
          <w:rFonts w:cstheme="minorHAnsi"/>
          <w:sz w:val="28"/>
          <w:szCs w:val="28"/>
        </w:rPr>
        <w:t xml:space="preserve">what we shall term, </w:t>
      </w:r>
      <w:r w:rsidR="00B23A58" w:rsidRPr="00F83903">
        <w:rPr>
          <w:rFonts w:cstheme="minorHAnsi"/>
          <w:sz w:val="28"/>
          <w:szCs w:val="28"/>
        </w:rPr>
        <w:t xml:space="preserve">the Healey Hypothesis. It also </w:t>
      </w:r>
      <w:r w:rsidR="00006F1E" w:rsidRPr="00F83903">
        <w:rPr>
          <w:rFonts w:cstheme="minorHAnsi"/>
          <w:sz w:val="28"/>
          <w:szCs w:val="28"/>
        </w:rPr>
        <w:t xml:space="preserve">seems significant </w:t>
      </w:r>
      <w:r w:rsidR="00B23A58" w:rsidRPr="00F83903">
        <w:rPr>
          <w:rFonts w:cstheme="minorHAnsi"/>
          <w:sz w:val="28"/>
          <w:szCs w:val="28"/>
        </w:rPr>
        <w:t xml:space="preserve">that </w:t>
      </w:r>
      <w:r w:rsidR="00D77761" w:rsidRPr="00F83903">
        <w:rPr>
          <w:rFonts w:cstheme="minorHAnsi"/>
          <w:sz w:val="28"/>
          <w:szCs w:val="28"/>
        </w:rPr>
        <w:t xml:space="preserve">offshore </w:t>
      </w:r>
      <w:r w:rsidR="00B23A58" w:rsidRPr="00F83903">
        <w:rPr>
          <w:rFonts w:cstheme="minorHAnsi"/>
          <w:sz w:val="28"/>
          <w:szCs w:val="28"/>
        </w:rPr>
        <w:t xml:space="preserve">enrolments </w:t>
      </w:r>
      <w:r w:rsidR="000918DD">
        <w:rPr>
          <w:rFonts w:cstheme="minorHAnsi"/>
          <w:sz w:val="28"/>
          <w:szCs w:val="28"/>
        </w:rPr>
        <w:t xml:space="preserve">at </w:t>
      </w:r>
      <w:r w:rsidR="00B23A58" w:rsidRPr="00F83903">
        <w:rPr>
          <w:rFonts w:cstheme="minorHAnsi"/>
          <w:sz w:val="28"/>
          <w:szCs w:val="28"/>
        </w:rPr>
        <w:t>Australia</w:t>
      </w:r>
      <w:r w:rsidR="000918DD">
        <w:rPr>
          <w:rFonts w:cstheme="minorHAnsi"/>
          <w:sz w:val="28"/>
          <w:szCs w:val="28"/>
        </w:rPr>
        <w:t>n universities (which are UK universities main competitor for offshore students)</w:t>
      </w:r>
      <w:r w:rsidR="00B23A58" w:rsidRPr="00F83903">
        <w:rPr>
          <w:rFonts w:cstheme="minorHAnsi"/>
          <w:sz w:val="28"/>
          <w:szCs w:val="28"/>
        </w:rPr>
        <w:t xml:space="preserve"> not only slowed down as dramatically as in the UK during the</w:t>
      </w:r>
      <w:r w:rsidR="00D77761" w:rsidRPr="00F83903">
        <w:rPr>
          <w:rFonts w:cstheme="minorHAnsi"/>
          <w:sz w:val="28"/>
          <w:szCs w:val="28"/>
        </w:rPr>
        <w:t xml:space="preserve"> same period, but they </w:t>
      </w:r>
      <w:r w:rsidR="00B23A58" w:rsidRPr="00F83903">
        <w:rPr>
          <w:rFonts w:cstheme="minorHAnsi"/>
          <w:sz w:val="28"/>
          <w:szCs w:val="28"/>
        </w:rPr>
        <w:t xml:space="preserve">declined for the first time in 2016/17. </w:t>
      </w:r>
      <w:r w:rsidRPr="00F83903">
        <w:rPr>
          <w:rFonts w:cstheme="minorHAnsi"/>
          <w:sz w:val="28"/>
          <w:szCs w:val="28"/>
        </w:rPr>
        <w:t xml:space="preserve">  </w:t>
      </w:r>
    </w:p>
    <w:p w14:paraId="25503343" w14:textId="77777777" w:rsidR="008B0B32" w:rsidRPr="005066CB" w:rsidRDefault="003A6510" w:rsidP="009137B4">
      <w:pPr>
        <w:pStyle w:val="Heading2"/>
      </w:pPr>
      <w:bookmarkStart w:id="10" w:name="_Toc531957303"/>
      <w:r w:rsidRPr="005066CB">
        <w:t xml:space="preserve">3.2 </w:t>
      </w:r>
      <w:r w:rsidR="004F4DAA" w:rsidRPr="005066CB">
        <w:t>ENROLMENT SHARES</w:t>
      </w:r>
      <w:bookmarkEnd w:id="10"/>
    </w:p>
    <w:p w14:paraId="10CB4BA3" w14:textId="7F23BB41" w:rsidR="003E239F" w:rsidRDefault="003E239F" w:rsidP="00E114E2">
      <w:pPr>
        <w:jc w:val="both"/>
        <w:rPr>
          <w:rFonts w:cstheme="minorHAnsi"/>
          <w:sz w:val="28"/>
          <w:szCs w:val="28"/>
        </w:rPr>
      </w:pPr>
      <w:r w:rsidRPr="005066CB">
        <w:rPr>
          <w:rFonts w:cstheme="minorHAnsi"/>
          <w:sz w:val="28"/>
          <w:szCs w:val="28"/>
        </w:rPr>
        <w:t xml:space="preserve">The overall </w:t>
      </w:r>
      <w:r w:rsidR="00945D5B" w:rsidRPr="005066CB">
        <w:rPr>
          <w:rFonts w:cstheme="minorHAnsi"/>
          <w:sz w:val="28"/>
          <w:szCs w:val="28"/>
        </w:rPr>
        <w:t xml:space="preserve">enrolment </w:t>
      </w:r>
      <w:r w:rsidRPr="005066CB">
        <w:rPr>
          <w:rFonts w:cstheme="minorHAnsi"/>
          <w:sz w:val="28"/>
          <w:szCs w:val="28"/>
        </w:rPr>
        <w:t xml:space="preserve">share of onshore and offshore overseas students </w:t>
      </w:r>
      <w:r w:rsidR="004F4DAA" w:rsidRPr="00E64D13">
        <w:rPr>
          <w:rFonts w:cstheme="minorHAnsi"/>
          <w:sz w:val="28"/>
          <w:szCs w:val="28"/>
        </w:rPr>
        <w:t xml:space="preserve">has </w:t>
      </w:r>
      <w:r w:rsidRPr="005066CB">
        <w:rPr>
          <w:rFonts w:cstheme="minorHAnsi"/>
          <w:sz w:val="28"/>
          <w:szCs w:val="28"/>
        </w:rPr>
        <w:t>almost doubled during the last 20 years - from 17% in 1996/97 to 31% in 2016/17</w:t>
      </w:r>
      <w:r w:rsidR="00647667" w:rsidRPr="005066CB">
        <w:rPr>
          <w:rFonts w:cstheme="minorHAnsi"/>
          <w:sz w:val="28"/>
          <w:szCs w:val="28"/>
        </w:rPr>
        <w:t xml:space="preserve"> (see figure 2</w:t>
      </w:r>
      <w:r w:rsidRPr="005066CB">
        <w:rPr>
          <w:rFonts w:cstheme="minorHAnsi"/>
          <w:sz w:val="28"/>
          <w:szCs w:val="28"/>
        </w:rPr>
        <w:t xml:space="preserve">). With foreign students comprising almost one-third of all students studying for UK university degrees, this </w:t>
      </w:r>
      <w:r w:rsidR="00D77761" w:rsidRPr="005066CB">
        <w:rPr>
          <w:rFonts w:cstheme="minorHAnsi"/>
          <w:sz w:val="28"/>
          <w:szCs w:val="28"/>
        </w:rPr>
        <w:t xml:space="preserve">would appear to be </w:t>
      </w:r>
      <w:r w:rsidRPr="005066CB">
        <w:rPr>
          <w:rFonts w:cstheme="minorHAnsi"/>
          <w:sz w:val="28"/>
          <w:szCs w:val="28"/>
        </w:rPr>
        <w:t xml:space="preserve">a significant level of internationalisation of education provision. </w:t>
      </w:r>
    </w:p>
    <w:p w14:paraId="5329DFBC" w14:textId="77777777" w:rsidR="001F62C5" w:rsidRPr="00F83903" w:rsidRDefault="001F62C5" w:rsidP="001F62C5">
      <w:pPr>
        <w:jc w:val="both"/>
        <w:rPr>
          <w:rFonts w:cstheme="minorHAnsi"/>
          <w:sz w:val="28"/>
          <w:szCs w:val="28"/>
        </w:rPr>
      </w:pPr>
      <w:r w:rsidRPr="00F83903">
        <w:rPr>
          <w:rFonts w:cstheme="minorHAnsi"/>
          <w:sz w:val="28"/>
          <w:szCs w:val="28"/>
        </w:rPr>
        <w:t>Whereas onshore and offshore enrolment shares accounted for 10% and 7% of all students enrolled o</w:t>
      </w:r>
      <w:r>
        <w:rPr>
          <w:rFonts w:cstheme="minorHAnsi"/>
          <w:sz w:val="28"/>
          <w:szCs w:val="28"/>
        </w:rPr>
        <w:t>n university courses in 1996/97</w:t>
      </w:r>
      <w:r w:rsidRPr="00F83903">
        <w:rPr>
          <w:rFonts w:cstheme="minorHAnsi"/>
          <w:sz w:val="28"/>
          <w:szCs w:val="28"/>
        </w:rPr>
        <w:t>, this had narrowed to 16% and 15% respectively in 2016/17.</w:t>
      </w:r>
    </w:p>
    <w:p w14:paraId="08694468" w14:textId="77777777" w:rsidR="001F62C5" w:rsidRPr="005066CB" w:rsidRDefault="001F62C5" w:rsidP="00E114E2">
      <w:pPr>
        <w:jc w:val="both"/>
        <w:rPr>
          <w:rFonts w:cstheme="minorHAnsi"/>
          <w:sz w:val="28"/>
          <w:szCs w:val="28"/>
        </w:rPr>
      </w:pPr>
    </w:p>
    <w:p w14:paraId="3515C0FF" w14:textId="77777777" w:rsidR="00F125F1" w:rsidRDefault="00F125F1" w:rsidP="00E114E2">
      <w:pPr>
        <w:jc w:val="both"/>
        <w:rPr>
          <w:rFonts w:cstheme="minorHAnsi"/>
          <w:sz w:val="28"/>
          <w:szCs w:val="28"/>
        </w:rPr>
      </w:pPr>
      <w:r w:rsidRPr="00AD3D62">
        <w:rPr>
          <w:rFonts w:cstheme="minorHAnsi"/>
          <w:noProof/>
          <w:sz w:val="28"/>
          <w:szCs w:val="28"/>
          <w:lang w:eastAsia="en-GB"/>
        </w:rPr>
        <w:lastRenderedPageBreak/>
        <w:drawing>
          <wp:inline distT="0" distB="0" distL="0" distR="0" wp14:anchorId="73EF71CF" wp14:editId="43EE0716">
            <wp:extent cx="5655240" cy="3001167"/>
            <wp:effectExtent l="19050" t="0" r="21660" b="8733"/>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ED5071" w14:textId="77777777" w:rsidR="001F62C5" w:rsidRDefault="001F62C5" w:rsidP="00E114E2">
      <w:pPr>
        <w:jc w:val="both"/>
        <w:rPr>
          <w:rFonts w:cstheme="minorHAnsi"/>
          <w:sz w:val="28"/>
          <w:szCs w:val="28"/>
        </w:rPr>
      </w:pPr>
    </w:p>
    <w:p w14:paraId="62D109A3" w14:textId="6EEC294E" w:rsidR="00BE61BB" w:rsidRPr="00E41C69" w:rsidRDefault="0011515E" w:rsidP="009137B4">
      <w:pPr>
        <w:pStyle w:val="Heading1"/>
      </w:pPr>
      <w:bookmarkStart w:id="11" w:name="_Toc531957307"/>
      <w:r w:rsidRPr="00E41C69">
        <w:t xml:space="preserve">OFFSHORE </w:t>
      </w:r>
      <w:r w:rsidR="00E15746">
        <w:t xml:space="preserve">OVERSEAS </w:t>
      </w:r>
      <w:r w:rsidR="00CC058C" w:rsidRPr="00E41C69">
        <w:t>STUDENTS</w:t>
      </w:r>
      <w:bookmarkEnd w:id="11"/>
    </w:p>
    <w:p w14:paraId="086BA575" w14:textId="77777777" w:rsidR="002071FE" w:rsidRPr="00E41C69" w:rsidRDefault="00CC058C" w:rsidP="00D43422">
      <w:pPr>
        <w:jc w:val="both"/>
        <w:rPr>
          <w:rFonts w:cstheme="minorHAnsi"/>
          <w:sz w:val="28"/>
          <w:szCs w:val="28"/>
        </w:rPr>
      </w:pPr>
      <w:r w:rsidRPr="00E41C69">
        <w:rPr>
          <w:rFonts w:cstheme="minorHAnsi"/>
          <w:sz w:val="28"/>
          <w:szCs w:val="28"/>
        </w:rPr>
        <w:t xml:space="preserve">The first part of this </w:t>
      </w:r>
      <w:r w:rsidR="00507524" w:rsidRPr="00E41C69">
        <w:rPr>
          <w:rFonts w:cstheme="minorHAnsi"/>
          <w:sz w:val="28"/>
          <w:szCs w:val="28"/>
        </w:rPr>
        <w:t>section</w:t>
      </w:r>
      <w:r w:rsidRPr="00E41C69">
        <w:rPr>
          <w:rFonts w:cstheme="minorHAnsi"/>
          <w:sz w:val="28"/>
          <w:szCs w:val="28"/>
        </w:rPr>
        <w:t xml:space="preserve"> </w:t>
      </w:r>
      <w:r w:rsidR="005F0ECA" w:rsidRPr="00E41C69">
        <w:rPr>
          <w:rFonts w:cstheme="minorHAnsi"/>
          <w:sz w:val="28"/>
          <w:szCs w:val="28"/>
        </w:rPr>
        <w:t xml:space="preserve">summarises the main features of UK offshore </w:t>
      </w:r>
      <w:r w:rsidRPr="00E41C69">
        <w:rPr>
          <w:rFonts w:cstheme="minorHAnsi"/>
          <w:sz w:val="28"/>
          <w:szCs w:val="28"/>
        </w:rPr>
        <w:t xml:space="preserve">higher education </w:t>
      </w:r>
      <w:r w:rsidR="005F0ECA" w:rsidRPr="00E41C69">
        <w:rPr>
          <w:rFonts w:cstheme="minorHAnsi"/>
          <w:sz w:val="28"/>
          <w:szCs w:val="28"/>
        </w:rPr>
        <w:t>provision and the major changes that have occurred in the scale and other characteristics of this provision since the mid-1990s.</w:t>
      </w:r>
      <w:r w:rsidR="00EF6BA9" w:rsidRPr="00E41C69">
        <w:rPr>
          <w:rFonts w:cstheme="minorHAnsi"/>
          <w:sz w:val="28"/>
          <w:szCs w:val="28"/>
        </w:rPr>
        <w:t xml:space="preserve"> The </w:t>
      </w:r>
      <w:r w:rsidR="00C27585" w:rsidRPr="00E41C69">
        <w:rPr>
          <w:rFonts w:cstheme="minorHAnsi"/>
          <w:sz w:val="28"/>
          <w:szCs w:val="28"/>
        </w:rPr>
        <w:t xml:space="preserve">remaining </w:t>
      </w:r>
      <w:r w:rsidR="00EF6BA9" w:rsidRPr="00E41C69">
        <w:rPr>
          <w:rFonts w:cstheme="minorHAnsi"/>
          <w:sz w:val="28"/>
          <w:szCs w:val="28"/>
        </w:rPr>
        <w:t>sub-sections analyse in greater detail the three main forms of offshore provision namely franchise/validation</w:t>
      </w:r>
      <w:r w:rsidR="00C27585" w:rsidRPr="00E41C69">
        <w:rPr>
          <w:rFonts w:cstheme="minorHAnsi"/>
          <w:sz w:val="28"/>
          <w:szCs w:val="28"/>
        </w:rPr>
        <w:t>/articulation (FVA) partnership arrangements with overseas organisations, overseas branch campuses, and overseas distance learning.</w:t>
      </w:r>
    </w:p>
    <w:p w14:paraId="24B73AEB" w14:textId="62E16318" w:rsidR="00EF6BA9" w:rsidRPr="00E41C69" w:rsidRDefault="00CC5801" w:rsidP="009137B4">
      <w:pPr>
        <w:pStyle w:val="Heading2"/>
      </w:pPr>
      <w:bookmarkStart w:id="12" w:name="_Toc531957308"/>
      <w:r>
        <w:t>4</w:t>
      </w:r>
      <w:r w:rsidR="00D36A17" w:rsidRPr="00E41C69">
        <w:t xml:space="preserve">.1 </w:t>
      </w:r>
      <w:r w:rsidR="00EF6BA9" w:rsidRPr="00E41C69">
        <w:t>OVERVIEW</w:t>
      </w:r>
      <w:bookmarkEnd w:id="12"/>
      <w:r w:rsidR="00EF6BA9" w:rsidRPr="00E41C69">
        <w:t xml:space="preserve"> </w:t>
      </w:r>
    </w:p>
    <w:p w14:paraId="7CA961D2" w14:textId="77777777" w:rsidR="001F62C5" w:rsidRDefault="001F62C5" w:rsidP="00C27585">
      <w:pPr>
        <w:jc w:val="both"/>
        <w:rPr>
          <w:rFonts w:cstheme="minorHAnsi"/>
          <w:b/>
          <w:sz w:val="28"/>
          <w:szCs w:val="28"/>
        </w:rPr>
      </w:pPr>
      <w:r>
        <w:rPr>
          <w:rFonts w:cstheme="minorHAnsi"/>
          <w:b/>
          <w:sz w:val="28"/>
          <w:szCs w:val="28"/>
        </w:rPr>
        <w:t xml:space="preserve">4.1.1 </w:t>
      </w:r>
      <w:r w:rsidR="00A52EB0" w:rsidRPr="00E41C69">
        <w:rPr>
          <w:rFonts w:cstheme="minorHAnsi"/>
          <w:b/>
          <w:sz w:val="28"/>
          <w:szCs w:val="28"/>
        </w:rPr>
        <w:t>Historical evolution</w:t>
      </w:r>
    </w:p>
    <w:p w14:paraId="245C12CE" w14:textId="091AA5FC" w:rsidR="003330BB" w:rsidRPr="00E41C69" w:rsidRDefault="008D59FE" w:rsidP="00C27585">
      <w:pPr>
        <w:jc w:val="both"/>
        <w:rPr>
          <w:rFonts w:cstheme="minorHAnsi"/>
          <w:sz w:val="28"/>
          <w:szCs w:val="28"/>
        </w:rPr>
      </w:pPr>
      <w:r w:rsidRPr="00E41C69">
        <w:rPr>
          <w:rFonts w:cstheme="minorHAnsi"/>
          <w:sz w:val="28"/>
          <w:szCs w:val="28"/>
        </w:rPr>
        <w:t xml:space="preserve">No </w:t>
      </w:r>
      <w:r w:rsidR="00E41C69">
        <w:rPr>
          <w:rFonts w:cstheme="minorHAnsi"/>
          <w:sz w:val="28"/>
          <w:szCs w:val="28"/>
        </w:rPr>
        <w:t xml:space="preserve">in-depth </w:t>
      </w:r>
      <w:r w:rsidRPr="00E41C69">
        <w:rPr>
          <w:rFonts w:cstheme="minorHAnsi"/>
          <w:sz w:val="28"/>
          <w:szCs w:val="28"/>
        </w:rPr>
        <w:t xml:space="preserve">research has been undertaken on the </w:t>
      </w:r>
      <w:r w:rsidR="00433D4C" w:rsidRPr="00E41C69">
        <w:rPr>
          <w:rFonts w:cstheme="minorHAnsi"/>
          <w:sz w:val="28"/>
          <w:szCs w:val="28"/>
        </w:rPr>
        <w:t xml:space="preserve">reasons for the </w:t>
      </w:r>
      <w:r w:rsidRPr="00E41C69">
        <w:rPr>
          <w:rFonts w:cstheme="minorHAnsi"/>
          <w:sz w:val="28"/>
          <w:szCs w:val="28"/>
        </w:rPr>
        <w:t xml:space="preserve">emergence of non-traditional </w:t>
      </w:r>
      <w:r w:rsidR="00494069" w:rsidRPr="00E41C69">
        <w:rPr>
          <w:rFonts w:cstheme="minorHAnsi"/>
          <w:sz w:val="28"/>
          <w:szCs w:val="28"/>
        </w:rPr>
        <w:t>offshore provision</w:t>
      </w:r>
      <w:r w:rsidRPr="00E41C69">
        <w:rPr>
          <w:rFonts w:cstheme="minorHAnsi"/>
          <w:sz w:val="28"/>
          <w:szCs w:val="28"/>
        </w:rPr>
        <w:t xml:space="preserve"> in the mid-late 1980s.</w:t>
      </w:r>
      <w:r w:rsidR="00433D4C" w:rsidRPr="00E41C69">
        <w:rPr>
          <w:rFonts w:cstheme="minorHAnsi"/>
          <w:sz w:val="28"/>
          <w:szCs w:val="28"/>
        </w:rPr>
        <w:t xml:space="preserve"> According to the 1996 Survey, 17 higher education institutions </w:t>
      </w:r>
      <w:r w:rsidR="00494069" w:rsidRPr="00E41C69">
        <w:rPr>
          <w:rFonts w:cstheme="minorHAnsi"/>
          <w:sz w:val="28"/>
          <w:szCs w:val="28"/>
        </w:rPr>
        <w:t xml:space="preserve">in the UK had </w:t>
      </w:r>
      <w:r w:rsidR="00433D4C" w:rsidRPr="00E41C69">
        <w:rPr>
          <w:rFonts w:cstheme="minorHAnsi"/>
          <w:sz w:val="28"/>
          <w:szCs w:val="28"/>
        </w:rPr>
        <w:t xml:space="preserve">established a total of 32 overseas </w:t>
      </w:r>
      <w:r w:rsidR="002659ED" w:rsidRPr="00E41C69">
        <w:rPr>
          <w:rFonts w:cstheme="minorHAnsi"/>
          <w:sz w:val="28"/>
          <w:szCs w:val="28"/>
        </w:rPr>
        <w:t xml:space="preserve">partnerships </w:t>
      </w:r>
      <w:r w:rsidR="003330BB" w:rsidRPr="00E41C69">
        <w:rPr>
          <w:rFonts w:cstheme="minorHAnsi"/>
          <w:sz w:val="28"/>
          <w:szCs w:val="28"/>
        </w:rPr>
        <w:t>between 1985 and 1990. Offshore</w:t>
      </w:r>
      <w:r w:rsidR="00433D4C" w:rsidRPr="00E41C69">
        <w:rPr>
          <w:rFonts w:cstheme="minorHAnsi"/>
          <w:sz w:val="28"/>
          <w:szCs w:val="28"/>
        </w:rPr>
        <w:t xml:space="preserve"> enrolments increased </w:t>
      </w:r>
      <w:r w:rsidR="000A7E35" w:rsidRPr="00E41C69">
        <w:rPr>
          <w:rFonts w:cstheme="minorHAnsi"/>
          <w:sz w:val="28"/>
          <w:szCs w:val="28"/>
        </w:rPr>
        <w:t>rapidly</w:t>
      </w:r>
      <w:r w:rsidR="00433D4C" w:rsidRPr="00E41C69">
        <w:rPr>
          <w:rFonts w:cstheme="minorHAnsi"/>
          <w:sz w:val="28"/>
          <w:szCs w:val="28"/>
        </w:rPr>
        <w:t xml:space="preserve"> from the early 1990s so that</w:t>
      </w:r>
      <w:r w:rsidR="000A7E35" w:rsidRPr="00E41C69">
        <w:rPr>
          <w:rFonts w:cstheme="minorHAnsi"/>
          <w:sz w:val="28"/>
          <w:szCs w:val="28"/>
        </w:rPr>
        <w:t>,</w:t>
      </w:r>
      <w:r w:rsidR="00433D4C" w:rsidRPr="00E41C69">
        <w:rPr>
          <w:rFonts w:cstheme="minorHAnsi"/>
          <w:sz w:val="28"/>
          <w:szCs w:val="28"/>
        </w:rPr>
        <w:t xml:space="preserve"> by 1996, </w:t>
      </w:r>
      <w:r w:rsidR="00494069" w:rsidRPr="00E41C69">
        <w:rPr>
          <w:rFonts w:cstheme="minorHAnsi"/>
          <w:sz w:val="28"/>
          <w:szCs w:val="28"/>
        </w:rPr>
        <w:t xml:space="preserve">over 80 </w:t>
      </w:r>
      <w:r w:rsidR="00433D4C" w:rsidRPr="00E41C69">
        <w:rPr>
          <w:rFonts w:cstheme="minorHAnsi"/>
          <w:sz w:val="28"/>
          <w:szCs w:val="28"/>
        </w:rPr>
        <w:t xml:space="preserve">UK universities were involved in </w:t>
      </w:r>
      <w:r w:rsidR="002659ED" w:rsidRPr="00E41C69">
        <w:rPr>
          <w:rFonts w:cstheme="minorHAnsi"/>
          <w:sz w:val="28"/>
          <w:szCs w:val="28"/>
        </w:rPr>
        <w:t xml:space="preserve">some form of </w:t>
      </w:r>
      <w:r w:rsidR="00433D4C" w:rsidRPr="00E41C69">
        <w:rPr>
          <w:rFonts w:cstheme="minorHAnsi"/>
          <w:sz w:val="28"/>
          <w:szCs w:val="28"/>
        </w:rPr>
        <w:t>offshore provision. Much of this growth was driven by the increased involvement of the ex-polytechnics</w:t>
      </w:r>
      <w:r w:rsidR="001269C8" w:rsidRPr="00E41C69">
        <w:rPr>
          <w:rFonts w:cstheme="minorHAnsi"/>
          <w:sz w:val="28"/>
          <w:szCs w:val="28"/>
        </w:rPr>
        <w:t xml:space="preserve"> which were upgraded to universities in 1992. The assertion by Healey that the advent of course franchising was the direct result of the 1998 Asian crisis and the rapid decline in </w:t>
      </w:r>
      <w:r w:rsidR="001269C8" w:rsidRPr="00E41C69">
        <w:rPr>
          <w:rFonts w:cstheme="minorHAnsi"/>
          <w:sz w:val="28"/>
          <w:szCs w:val="28"/>
        </w:rPr>
        <w:lastRenderedPageBreak/>
        <w:t>Malaysian students studying in the UK is</w:t>
      </w:r>
      <w:r w:rsidR="002659ED" w:rsidRPr="00E41C69">
        <w:rPr>
          <w:rFonts w:cstheme="minorHAnsi"/>
          <w:sz w:val="28"/>
          <w:szCs w:val="28"/>
        </w:rPr>
        <w:t>, therefore,</w:t>
      </w:r>
      <w:r w:rsidR="001269C8" w:rsidRPr="00E41C69">
        <w:rPr>
          <w:rFonts w:cstheme="minorHAnsi"/>
          <w:sz w:val="28"/>
          <w:szCs w:val="28"/>
        </w:rPr>
        <w:t xml:space="preserve"> not </w:t>
      </w:r>
      <w:r w:rsidR="000A7E35" w:rsidRPr="00E41C69">
        <w:rPr>
          <w:rFonts w:cstheme="minorHAnsi"/>
          <w:sz w:val="28"/>
          <w:szCs w:val="28"/>
        </w:rPr>
        <w:t>true</w:t>
      </w:r>
      <w:r w:rsidR="002659ED" w:rsidRPr="00E41C69">
        <w:rPr>
          <w:rFonts w:cstheme="minorHAnsi"/>
          <w:sz w:val="28"/>
          <w:szCs w:val="28"/>
        </w:rPr>
        <w:t xml:space="preserve">. </w:t>
      </w:r>
      <w:r w:rsidR="001269C8" w:rsidRPr="00E41C69">
        <w:rPr>
          <w:rFonts w:cstheme="minorHAnsi"/>
          <w:sz w:val="28"/>
          <w:szCs w:val="28"/>
        </w:rPr>
        <w:t>While the aftermath of the Asian Crisis certainly helped to drive the growth</w:t>
      </w:r>
      <w:r w:rsidR="003330BB" w:rsidRPr="00E41C69">
        <w:rPr>
          <w:rFonts w:cstheme="minorHAnsi"/>
          <w:sz w:val="28"/>
          <w:szCs w:val="28"/>
        </w:rPr>
        <w:t xml:space="preserve"> of FVA enrolments</w:t>
      </w:r>
      <w:r w:rsidR="001269C8" w:rsidRPr="00E41C69">
        <w:rPr>
          <w:rFonts w:cstheme="minorHAnsi"/>
          <w:sz w:val="28"/>
          <w:szCs w:val="28"/>
        </w:rPr>
        <w:t xml:space="preserve"> during the next decade</w:t>
      </w:r>
      <w:r w:rsidR="003330BB" w:rsidRPr="00E41C69">
        <w:rPr>
          <w:rFonts w:cstheme="minorHAnsi"/>
          <w:sz w:val="28"/>
          <w:szCs w:val="28"/>
        </w:rPr>
        <w:t>, the</w:t>
      </w:r>
      <w:r w:rsidR="001269C8" w:rsidRPr="00E41C69">
        <w:rPr>
          <w:rFonts w:cstheme="minorHAnsi"/>
          <w:sz w:val="28"/>
          <w:szCs w:val="28"/>
        </w:rPr>
        <w:t>s</w:t>
      </w:r>
      <w:r w:rsidR="003330BB" w:rsidRPr="00E41C69">
        <w:rPr>
          <w:rFonts w:cstheme="minorHAnsi"/>
          <w:sz w:val="28"/>
          <w:szCs w:val="28"/>
        </w:rPr>
        <w:t>e</w:t>
      </w:r>
      <w:r w:rsidR="001269C8" w:rsidRPr="00E41C69">
        <w:rPr>
          <w:rFonts w:cstheme="minorHAnsi"/>
          <w:sz w:val="28"/>
          <w:szCs w:val="28"/>
        </w:rPr>
        <w:t xml:space="preserve"> form</w:t>
      </w:r>
      <w:r w:rsidR="003330BB" w:rsidRPr="00E41C69">
        <w:rPr>
          <w:rFonts w:cstheme="minorHAnsi"/>
          <w:sz w:val="28"/>
          <w:szCs w:val="28"/>
        </w:rPr>
        <w:t>s</w:t>
      </w:r>
      <w:r w:rsidR="001269C8" w:rsidRPr="00E41C69">
        <w:rPr>
          <w:rFonts w:cstheme="minorHAnsi"/>
          <w:sz w:val="28"/>
          <w:szCs w:val="28"/>
        </w:rPr>
        <w:t xml:space="preserve"> o</w:t>
      </w:r>
      <w:r w:rsidR="003330BB" w:rsidRPr="00E41C69">
        <w:rPr>
          <w:rFonts w:cstheme="minorHAnsi"/>
          <w:sz w:val="28"/>
          <w:szCs w:val="28"/>
        </w:rPr>
        <w:t>f higher education provision were</w:t>
      </w:r>
      <w:r w:rsidR="001269C8" w:rsidRPr="00E41C69">
        <w:rPr>
          <w:rFonts w:cstheme="minorHAnsi"/>
          <w:sz w:val="28"/>
          <w:szCs w:val="28"/>
        </w:rPr>
        <w:t xml:space="preserve"> </w:t>
      </w:r>
      <w:r w:rsidR="002659ED" w:rsidRPr="00E41C69">
        <w:rPr>
          <w:rFonts w:cstheme="minorHAnsi"/>
          <w:sz w:val="28"/>
          <w:szCs w:val="28"/>
        </w:rPr>
        <w:t xml:space="preserve">already </w:t>
      </w:r>
      <w:r w:rsidR="001269C8" w:rsidRPr="00E41C69">
        <w:rPr>
          <w:rFonts w:cstheme="minorHAnsi"/>
          <w:sz w:val="28"/>
          <w:szCs w:val="28"/>
        </w:rPr>
        <w:t>well established by then.</w:t>
      </w:r>
    </w:p>
    <w:p w14:paraId="35A25D17" w14:textId="77777777" w:rsidR="001F62C5" w:rsidRDefault="001F62C5" w:rsidP="00C27585">
      <w:pPr>
        <w:jc w:val="both"/>
        <w:rPr>
          <w:rFonts w:cstheme="minorHAnsi"/>
          <w:b/>
          <w:sz w:val="28"/>
          <w:szCs w:val="28"/>
        </w:rPr>
      </w:pPr>
      <w:r>
        <w:rPr>
          <w:rFonts w:cstheme="minorHAnsi"/>
          <w:b/>
          <w:sz w:val="28"/>
          <w:szCs w:val="28"/>
        </w:rPr>
        <w:t xml:space="preserve">4.1.2 </w:t>
      </w:r>
      <w:r w:rsidR="00A52EB0" w:rsidRPr="00E41C69">
        <w:rPr>
          <w:rFonts w:cstheme="minorHAnsi"/>
          <w:b/>
          <w:sz w:val="28"/>
          <w:szCs w:val="28"/>
        </w:rPr>
        <w:t>Student characteristics</w:t>
      </w:r>
    </w:p>
    <w:p w14:paraId="7B4A1C9C" w14:textId="30DA072F" w:rsidR="00C27585" w:rsidRPr="00E41C69" w:rsidRDefault="00C27585" w:rsidP="00C27585">
      <w:pPr>
        <w:jc w:val="both"/>
        <w:rPr>
          <w:rFonts w:cstheme="minorHAnsi"/>
          <w:b/>
          <w:sz w:val="28"/>
          <w:szCs w:val="28"/>
        </w:rPr>
      </w:pPr>
      <w:r w:rsidRPr="00E41C69">
        <w:rPr>
          <w:rFonts w:cstheme="minorHAnsi"/>
          <w:sz w:val="28"/>
          <w:szCs w:val="28"/>
        </w:rPr>
        <w:t>HESA’s A</w:t>
      </w:r>
      <w:r w:rsidR="000A7E35" w:rsidRPr="00E41C69">
        <w:rPr>
          <w:rFonts w:cstheme="minorHAnsi"/>
          <w:sz w:val="28"/>
          <w:szCs w:val="28"/>
        </w:rPr>
        <w:t xml:space="preserve">ggregate </w:t>
      </w:r>
      <w:r w:rsidRPr="00E41C69">
        <w:rPr>
          <w:rFonts w:cstheme="minorHAnsi"/>
          <w:sz w:val="28"/>
          <w:szCs w:val="28"/>
        </w:rPr>
        <w:t>O</w:t>
      </w:r>
      <w:r w:rsidR="000A7E35" w:rsidRPr="00E41C69">
        <w:rPr>
          <w:rFonts w:cstheme="minorHAnsi"/>
          <w:sz w:val="28"/>
          <w:szCs w:val="28"/>
        </w:rPr>
        <w:t xml:space="preserve">ffshore </w:t>
      </w:r>
      <w:r w:rsidRPr="00E41C69">
        <w:rPr>
          <w:rFonts w:cstheme="minorHAnsi"/>
          <w:sz w:val="28"/>
          <w:szCs w:val="28"/>
        </w:rPr>
        <w:t>R</w:t>
      </w:r>
      <w:r w:rsidR="000A7E35" w:rsidRPr="00E41C69">
        <w:rPr>
          <w:rFonts w:cstheme="minorHAnsi"/>
          <w:sz w:val="28"/>
          <w:szCs w:val="28"/>
        </w:rPr>
        <w:t>ecord</w:t>
      </w:r>
      <w:r w:rsidRPr="00E41C69">
        <w:rPr>
          <w:rFonts w:cstheme="minorHAnsi"/>
          <w:sz w:val="28"/>
          <w:szCs w:val="28"/>
        </w:rPr>
        <w:t xml:space="preserve"> does not collect information at the individual student level</w:t>
      </w:r>
      <w:r w:rsidR="000A7E35" w:rsidRPr="00E41C69">
        <w:rPr>
          <w:rStyle w:val="FootnoteReference"/>
          <w:rFonts w:cstheme="minorHAnsi"/>
          <w:sz w:val="28"/>
          <w:szCs w:val="28"/>
        </w:rPr>
        <w:footnoteReference w:id="3"/>
      </w:r>
      <w:r w:rsidRPr="00E41C69">
        <w:rPr>
          <w:rFonts w:cstheme="minorHAnsi"/>
          <w:sz w:val="28"/>
          <w:szCs w:val="28"/>
        </w:rPr>
        <w:t xml:space="preserve"> so virtually no</w:t>
      </w:r>
      <w:r w:rsidR="00754E70" w:rsidRPr="00E41C69">
        <w:rPr>
          <w:rFonts w:cstheme="minorHAnsi"/>
          <w:sz w:val="28"/>
          <w:szCs w:val="28"/>
        </w:rPr>
        <w:t xml:space="preserve">thing is known about </w:t>
      </w:r>
      <w:r w:rsidRPr="00E41C69">
        <w:rPr>
          <w:rFonts w:cstheme="minorHAnsi"/>
          <w:sz w:val="28"/>
          <w:szCs w:val="28"/>
        </w:rPr>
        <w:t xml:space="preserve">the overall profile of offshore students and, in particular, their </w:t>
      </w:r>
      <w:r w:rsidR="00754E70" w:rsidRPr="00E41C69">
        <w:rPr>
          <w:rFonts w:cstheme="minorHAnsi"/>
          <w:sz w:val="28"/>
          <w:szCs w:val="28"/>
        </w:rPr>
        <w:t xml:space="preserve">nationality, </w:t>
      </w:r>
      <w:r w:rsidRPr="00E41C69">
        <w:rPr>
          <w:rFonts w:cstheme="minorHAnsi"/>
          <w:sz w:val="28"/>
          <w:szCs w:val="28"/>
        </w:rPr>
        <w:t>gender, socio-economic, occupational, and educational backgrounds</w:t>
      </w:r>
      <w:r w:rsidR="00754E70" w:rsidRPr="00E41C69">
        <w:rPr>
          <w:rFonts w:cstheme="minorHAnsi"/>
          <w:sz w:val="28"/>
          <w:szCs w:val="28"/>
        </w:rPr>
        <w:t xml:space="preserve">. However, given the relatively high costs of </w:t>
      </w:r>
      <w:r w:rsidR="003330BB" w:rsidRPr="00E41C69">
        <w:rPr>
          <w:rFonts w:cstheme="minorHAnsi"/>
          <w:sz w:val="28"/>
          <w:szCs w:val="28"/>
        </w:rPr>
        <w:t>offshore courses</w:t>
      </w:r>
      <w:r w:rsidR="00754E70" w:rsidRPr="00E41C69">
        <w:rPr>
          <w:rFonts w:cstheme="minorHAnsi"/>
          <w:sz w:val="28"/>
          <w:szCs w:val="28"/>
        </w:rPr>
        <w:t>, students are likely to be from predominantly well-off families. Also, given that, in most countries, studying at national, public universities continues to be the preferred option for most school leavers</w:t>
      </w:r>
      <w:r w:rsidR="009E5924" w:rsidRPr="00E41C69">
        <w:rPr>
          <w:rFonts w:cstheme="minorHAnsi"/>
          <w:sz w:val="28"/>
          <w:szCs w:val="28"/>
        </w:rPr>
        <w:t xml:space="preserve"> (for both status and cost reasons)</w:t>
      </w:r>
      <w:r w:rsidR="00754E70" w:rsidRPr="00E41C69">
        <w:rPr>
          <w:rFonts w:cstheme="minorHAnsi"/>
          <w:sz w:val="28"/>
          <w:szCs w:val="28"/>
        </w:rPr>
        <w:t xml:space="preserve">, students opting for </w:t>
      </w:r>
      <w:r w:rsidR="000A7E35" w:rsidRPr="00E41C69">
        <w:rPr>
          <w:rFonts w:cstheme="minorHAnsi"/>
          <w:sz w:val="28"/>
          <w:szCs w:val="28"/>
        </w:rPr>
        <w:t xml:space="preserve">UK offshore </w:t>
      </w:r>
      <w:r w:rsidR="00754E70" w:rsidRPr="00E41C69">
        <w:rPr>
          <w:rFonts w:cstheme="minorHAnsi"/>
          <w:sz w:val="28"/>
          <w:szCs w:val="28"/>
        </w:rPr>
        <w:t xml:space="preserve">courses are likely not to have achieved the </w:t>
      </w:r>
      <w:r w:rsidR="009E5924" w:rsidRPr="00E41C69">
        <w:rPr>
          <w:rFonts w:cstheme="minorHAnsi"/>
          <w:sz w:val="28"/>
          <w:szCs w:val="28"/>
        </w:rPr>
        <w:t xml:space="preserve">examination </w:t>
      </w:r>
      <w:r w:rsidR="00754E70" w:rsidRPr="00E41C69">
        <w:rPr>
          <w:rFonts w:cstheme="minorHAnsi"/>
          <w:sz w:val="28"/>
          <w:szCs w:val="28"/>
        </w:rPr>
        <w:t xml:space="preserve">grades necessary to gain admittance to a </w:t>
      </w:r>
      <w:r w:rsidR="000A7E35" w:rsidRPr="00E41C69">
        <w:rPr>
          <w:rFonts w:cstheme="minorHAnsi"/>
          <w:sz w:val="28"/>
          <w:szCs w:val="28"/>
        </w:rPr>
        <w:t xml:space="preserve">high status </w:t>
      </w:r>
      <w:r w:rsidR="00754E70" w:rsidRPr="00E41C69">
        <w:rPr>
          <w:rFonts w:cstheme="minorHAnsi"/>
          <w:sz w:val="28"/>
          <w:szCs w:val="28"/>
        </w:rPr>
        <w:t xml:space="preserve">public university.        </w:t>
      </w:r>
    </w:p>
    <w:p w14:paraId="65387A37" w14:textId="77777777" w:rsidR="0075405C" w:rsidRDefault="0075405C" w:rsidP="000A7E35">
      <w:pPr>
        <w:jc w:val="both"/>
        <w:rPr>
          <w:rFonts w:cstheme="minorHAnsi"/>
          <w:b/>
          <w:sz w:val="28"/>
          <w:szCs w:val="28"/>
        </w:rPr>
      </w:pPr>
      <w:r>
        <w:rPr>
          <w:noProof/>
          <w:lang w:eastAsia="en-GB"/>
        </w:rPr>
        <w:drawing>
          <wp:inline distT="0" distB="0" distL="0" distR="0" wp14:anchorId="74F74D53" wp14:editId="50667977">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761FAA" w14:textId="77777777" w:rsidR="001F62C5" w:rsidRDefault="001F62C5" w:rsidP="00D43422">
      <w:pPr>
        <w:jc w:val="both"/>
        <w:rPr>
          <w:rFonts w:cstheme="minorHAnsi"/>
          <w:b/>
          <w:sz w:val="28"/>
          <w:szCs w:val="28"/>
        </w:rPr>
      </w:pPr>
      <w:r>
        <w:rPr>
          <w:rFonts w:cstheme="minorHAnsi"/>
          <w:b/>
          <w:sz w:val="28"/>
          <w:szCs w:val="28"/>
        </w:rPr>
        <w:t xml:space="preserve">4.1.3 </w:t>
      </w:r>
      <w:r w:rsidR="00A52EB0" w:rsidRPr="00E41C69">
        <w:rPr>
          <w:rFonts w:cstheme="minorHAnsi"/>
          <w:b/>
          <w:sz w:val="28"/>
          <w:szCs w:val="28"/>
        </w:rPr>
        <w:t>Forms of provision</w:t>
      </w:r>
    </w:p>
    <w:p w14:paraId="597E7C33" w14:textId="58A96897" w:rsidR="00B71E54" w:rsidRDefault="002659ED" w:rsidP="00D43422">
      <w:pPr>
        <w:jc w:val="both"/>
        <w:rPr>
          <w:rFonts w:cstheme="minorHAnsi"/>
          <w:sz w:val="28"/>
          <w:szCs w:val="28"/>
        </w:rPr>
      </w:pPr>
      <w:r w:rsidRPr="00E41C69">
        <w:rPr>
          <w:rFonts w:cstheme="minorHAnsi"/>
          <w:sz w:val="28"/>
          <w:szCs w:val="28"/>
        </w:rPr>
        <w:t xml:space="preserve">The only reliable and comprehensive time-series data on the forms of </w:t>
      </w:r>
      <w:r w:rsidR="00494069" w:rsidRPr="00E41C69">
        <w:rPr>
          <w:rFonts w:cstheme="minorHAnsi"/>
          <w:sz w:val="28"/>
          <w:szCs w:val="28"/>
        </w:rPr>
        <w:t xml:space="preserve">offshore provision </w:t>
      </w:r>
      <w:r w:rsidRPr="00E41C69">
        <w:rPr>
          <w:rFonts w:cstheme="minorHAnsi"/>
          <w:sz w:val="28"/>
          <w:szCs w:val="28"/>
        </w:rPr>
        <w:t xml:space="preserve">is the HESA Aggregate Offshore Record and only since 2007/08. Total enrolments for each form of </w:t>
      </w:r>
      <w:r w:rsidR="00B91858" w:rsidRPr="00E41C69">
        <w:rPr>
          <w:rFonts w:cstheme="minorHAnsi"/>
          <w:sz w:val="28"/>
          <w:szCs w:val="28"/>
        </w:rPr>
        <w:t xml:space="preserve">offshore </w:t>
      </w:r>
      <w:r w:rsidRPr="00E41C69">
        <w:rPr>
          <w:rFonts w:cstheme="minorHAnsi"/>
          <w:sz w:val="28"/>
          <w:szCs w:val="28"/>
        </w:rPr>
        <w:t>provision up to 2</w:t>
      </w:r>
      <w:r w:rsidR="00E41C69">
        <w:rPr>
          <w:rFonts w:cstheme="minorHAnsi"/>
          <w:sz w:val="28"/>
          <w:szCs w:val="28"/>
        </w:rPr>
        <w:t>0</w:t>
      </w:r>
      <w:r w:rsidR="00F125F1">
        <w:rPr>
          <w:rFonts w:cstheme="minorHAnsi"/>
          <w:sz w:val="28"/>
          <w:szCs w:val="28"/>
        </w:rPr>
        <w:t xml:space="preserve">16/17 are presented in </w:t>
      </w:r>
      <w:r w:rsidR="00F125F1">
        <w:rPr>
          <w:rFonts w:cstheme="minorHAnsi"/>
          <w:sz w:val="28"/>
          <w:szCs w:val="28"/>
        </w:rPr>
        <w:lastRenderedPageBreak/>
        <w:t>Figure 3</w:t>
      </w:r>
      <w:r w:rsidRPr="00E41C69">
        <w:rPr>
          <w:rFonts w:cstheme="minorHAnsi"/>
          <w:sz w:val="28"/>
          <w:szCs w:val="28"/>
        </w:rPr>
        <w:t xml:space="preserve">. </w:t>
      </w:r>
      <w:r w:rsidR="00077276" w:rsidRPr="00E41C69">
        <w:rPr>
          <w:rFonts w:cstheme="minorHAnsi"/>
          <w:sz w:val="28"/>
          <w:szCs w:val="28"/>
        </w:rPr>
        <w:t xml:space="preserve">Table </w:t>
      </w:r>
      <w:r w:rsidR="00F125F1">
        <w:rPr>
          <w:rFonts w:cstheme="minorHAnsi"/>
          <w:sz w:val="28"/>
          <w:szCs w:val="28"/>
        </w:rPr>
        <w:t xml:space="preserve">1 </w:t>
      </w:r>
      <w:r w:rsidR="00077276" w:rsidRPr="00E41C69">
        <w:rPr>
          <w:rFonts w:cstheme="minorHAnsi"/>
          <w:sz w:val="28"/>
          <w:szCs w:val="28"/>
        </w:rPr>
        <w:t>provides more detailed information on the extent of university involvement with respect to each of the four main</w:t>
      </w:r>
      <w:r w:rsidR="00B71E54">
        <w:rPr>
          <w:rFonts w:cstheme="minorHAnsi"/>
          <w:sz w:val="28"/>
          <w:szCs w:val="28"/>
        </w:rPr>
        <w:t xml:space="preserve"> types of provision.</w:t>
      </w:r>
      <w:r w:rsidR="00077276" w:rsidRPr="00E41C69">
        <w:rPr>
          <w:rFonts w:cstheme="minorHAnsi"/>
          <w:sz w:val="28"/>
          <w:szCs w:val="28"/>
        </w:rPr>
        <w:t xml:space="preserve"> </w:t>
      </w:r>
    </w:p>
    <w:tbl>
      <w:tblPr>
        <w:tblW w:w="0" w:type="auto"/>
        <w:tblLook w:val="04A0" w:firstRow="1" w:lastRow="0" w:firstColumn="1" w:lastColumn="0" w:noHBand="0" w:noVBand="1"/>
      </w:tblPr>
      <w:tblGrid>
        <w:gridCol w:w="1291"/>
        <w:gridCol w:w="1271"/>
        <w:gridCol w:w="580"/>
        <w:gridCol w:w="1484"/>
        <w:gridCol w:w="676"/>
        <w:gridCol w:w="1270"/>
        <w:gridCol w:w="579"/>
        <w:gridCol w:w="1270"/>
        <w:gridCol w:w="496"/>
      </w:tblGrid>
      <w:tr w:rsidR="00B71E54" w:rsidRPr="00B71E54" w14:paraId="44FCD6DE" w14:textId="77777777" w:rsidTr="00885AD8">
        <w:trPr>
          <w:trHeight w:val="288"/>
        </w:trPr>
        <w:tc>
          <w:tcPr>
            <w:tcW w:w="0" w:type="auto"/>
            <w:gridSpan w:val="9"/>
            <w:tcBorders>
              <w:top w:val="nil"/>
              <w:left w:val="nil"/>
              <w:bottom w:val="nil"/>
              <w:right w:val="nil"/>
            </w:tcBorders>
            <w:shd w:val="clear" w:color="auto" w:fill="auto"/>
            <w:noWrap/>
            <w:vAlign w:val="bottom"/>
            <w:hideMark/>
          </w:tcPr>
          <w:p w14:paraId="2403E88B" w14:textId="265FB11E" w:rsidR="00B71E54" w:rsidRPr="00B71E54" w:rsidRDefault="00B71E54" w:rsidP="002B3FC0">
            <w:pPr>
              <w:spacing w:after="0" w:line="240" w:lineRule="auto"/>
              <w:rPr>
                <w:rFonts w:ascii="Calibri" w:eastAsia="Times New Roman" w:hAnsi="Calibri" w:cs="Calibri"/>
                <w:b/>
                <w:bCs/>
                <w:color w:val="5F735C"/>
                <w:lang w:eastAsia="en-GB"/>
              </w:rPr>
            </w:pPr>
            <w:r w:rsidRPr="00B71E54">
              <w:rPr>
                <w:rFonts w:ascii="Calibri" w:eastAsia="Times New Roman" w:hAnsi="Calibri" w:cs="Calibri"/>
                <w:b/>
                <w:bCs/>
                <w:color w:val="5F735C"/>
                <w:lang w:eastAsia="en-GB"/>
              </w:rPr>
              <w:t>Table 1: Offshore enrolments by provision type, 2007/08 and 2015/16 (rounded '000 and %)</w:t>
            </w:r>
          </w:p>
        </w:tc>
      </w:tr>
      <w:tr w:rsidR="00885AD8" w:rsidRPr="00B71E54" w14:paraId="0208D2D9" w14:textId="77777777" w:rsidTr="00885AD8">
        <w:trPr>
          <w:trHeight w:val="288"/>
        </w:trPr>
        <w:tc>
          <w:tcPr>
            <w:tcW w:w="0" w:type="auto"/>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32CBC93B" w14:textId="77777777" w:rsidR="00885AD8" w:rsidRPr="00B71E54" w:rsidRDefault="00885AD8"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 </w:t>
            </w:r>
          </w:p>
        </w:tc>
        <w:tc>
          <w:tcPr>
            <w:tcW w:w="0" w:type="auto"/>
            <w:gridSpan w:val="2"/>
            <w:tcBorders>
              <w:top w:val="single" w:sz="4" w:space="0" w:color="FFFFFF"/>
              <w:left w:val="nil"/>
              <w:bottom w:val="single" w:sz="4" w:space="0" w:color="FFFFFF"/>
              <w:right w:val="single" w:sz="4" w:space="0" w:color="FFFFFF"/>
            </w:tcBorders>
            <w:shd w:val="clear" w:color="000000" w:fill="49723B"/>
            <w:noWrap/>
            <w:vAlign w:val="bottom"/>
            <w:hideMark/>
          </w:tcPr>
          <w:p w14:paraId="548DA2F4" w14:textId="77777777" w:rsidR="00885AD8" w:rsidRPr="00B71E54" w:rsidRDefault="00885AD8" w:rsidP="00885AD8">
            <w:pPr>
              <w:spacing w:after="0" w:line="240" w:lineRule="auto"/>
              <w:rPr>
                <w:rFonts w:ascii="Calibri" w:eastAsia="Times New Roman" w:hAnsi="Calibri" w:cs="Calibri"/>
                <w:b/>
                <w:bCs/>
                <w:color w:val="FFFFFF"/>
                <w:lang w:eastAsia="en-GB"/>
              </w:rPr>
            </w:pPr>
            <w:r>
              <w:rPr>
                <w:rFonts w:ascii="Calibri" w:eastAsia="Times New Roman" w:hAnsi="Calibri" w:cs="Calibri"/>
                <w:b/>
                <w:bCs/>
                <w:color w:val="FFFFFF"/>
                <w:lang w:eastAsia="en-GB"/>
              </w:rPr>
              <w:t xml:space="preserve"> FVA – UK degree</w:t>
            </w:r>
          </w:p>
          <w:p w14:paraId="773FA61D" w14:textId="130F7F26" w:rsidR="00885AD8" w:rsidRPr="00B71E54" w:rsidRDefault="00885AD8"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 </w:t>
            </w:r>
          </w:p>
        </w:tc>
        <w:tc>
          <w:tcPr>
            <w:tcW w:w="0" w:type="auto"/>
            <w:gridSpan w:val="2"/>
            <w:tcBorders>
              <w:top w:val="single" w:sz="4" w:space="0" w:color="FFFFFF"/>
              <w:left w:val="nil"/>
              <w:bottom w:val="single" w:sz="4" w:space="0" w:color="FFFFFF"/>
              <w:right w:val="single" w:sz="4" w:space="0" w:color="FFFFFF"/>
            </w:tcBorders>
            <w:shd w:val="clear" w:color="000000" w:fill="49723B"/>
            <w:noWrap/>
            <w:vAlign w:val="bottom"/>
            <w:hideMark/>
          </w:tcPr>
          <w:p w14:paraId="42A30E44" w14:textId="77777777" w:rsidR="00885AD8" w:rsidRPr="00B71E54" w:rsidRDefault="00885AD8" w:rsidP="00885AD8">
            <w:pPr>
              <w:spacing w:after="0" w:line="240" w:lineRule="auto"/>
              <w:rPr>
                <w:rFonts w:ascii="Calibri" w:eastAsia="Times New Roman" w:hAnsi="Calibri" w:cs="Calibri"/>
                <w:b/>
                <w:bCs/>
                <w:color w:val="FFFFFF"/>
                <w:lang w:eastAsia="en-GB"/>
              </w:rPr>
            </w:pPr>
            <w:r>
              <w:rPr>
                <w:rFonts w:ascii="Calibri" w:eastAsia="Times New Roman" w:hAnsi="Calibri" w:cs="Calibri"/>
                <w:b/>
                <w:bCs/>
                <w:color w:val="FFFFFF"/>
                <w:lang w:eastAsia="en-GB"/>
              </w:rPr>
              <w:t>FVA – Partner degree</w:t>
            </w:r>
          </w:p>
          <w:p w14:paraId="7D2165FD" w14:textId="2B9D0A5B" w:rsidR="00885AD8" w:rsidRPr="00B71E54" w:rsidRDefault="00885AD8"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 </w:t>
            </w:r>
          </w:p>
        </w:tc>
        <w:tc>
          <w:tcPr>
            <w:tcW w:w="0" w:type="auto"/>
            <w:gridSpan w:val="2"/>
            <w:tcBorders>
              <w:top w:val="single" w:sz="4" w:space="0" w:color="FFFFFF"/>
              <w:left w:val="nil"/>
              <w:bottom w:val="single" w:sz="4" w:space="0" w:color="FFFFFF"/>
              <w:right w:val="single" w:sz="4" w:space="0" w:color="FFFFFF"/>
            </w:tcBorders>
            <w:shd w:val="clear" w:color="000000" w:fill="49723B"/>
            <w:noWrap/>
            <w:vAlign w:val="bottom"/>
            <w:hideMark/>
          </w:tcPr>
          <w:p w14:paraId="52861175" w14:textId="77777777" w:rsidR="00885AD8" w:rsidRPr="00B71E54" w:rsidRDefault="00885AD8" w:rsidP="00885AD8">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Distance learning</w:t>
            </w:r>
          </w:p>
          <w:p w14:paraId="4C43A2CC" w14:textId="76B6812A" w:rsidR="00885AD8" w:rsidRPr="00B71E54" w:rsidRDefault="00885AD8"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 </w:t>
            </w:r>
          </w:p>
        </w:tc>
        <w:tc>
          <w:tcPr>
            <w:tcW w:w="0" w:type="auto"/>
            <w:gridSpan w:val="2"/>
            <w:tcBorders>
              <w:top w:val="single" w:sz="4" w:space="0" w:color="FFFFFF"/>
              <w:left w:val="nil"/>
              <w:bottom w:val="single" w:sz="4" w:space="0" w:color="FFFFFF"/>
              <w:right w:val="single" w:sz="4" w:space="0" w:color="FFFFFF"/>
            </w:tcBorders>
            <w:shd w:val="clear" w:color="000000" w:fill="49723B"/>
            <w:noWrap/>
            <w:vAlign w:val="bottom"/>
            <w:hideMark/>
          </w:tcPr>
          <w:p w14:paraId="241776A6" w14:textId="77777777" w:rsidR="00885AD8" w:rsidRPr="00B71E54" w:rsidRDefault="00885AD8" w:rsidP="00885AD8">
            <w:pPr>
              <w:spacing w:after="0" w:line="240" w:lineRule="auto"/>
              <w:rPr>
                <w:rFonts w:ascii="Calibri" w:eastAsia="Times New Roman" w:hAnsi="Calibri" w:cs="Calibri"/>
                <w:b/>
                <w:bCs/>
                <w:color w:val="FFFFFF"/>
                <w:lang w:eastAsia="en-GB"/>
              </w:rPr>
            </w:pPr>
            <w:r>
              <w:rPr>
                <w:rFonts w:ascii="Calibri" w:eastAsia="Times New Roman" w:hAnsi="Calibri" w:cs="Calibri"/>
                <w:b/>
                <w:bCs/>
                <w:color w:val="FFFFFF"/>
                <w:lang w:eastAsia="en-GB"/>
              </w:rPr>
              <w:t xml:space="preserve"> Branch Campus</w:t>
            </w:r>
          </w:p>
          <w:p w14:paraId="1AA9E026" w14:textId="4967899F" w:rsidR="00885AD8" w:rsidRPr="00B71E54" w:rsidRDefault="00885AD8"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 </w:t>
            </w:r>
          </w:p>
        </w:tc>
      </w:tr>
      <w:tr w:rsidR="00B71E54" w:rsidRPr="00B71E54" w14:paraId="5EA62B26" w14:textId="77777777" w:rsidTr="00885AD8">
        <w:trPr>
          <w:trHeight w:val="288"/>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278D756C"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Year</w:t>
            </w:r>
          </w:p>
        </w:tc>
        <w:tc>
          <w:tcPr>
            <w:tcW w:w="0" w:type="auto"/>
            <w:tcBorders>
              <w:top w:val="nil"/>
              <w:left w:val="nil"/>
              <w:bottom w:val="single" w:sz="4" w:space="0" w:color="FFFFFF"/>
              <w:right w:val="single" w:sz="4" w:space="0" w:color="FFFFFF"/>
            </w:tcBorders>
            <w:shd w:val="clear" w:color="000000" w:fill="49723B"/>
            <w:noWrap/>
            <w:vAlign w:val="bottom"/>
            <w:hideMark/>
          </w:tcPr>
          <w:p w14:paraId="78DE789D"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Number</w:t>
            </w:r>
          </w:p>
        </w:tc>
        <w:tc>
          <w:tcPr>
            <w:tcW w:w="0" w:type="auto"/>
            <w:tcBorders>
              <w:top w:val="nil"/>
              <w:left w:val="nil"/>
              <w:bottom w:val="single" w:sz="4" w:space="0" w:color="FFFFFF"/>
              <w:right w:val="single" w:sz="4" w:space="0" w:color="FFFFFF"/>
            </w:tcBorders>
            <w:shd w:val="clear" w:color="000000" w:fill="49723B"/>
            <w:noWrap/>
            <w:vAlign w:val="bottom"/>
            <w:hideMark/>
          </w:tcPr>
          <w:p w14:paraId="09C621B7"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w:t>
            </w:r>
          </w:p>
        </w:tc>
        <w:tc>
          <w:tcPr>
            <w:tcW w:w="0" w:type="auto"/>
            <w:tcBorders>
              <w:top w:val="nil"/>
              <w:left w:val="nil"/>
              <w:bottom w:val="single" w:sz="4" w:space="0" w:color="FFFFFF"/>
              <w:right w:val="single" w:sz="4" w:space="0" w:color="FFFFFF"/>
            </w:tcBorders>
            <w:shd w:val="clear" w:color="000000" w:fill="49723B"/>
            <w:noWrap/>
            <w:vAlign w:val="bottom"/>
            <w:hideMark/>
          </w:tcPr>
          <w:p w14:paraId="11081491"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Number</w:t>
            </w:r>
          </w:p>
        </w:tc>
        <w:tc>
          <w:tcPr>
            <w:tcW w:w="0" w:type="auto"/>
            <w:tcBorders>
              <w:top w:val="nil"/>
              <w:left w:val="nil"/>
              <w:bottom w:val="single" w:sz="4" w:space="0" w:color="FFFFFF"/>
              <w:right w:val="single" w:sz="4" w:space="0" w:color="FFFFFF"/>
            </w:tcBorders>
            <w:shd w:val="clear" w:color="000000" w:fill="49723B"/>
            <w:noWrap/>
            <w:vAlign w:val="bottom"/>
            <w:hideMark/>
          </w:tcPr>
          <w:p w14:paraId="7E09C328"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w:t>
            </w:r>
          </w:p>
        </w:tc>
        <w:tc>
          <w:tcPr>
            <w:tcW w:w="0" w:type="auto"/>
            <w:tcBorders>
              <w:top w:val="nil"/>
              <w:left w:val="nil"/>
              <w:bottom w:val="single" w:sz="4" w:space="0" w:color="FFFFFF"/>
              <w:right w:val="single" w:sz="4" w:space="0" w:color="FFFFFF"/>
            </w:tcBorders>
            <w:shd w:val="clear" w:color="000000" w:fill="49723B"/>
            <w:noWrap/>
            <w:vAlign w:val="bottom"/>
            <w:hideMark/>
          </w:tcPr>
          <w:p w14:paraId="5790D67B"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Number</w:t>
            </w:r>
          </w:p>
        </w:tc>
        <w:tc>
          <w:tcPr>
            <w:tcW w:w="0" w:type="auto"/>
            <w:tcBorders>
              <w:top w:val="nil"/>
              <w:left w:val="nil"/>
              <w:bottom w:val="single" w:sz="4" w:space="0" w:color="FFFFFF"/>
              <w:right w:val="single" w:sz="4" w:space="0" w:color="FFFFFF"/>
            </w:tcBorders>
            <w:shd w:val="clear" w:color="000000" w:fill="49723B"/>
            <w:noWrap/>
            <w:vAlign w:val="bottom"/>
            <w:hideMark/>
          </w:tcPr>
          <w:p w14:paraId="6A811DC0"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w:t>
            </w:r>
          </w:p>
        </w:tc>
        <w:tc>
          <w:tcPr>
            <w:tcW w:w="0" w:type="auto"/>
            <w:tcBorders>
              <w:top w:val="nil"/>
              <w:left w:val="nil"/>
              <w:bottom w:val="single" w:sz="4" w:space="0" w:color="FFFFFF"/>
              <w:right w:val="single" w:sz="4" w:space="0" w:color="FFFFFF"/>
            </w:tcBorders>
            <w:shd w:val="clear" w:color="000000" w:fill="49723B"/>
            <w:noWrap/>
            <w:vAlign w:val="bottom"/>
            <w:hideMark/>
          </w:tcPr>
          <w:p w14:paraId="765F2C42"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Number</w:t>
            </w:r>
          </w:p>
        </w:tc>
        <w:tc>
          <w:tcPr>
            <w:tcW w:w="0" w:type="auto"/>
            <w:tcBorders>
              <w:top w:val="nil"/>
              <w:left w:val="nil"/>
              <w:bottom w:val="single" w:sz="4" w:space="0" w:color="FFFFFF"/>
              <w:right w:val="single" w:sz="4" w:space="0" w:color="FFFFFF"/>
            </w:tcBorders>
            <w:shd w:val="clear" w:color="000000" w:fill="49723B"/>
            <w:noWrap/>
            <w:vAlign w:val="bottom"/>
            <w:hideMark/>
          </w:tcPr>
          <w:p w14:paraId="3C31D431"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w:t>
            </w:r>
          </w:p>
        </w:tc>
      </w:tr>
      <w:tr w:rsidR="00B71E54" w:rsidRPr="00B71E54" w14:paraId="19082A1E" w14:textId="77777777" w:rsidTr="00885AD8">
        <w:trPr>
          <w:trHeight w:val="288"/>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27D2385B"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2007/08</w:t>
            </w:r>
          </w:p>
        </w:tc>
        <w:tc>
          <w:tcPr>
            <w:tcW w:w="0" w:type="auto"/>
            <w:tcBorders>
              <w:top w:val="nil"/>
              <w:left w:val="nil"/>
              <w:bottom w:val="single" w:sz="4" w:space="0" w:color="FFFFFF"/>
              <w:right w:val="single" w:sz="4" w:space="0" w:color="FFFFFF"/>
            </w:tcBorders>
            <w:shd w:val="clear" w:color="000000" w:fill="EFEAE6"/>
            <w:noWrap/>
            <w:vAlign w:val="bottom"/>
            <w:hideMark/>
          </w:tcPr>
          <w:p w14:paraId="46C8D5F2"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60</w:t>
            </w:r>
          </w:p>
        </w:tc>
        <w:tc>
          <w:tcPr>
            <w:tcW w:w="0" w:type="auto"/>
            <w:tcBorders>
              <w:top w:val="nil"/>
              <w:left w:val="nil"/>
              <w:bottom w:val="single" w:sz="4" w:space="0" w:color="FFFFFF"/>
              <w:right w:val="single" w:sz="4" w:space="0" w:color="FFFFFF"/>
            </w:tcBorders>
            <w:shd w:val="clear" w:color="000000" w:fill="EFEAE6"/>
            <w:noWrap/>
            <w:vAlign w:val="bottom"/>
            <w:hideMark/>
          </w:tcPr>
          <w:p w14:paraId="21C48B6B"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31</w:t>
            </w:r>
          </w:p>
        </w:tc>
        <w:tc>
          <w:tcPr>
            <w:tcW w:w="0" w:type="auto"/>
            <w:tcBorders>
              <w:top w:val="nil"/>
              <w:left w:val="nil"/>
              <w:bottom w:val="single" w:sz="4" w:space="0" w:color="FFFFFF"/>
              <w:right w:val="single" w:sz="4" w:space="0" w:color="FFFFFF"/>
            </w:tcBorders>
            <w:shd w:val="clear" w:color="000000" w:fill="EFEAE6"/>
            <w:noWrap/>
            <w:vAlign w:val="bottom"/>
            <w:hideMark/>
          </w:tcPr>
          <w:p w14:paraId="0C254DEF"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30</w:t>
            </w:r>
          </w:p>
        </w:tc>
        <w:tc>
          <w:tcPr>
            <w:tcW w:w="0" w:type="auto"/>
            <w:tcBorders>
              <w:top w:val="nil"/>
              <w:left w:val="nil"/>
              <w:bottom w:val="single" w:sz="4" w:space="0" w:color="FFFFFF"/>
              <w:right w:val="single" w:sz="4" w:space="0" w:color="FFFFFF"/>
            </w:tcBorders>
            <w:shd w:val="clear" w:color="000000" w:fill="EFEAE6"/>
            <w:noWrap/>
            <w:vAlign w:val="bottom"/>
            <w:hideMark/>
          </w:tcPr>
          <w:p w14:paraId="0E2B76EF"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15</w:t>
            </w:r>
          </w:p>
        </w:tc>
        <w:tc>
          <w:tcPr>
            <w:tcW w:w="0" w:type="auto"/>
            <w:tcBorders>
              <w:top w:val="nil"/>
              <w:left w:val="nil"/>
              <w:bottom w:val="single" w:sz="4" w:space="0" w:color="FFFFFF"/>
              <w:right w:val="single" w:sz="4" w:space="0" w:color="FFFFFF"/>
            </w:tcBorders>
            <w:shd w:val="clear" w:color="000000" w:fill="EFEAE6"/>
            <w:noWrap/>
            <w:vAlign w:val="bottom"/>
            <w:hideMark/>
          </w:tcPr>
          <w:p w14:paraId="347E6FA3"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100</w:t>
            </w:r>
          </w:p>
        </w:tc>
        <w:tc>
          <w:tcPr>
            <w:tcW w:w="0" w:type="auto"/>
            <w:tcBorders>
              <w:top w:val="nil"/>
              <w:left w:val="nil"/>
              <w:bottom w:val="single" w:sz="4" w:space="0" w:color="FFFFFF"/>
              <w:right w:val="single" w:sz="4" w:space="0" w:color="FFFFFF"/>
            </w:tcBorders>
            <w:shd w:val="clear" w:color="000000" w:fill="EFEAE6"/>
            <w:noWrap/>
            <w:vAlign w:val="bottom"/>
            <w:hideMark/>
          </w:tcPr>
          <w:p w14:paraId="718D9E9F"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51</w:t>
            </w:r>
          </w:p>
        </w:tc>
        <w:tc>
          <w:tcPr>
            <w:tcW w:w="0" w:type="auto"/>
            <w:tcBorders>
              <w:top w:val="nil"/>
              <w:left w:val="nil"/>
              <w:bottom w:val="single" w:sz="4" w:space="0" w:color="FFFFFF"/>
              <w:right w:val="single" w:sz="4" w:space="0" w:color="FFFFFF"/>
            </w:tcBorders>
            <w:shd w:val="clear" w:color="000000" w:fill="EFEAE6"/>
            <w:noWrap/>
            <w:vAlign w:val="bottom"/>
            <w:hideMark/>
          </w:tcPr>
          <w:p w14:paraId="610B34DE"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8</w:t>
            </w:r>
          </w:p>
        </w:tc>
        <w:tc>
          <w:tcPr>
            <w:tcW w:w="0" w:type="auto"/>
            <w:tcBorders>
              <w:top w:val="nil"/>
              <w:left w:val="nil"/>
              <w:bottom w:val="single" w:sz="4" w:space="0" w:color="FFFFFF"/>
              <w:right w:val="single" w:sz="4" w:space="0" w:color="FFFFFF"/>
            </w:tcBorders>
            <w:shd w:val="clear" w:color="000000" w:fill="EFEAE6"/>
            <w:noWrap/>
            <w:vAlign w:val="bottom"/>
            <w:hideMark/>
          </w:tcPr>
          <w:p w14:paraId="05F81346"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4</w:t>
            </w:r>
          </w:p>
        </w:tc>
      </w:tr>
      <w:tr w:rsidR="00B71E54" w:rsidRPr="00B71E54" w14:paraId="61C6154D" w14:textId="77777777" w:rsidTr="00885AD8">
        <w:trPr>
          <w:trHeight w:val="288"/>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69447186" w14:textId="77777777" w:rsidR="00B71E54" w:rsidRPr="00B71E54" w:rsidRDefault="00B71E54" w:rsidP="00B71E54">
            <w:pPr>
              <w:spacing w:after="0" w:line="240" w:lineRule="auto"/>
              <w:jc w:val="center"/>
              <w:rPr>
                <w:rFonts w:ascii="Calibri" w:eastAsia="Times New Roman" w:hAnsi="Calibri" w:cs="Calibri"/>
                <w:b/>
                <w:bCs/>
                <w:color w:val="FFFFFF"/>
                <w:lang w:eastAsia="en-GB"/>
              </w:rPr>
            </w:pPr>
            <w:r w:rsidRPr="00B71E54">
              <w:rPr>
                <w:rFonts w:ascii="Calibri" w:eastAsia="Times New Roman" w:hAnsi="Calibri" w:cs="Calibri"/>
                <w:b/>
                <w:bCs/>
                <w:color w:val="FFFFFF"/>
                <w:lang w:eastAsia="en-GB"/>
              </w:rPr>
              <w:t>2015/16</w:t>
            </w:r>
          </w:p>
        </w:tc>
        <w:tc>
          <w:tcPr>
            <w:tcW w:w="0" w:type="auto"/>
            <w:tcBorders>
              <w:top w:val="nil"/>
              <w:left w:val="nil"/>
              <w:bottom w:val="single" w:sz="4" w:space="0" w:color="FFFFFF"/>
              <w:right w:val="single" w:sz="4" w:space="0" w:color="FFFFFF"/>
            </w:tcBorders>
            <w:shd w:val="clear" w:color="000000" w:fill="EFEAE6"/>
            <w:noWrap/>
            <w:vAlign w:val="bottom"/>
            <w:hideMark/>
          </w:tcPr>
          <w:p w14:paraId="01C41D77"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139</w:t>
            </w:r>
          </w:p>
        </w:tc>
        <w:tc>
          <w:tcPr>
            <w:tcW w:w="0" w:type="auto"/>
            <w:tcBorders>
              <w:top w:val="nil"/>
              <w:left w:val="nil"/>
              <w:bottom w:val="single" w:sz="4" w:space="0" w:color="FFFFFF"/>
              <w:right w:val="single" w:sz="4" w:space="0" w:color="FFFFFF"/>
            </w:tcBorders>
            <w:shd w:val="clear" w:color="000000" w:fill="EFEAE6"/>
            <w:noWrap/>
            <w:vAlign w:val="bottom"/>
            <w:hideMark/>
          </w:tcPr>
          <w:p w14:paraId="5BAB1467"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38</w:t>
            </w:r>
          </w:p>
        </w:tc>
        <w:tc>
          <w:tcPr>
            <w:tcW w:w="0" w:type="auto"/>
            <w:tcBorders>
              <w:top w:val="nil"/>
              <w:left w:val="nil"/>
              <w:bottom w:val="single" w:sz="4" w:space="0" w:color="FFFFFF"/>
              <w:right w:val="single" w:sz="4" w:space="0" w:color="FFFFFF"/>
            </w:tcBorders>
            <w:shd w:val="clear" w:color="000000" w:fill="EFEAE6"/>
            <w:noWrap/>
            <w:vAlign w:val="bottom"/>
            <w:hideMark/>
          </w:tcPr>
          <w:p w14:paraId="4D3A99C6"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102</w:t>
            </w:r>
          </w:p>
        </w:tc>
        <w:tc>
          <w:tcPr>
            <w:tcW w:w="0" w:type="auto"/>
            <w:tcBorders>
              <w:top w:val="nil"/>
              <w:left w:val="nil"/>
              <w:bottom w:val="single" w:sz="4" w:space="0" w:color="FFFFFF"/>
              <w:right w:val="single" w:sz="4" w:space="0" w:color="FFFFFF"/>
            </w:tcBorders>
            <w:shd w:val="clear" w:color="000000" w:fill="EFEAE6"/>
            <w:noWrap/>
            <w:vAlign w:val="bottom"/>
            <w:hideMark/>
          </w:tcPr>
          <w:p w14:paraId="5C2A100D"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26</w:t>
            </w:r>
          </w:p>
        </w:tc>
        <w:tc>
          <w:tcPr>
            <w:tcW w:w="0" w:type="auto"/>
            <w:tcBorders>
              <w:top w:val="nil"/>
              <w:left w:val="nil"/>
              <w:bottom w:val="single" w:sz="4" w:space="0" w:color="FFFFFF"/>
              <w:right w:val="single" w:sz="4" w:space="0" w:color="FFFFFF"/>
            </w:tcBorders>
            <w:shd w:val="clear" w:color="000000" w:fill="EFEAE6"/>
            <w:noWrap/>
            <w:vAlign w:val="bottom"/>
            <w:hideMark/>
          </w:tcPr>
          <w:p w14:paraId="54B6BBBB"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114</w:t>
            </w:r>
          </w:p>
        </w:tc>
        <w:tc>
          <w:tcPr>
            <w:tcW w:w="0" w:type="auto"/>
            <w:tcBorders>
              <w:top w:val="nil"/>
              <w:left w:val="nil"/>
              <w:bottom w:val="single" w:sz="4" w:space="0" w:color="FFFFFF"/>
              <w:right w:val="single" w:sz="4" w:space="0" w:color="FFFFFF"/>
            </w:tcBorders>
            <w:shd w:val="clear" w:color="000000" w:fill="EFEAE6"/>
            <w:noWrap/>
            <w:vAlign w:val="bottom"/>
            <w:hideMark/>
          </w:tcPr>
          <w:p w14:paraId="014CDC30"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29</w:t>
            </w:r>
          </w:p>
        </w:tc>
        <w:tc>
          <w:tcPr>
            <w:tcW w:w="0" w:type="auto"/>
            <w:tcBorders>
              <w:top w:val="nil"/>
              <w:left w:val="nil"/>
              <w:bottom w:val="single" w:sz="4" w:space="0" w:color="FFFFFF"/>
              <w:right w:val="single" w:sz="4" w:space="0" w:color="FFFFFF"/>
            </w:tcBorders>
            <w:shd w:val="clear" w:color="000000" w:fill="EFEAE6"/>
            <w:noWrap/>
            <w:vAlign w:val="bottom"/>
            <w:hideMark/>
          </w:tcPr>
          <w:p w14:paraId="7CA7DC73"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26</w:t>
            </w:r>
          </w:p>
        </w:tc>
        <w:tc>
          <w:tcPr>
            <w:tcW w:w="0" w:type="auto"/>
            <w:tcBorders>
              <w:top w:val="nil"/>
              <w:left w:val="nil"/>
              <w:bottom w:val="single" w:sz="4" w:space="0" w:color="FFFFFF"/>
              <w:right w:val="single" w:sz="4" w:space="0" w:color="FFFFFF"/>
            </w:tcBorders>
            <w:shd w:val="clear" w:color="000000" w:fill="EFEAE6"/>
            <w:noWrap/>
            <w:vAlign w:val="bottom"/>
            <w:hideMark/>
          </w:tcPr>
          <w:p w14:paraId="4EC11EC4" w14:textId="77777777" w:rsidR="00B71E54" w:rsidRPr="00B71E54" w:rsidRDefault="00B71E54" w:rsidP="00B71E54">
            <w:pPr>
              <w:spacing w:after="0" w:line="240" w:lineRule="auto"/>
              <w:jc w:val="center"/>
              <w:rPr>
                <w:rFonts w:ascii="Calibri" w:eastAsia="Times New Roman" w:hAnsi="Calibri" w:cs="Calibri"/>
                <w:color w:val="000000"/>
                <w:lang w:eastAsia="en-GB"/>
              </w:rPr>
            </w:pPr>
            <w:r w:rsidRPr="00B71E54">
              <w:rPr>
                <w:rFonts w:ascii="Calibri" w:eastAsia="Times New Roman" w:hAnsi="Calibri" w:cs="Calibri"/>
                <w:color w:val="000000"/>
                <w:lang w:eastAsia="en-GB"/>
              </w:rPr>
              <w:t>7</w:t>
            </w:r>
          </w:p>
        </w:tc>
      </w:tr>
    </w:tbl>
    <w:p w14:paraId="4448656B" w14:textId="77777777" w:rsidR="00B71E54" w:rsidRDefault="00B71E54" w:rsidP="00D43422">
      <w:pPr>
        <w:jc w:val="both"/>
        <w:rPr>
          <w:rFonts w:cstheme="minorHAnsi"/>
          <w:sz w:val="28"/>
          <w:szCs w:val="28"/>
        </w:rPr>
      </w:pPr>
    </w:p>
    <w:p w14:paraId="73D94E2B" w14:textId="77777777" w:rsidR="0075405C" w:rsidRPr="009C005D" w:rsidRDefault="0075405C" w:rsidP="00D43422">
      <w:pPr>
        <w:jc w:val="both"/>
        <w:rPr>
          <w:rFonts w:cstheme="minorHAnsi"/>
          <w:sz w:val="28"/>
          <w:szCs w:val="28"/>
        </w:rPr>
      </w:pPr>
      <w:r w:rsidRPr="00E41C69">
        <w:rPr>
          <w:rFonts w:cstheme="minorHAnsi"/>
          <w:sz w:val="28"/>
          <w:szCs w:val="28"/>
        </w:rPr>
        <w:t>The most noticeable trends are as follows:</w:t>
      </w:r>
    </w:p>
    <w:p w14:paraId="7298B131" w14:textId="761E4CA8" w:rsidR="009C005D" w:rsidRDefault="001F62C5" w:rsidP="00D43422">
      <w:pPr>
        <w:jc w:val="both"/>
        <w:rPr>
          <w:rFonts w:cstheme="minorHAnsi"/>
          <w:sz w:val="28"/>
          <w:szCs w:val="28"/>
        </w:rPr>
      </w:pPr>
      <w:r>
        <w:rPr>
          <w:rFonts w:cstheme="minorHAnsi"/>
          <w:b/>
          <w:sz w:val="28"/>
          <w:szCs w:val="28"/>
        </w:rPr>
        <w:t xml:space="preserve">4.1.4 </w:t>
      </w:r>
      <w:r w:rsidR="002659ED" w:rsidRPr="00E41C69">
        <w:rPr>
          <w:rFonts w:cstheme="minorHAnsi"/>
          <w:b/>
          <w:sz w:val="28"/>
          <w:szCs w:val="28"/>
        </w:rPr>
        <w:t>O</w:t>
      </w:r>
      <w:r w:rsidR="005C07A9" w:rsidRPr="00E41C69">
        <w:rPr>
          <w:rFonts w:cstheme="minorHAnsi"/>
          <w:b/>
          <w:sz w:val="28"/>
          <w:szCs w:val="28"/>
        </w:rPr>
        <w:t>verseas distance learning</w:t>
      </w:r>
      <w:r w:rsidR="002659ED" w:rsidRPr="00E41C69">
        <w:rPr>
          <w:rFonts w:cstheme="minorHAnsi"/>
          <w:sz w:val="28"/>
          <w:szCs w:val="28"/>
        </w:rPr>
        <w:t xml:space="preserve">: Despite the </w:t>
      </w:r>
      <w:r w:rsidR="002071FE" w:rsidRPr="00E41C69">
        <w:rPr>
          <w:rFonts w:cstheme="minorHAnsi"/>
          <w:sz w:val="28"/>
          <w:szCs w:val="28"/>
        </w:rPr>
        <w:t xml:space="preserve">high expectations </w:t>
      </w:r>
      <w:r w:rsidR="00644855" w:rsidRPr="00E41C69">
        <w:rPr>
          <w:rFonts w:cstheme="minorHAnsi"/>
          <w:sz w:val="28"/>
          <w:szCs w:val="28"/>
        </w:rPr>
        <w:t xml:space="preserve">surrounding the emergence of new on-line virtual learning and other IT-related learning technologies in promoting </w:t>
      </w:r>
      <w:r w:rsidR="00B91858" w:rsidRPr="00E41C69">
        <w:rPr>
          <w:rFonts w:cstheme="minorHAnsi"/>
          <w:sz w:val="28"/>
          <w:szCs w:val="28"/>
        </w:rPr>
        <w:t xml:space="preserve">distance </w:t>
      </w:r>
      <w:r w:rsidR="00644855" w:rsidRPr="00E41C69">
        <w:rPr>
          <w:rFonts w:cstheme="minorHAnsi"/>
          <w:sz w:val="28"/>
          <w:szCs w:val="28"/>
        </w:rPr>
        <w:t xml:space="preserve">learning throughout the world, </w:t>
      </w:r>
      <w:r w:rsidR="00B91858" w:rsidRPr="00E41C69">
        <w:rPr>
          <w:rFonts w:cstheme="minorHAnsi"/>
          <w:sz w:val="28"/>
          <w:szCs w:val="28"/>
        </w:rPr>
        <w:t xml:space="preserve">overseas distance learning </w:t>
      </w:r>
      <w:r w:rsidR="00644855" w:rsidRPr="00E41C69">
        <w:rPr>
          <w:rFonts w:cstheme="minorHAnsi"/>
          <w:sz w:val="28"/>
          <w:szCs w:val="28"/>
        </w:rPr>
        <w:t xml:space="preserve">enrolments </w:t>
      </w:r>
      <w:r w:rsidR="00D34469" w:rsidRPr="00E41C69">
        <w:rPr>
          <w:rFonts w:cstheme="minorHAnsi"/>
          <w:sz w:val="28"/>
          <w:szCs w:val="28"/>
        </w:rPr>
        <w:t xml:space="preserve">at UK universities </w:t>
      </w:r>
      <w:r w:rsidR="00644855" w:rsidRPr="00E41C69">
        <w:rPr>
          <w:rFonts w:cstheme="minorHAnsi"/>
          <w:sz w:val="28"/>
          <w:szCs w:val="28"/>
        </w:rPr>
        <w:t xml:space="preserve">increased only very slightly </w:t>
      </w:r>
      <w:r w:rsidR="00D62E7F" w:rsidRPr="00E41C69">
        <w:rPr>
          <w:rFonts w:cstheme="minorHAnsi"/>
          <w:sz w:val="28"/>
          <w:szCs w:val="28"/>
        </w:rPr>
        <w:t xml:space="preserve">from 100,000 in 2007/08 to 121,000 in </w:t>
      </w:r>
      <w:r w:rsidR="00644855" w:rsidRPr="00E41C69">
        <w:rPr>
          <w:rFonts w:cstheme="minorHAnsi"/>
          <w:sz w:val="28"/>
          <w:szCs w:val="28"/>
        </w:rPr>
        <w:t>2012/13 and</w:t>
      </w:r>
      <w:r w:rsidR="00D34469" w:rsidRPr="00E41C69">
        <w:rPr>
          <w:rFonts w:cstheme="minorHAnsi"/>
          <w:sz w:val="28"/>
          <w:szCs w:val="28"/>
        </w:rPr>
        <w:t>,</w:t>
      </w:r>
      <w:r w:rsidR="00644855" w:rsidRPr="00E41C69">
        <w:rPr>
          <w:rFonts w:cstheme="minorHAnsi"/>
          <w:sz w:val="28"/>
          <w:szCs w:val="28"/>
        </w:rPr>
        <w:t xml:space="preserve"> since then</w:t>
      </w:r>
      <w:r w:rsidR="00D34469" w:rsidRPr="00E41C69">
        <w:rPr>
          <w:rFonts w:cstheme="minorHAnsi"/>
          <w:sz w:val="28"/>
          <w:szCs w:val="28"/>
        </w:rPr>
        <w:t>,</w:t>
      </w:r>
      <w:r w:rsidR="00644855" w:rsidRPr="00E41C69">
        <w:rPr>
          <w:rFonts w:cstheme="minorHAnsi"/>
          <w:sz w:val="28"/>
          <w:szCs w:val="28"/>
        </w:rPr>
        <w:t xml:space="preserve"> they have declined</w:t>
      </w:r>
      <w:r w:rsidR="00D62E7F" w:rsidRPr="00E41C69">
        <w:rPr>
          <w:rFonts w:cstheme="minorHAnsi"/>
          <w:sz w:val="28"/>
          <w:szCs w:val="28"/>
        </w:rPr>
        <w:t xml:space="preserve"> to 117,000 in 2016/17</w:t>
      </w:r>
      <w:r w:rsidR="00644855" w:rsidRPr="00E41C69">
        <w:rPr>
          <w:rFonts w:cstheme="minorHAnsi"/>
          <w:sz w:val="28"/>
          <w:szCs w:val="28"/>
        </w:rPr>
        <w:t xml:space="preserve">. The </w:t>
      </w:r>
      <w:r w:rsidR="00D62E7F" w:rsidRPr="00E41C69">
        <w:rPr>
          <w:rFonts w:cstheme="minorHAnsi"/>
          <w:sz w:val="28"/>
          <w:szCs w:val="28"/>
        </w:rPr>
        <w:t xml:space="preserve">overall </w:t>
      </w:r>
      <w:r w:rsidR="00644855" w:rsidRPr="00E41C69">
        <w:rPr>
          <w:rFonts w:cstheme="minorHAnsi"/>
          <w:sz w:val="28"/>
          <w:szCs w:val="28"/>
        </w:rPr>
        <w:t xml:space="preserve">share of ODL enrolments </w:t>
      </w:r>
      <w:r w:rsidR="00D34469" w:rsidRPr="00E41C69">
        <w:rPr>
          <w:rFonts w:cstheme="minorHAnsi"/>
          <w:sz w:val="28"/>
          <w:szCs w:val="28"/>
        </w:rPr>
        <w:t xml:space="preserve">in total offshore provision </w:t>
      </w:r>
      <w:r w:rsidR="00644855" w:rsidRPr="00E41C69">
        <w:rPr>
          <w:rFonts w:cstheme="minorHAnsi"/>
          <w:sz w:val="28"/>
          <w:szCs w:val="28"/>
        </w:rPr>
        <w:t xml:space="preserve">fell from 51% in 2007/08 to </w:t>
      </w:r>
      <w:r w:rsidR="00D34469" w:rsidRPr="00E41C69">
        <w:rPr>
          <w:rFonts w:cstheme="minorHAnsi"/>
          <w:sz w:val="28"/>
          <w:szCs w:val="28"/>
        </w:rPr>
        <w:t xml:space="preserve">just </w:t>
      </w:r>
      <w:r w:rsidR="009C005D">
        <w:rPr>
          <w:rFonts w:cstheme="minorHAnsi"/>
          <w:sz w:val="28"/>
          <w:szCs w:val="28"/>
        </w:rPr>
        <w:t>29% in 2015/16</w:t>
      </w:r>
      <w:r w:rsidR="00644855" w:rsidRPr="00E41C69">
        <w:rPr>
          <w:rFonts w:cstheme="minorHAnsi"/>
          <w:sz w:val="28"/>
          <w:szCs w:val="28"/>
        </w:rPr>
        <w:t xml:space="preserve">. </w:t>
      </w:r>
      <w:r w:rsidR="00077276" w:rsidRPr="00E41C69">
        <w:rPr>
          <w:rFonts w:cstheme="minorHAnsi"/>
          <w:sz w:val="28"/>
          <w:szCs w:val="28"/>
        </w:rPr>
        <w:t>ODL i</w:t>
      </w:r>
      <w:r w:rsidR="00D34469" w:rsidRPr="00E41C69">
        <w:rPr>
          <w:rFonts w:cstheme="minorHAnsi"/>
          <w:sz w:val="28"/>
          <w:szCs w:val="28"/>
        </w:rPr>
        <w:t xml:space="preserve">s the ‘predominant’ form of offshore provision </w:t>
      </w:r>
      <w:r w:rsidR="00077276" w:rsidRPr="00E41C69">
        <w:rPr>
          <w:rFonts w:cstheme="minorHAnsi"/>
          <w:sz w:val="28"/>
          <w:szCs w:val="28"/>
        </w:rPr>
        <w:t xml:space="preserve">at </w:t>
      </w:r>
      <w:r w:rsidR="00A04E88">
        <w:rPr>
          <w:rFonts w:cstheme="minorHAnsi"/>
          <w:sz w:val="28"/>
          <w:szCs w:val="28"/>
        </w:rPr>
        <w:t xml:space="preserve">only </w:t>
      </w:r>
      <w:r w:rsidR="00077276" w:rsidRPr="00E41C69">
        <w:rPr>
          <w:rFonts w:cstheme="minorHAnsi"/>
          <w:sz w:val="28"/>
          <w:szCs w:val="28"/>
        </w:rPr>
        <w:t>20% of UK universities but 40% of universities had no ODL involvement whatsoever in 2015/16</w:t>
      </w:r>
      <w:r w:rsidR="00C809A3">
        <w:rPr>
          <w:rFonts w:cstheme="minorHAnsi"/>
          <w:sz w:val="28"/>
          <w:szCs w:val="28"/>
        </w:rPr>
        <w:t xml:space="preserve"> (see tables </w:t>
      </w:r>
      <w:r w:rsidR="002941B6">
        <w:rPr>
          <w:rFonts w:cstheme="minorHAnsi"/>
          <w:sz w:val="28"/>
          <w:szCs w:val="28"/>
        </w:rPr>
        <w:t>NN</w:t>
      </w:r>
      <w:r w:rsidR="00C809A3">
        <w:rPr>
          <w:rFonts w:cstheme="minorHAnsi"/>
          <w:sz w:val="28"/>
          <w:szCs w:val="28"/>
        </w:rPr>
        <w:t>)</w:t>
      </w:r>
      <w:r w:rsidR="00077276" w:rsidRPr="00E41C69">
        <w:rPr>
          <w:rFonts w:cstheme="minorHAnsi"/>
          <w:sz w:val="28"/>
          <w:szCs w:val="28"/>
        </w:rPr>
        <w:t>.</w:t>
      </w:r>
    </w:p>
    <w:tbl>
      <w:tblPr>
        <w:tblW w:w="0" w:type="auto"/>
        <w:tblLook w:val="04A0" w:firstRow="1" w:lastRow="0" w:firstColumn="1" w:lastColumn="0" w:noHBand="0" w:noVBand="1"/>
      </w:tblPr>
      <w:tblGrid>
        <w:gridCol w:w="1017"/>
        <w:gridCol w:w="1434"/>
        <w:gridCol w:w="664"/>
        <w:gridCol w:w="1694"/>
        <w:gridCol w:w="216"/>
        <w:gridCol w:w="452"/>
        <w:gridCol w:w="1336"/>
        <w:gridCol w:w="216"/>
        <w:gridCol w:w="413"/>
        <w:gridCol w:w="1071"/>
        <w:gridCol w:w="513"/>
      </w:tblGrid>
      <w:tr w:rsidR="00C809A3" w:rsidRPr="00C809A3" w14:paraId="51A572BD" w14:textId="77777777" w:rsidTr="00885AD8">
        <w:trPr>
          <w:trHeight w:val="286"/>
        </w:trPr>
        <w:tc>
          <w:tcPr>
            <w:tcW w:w="0" w:type="auto"/>
            <w:gridSpan w:val="5"/>
            <w:tcBorders>
              <w:top w:val="nil"/>
              <w:left w:val="nil"/>
              <w:bottom w:val="nil"/>
              <w:right w:val="nil"/>
            </w:tcBorders>
            <w:shd w:val="clear" w:color="auto" w:fill="auto"/>
            <w:noWrap/>
            <w:vAlign w:val="bottom"/>
            <w:hideMark/>
          </w:tcPr>
          <w:p w14:paraId="66D2A274" w14:textId="55D15DCF" w:rsidR="00C809A3" w:rsidRPr="00C809A3" w:rsidRDefault="00F125F1" w:rsidP="00CF0D52">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2</w:t>
            </w:r>
            <w:r w:rsidR="00C809A3" w:rsidRPr="00C809A3">
              <w:rPr>
                <w:rFonts w:ascii="Calibri" w:eastAsia="Times New Roman" w:hAnsi="Calibri" w:cs="Calibri"/>
                <w:b/>
                <w:bCs/>
                <w:color w:val="5F735C"/>
                <w:lang w:eastAsia="en-GB"/>
              </w:rPr>
              <w:t xml:space="preserve">: Offshore provision by level of </w:t>
            </w:r>
            <w:r w:rsidR="00CF0D52">
              <w:rPr>
                <w:rFonts w:ascii="Calibri" w:eastAsia="Times New Roman" w:hAnsi="Calibri" w:cs="Calibri"/>
                <w:b/>
                <w:bCs/>
                <w:color w:val="5F735C"/>
                <w:lang w:eastAsia="en-GB"/>
              </w:rPr>
              <w:t>i</w:t>
            </w:r>
            <w:r w:rsidR="00C809A3" w:rsidRPr="00C809A3">
              <w:rPr>
                <w:rFonts w:ascii="Calibri" w:eastAsia="Times New Roman" w:hAnsi="Calibri" w:cs="Calibri"/>
                <w:b/>
                <w:bCs/>
                <w:color w:val="5F735C"/>
                <w:lang w:eastAsia="en-GB"/>
              </w:rPr>
              <w:t xml:space="preserve">nvolvement and type of provision (rounded %) </w:t>
            </w:r>
          </w:p>
        </w:tc>
        <w:tc>
          <w:tcPr>
            <w:tcW w:w="0" w:type="auto"/>
            <w:tcBorders>
              <w:top w:val="nil"/>
              <w:left w:val="nil"/>
              <w:bottom w:val="nil"/>
              <w:right w:val="nil"/>
            </w:tcBorders>
            <w:shd w:val="clear" w:color="auto" w:fill="auto"/>
            <w:noWrap/>
            <w:vAlign w:val="bottom"/>
            <w:hideMark/>
          </w:tcPr>
          <w:p w14:paraId="39AF2D82" w14:textId="77777777" w:rsidR="00C809A3" w:rsidRPr="00C809A3" w:rsidRDefault="00C809A3" w:rsidP="00C809A3">
            <w:pPr>
              <w:spacing w:after="0" w:line="240" w:lineRule="auto"/>
              <w:rPr>
                <w:rFonts w:ascii="Calibri" w:eastAsia="Times New Roman" w:hAnsi="Calibri" w:cs="Calibri"/>
                <w:b/>
                <w:bCs/>
                <w:color w:val="5F735C"/>
                <w:lang w:eastAsia="en-GB"/>
              </w:rPr>
            </w:pPr>
          </w:p>
        </w:tc>
        <w:tc>
          <w:tcPr>
            <w:tcW w:w="0" w:type="auto"/>
            <w:gridSpan w:val="2"/>
            <w:tcBorders>
              <w:top w:val="nil"/>
              <w:left w:val="nil"/>
              <w:bottom w:val="nil"/>
              <w:right w:val="nil"/>
            </w:tcBorders>
            <w:shd w:val="clear" w:color="auto" w:fill="auto"/>
            <w:noWrap/>
            <w:vAlign w:val="bottom"/>
            <w:hideMark/>
          </w:tcPr>
          <w:p w14:paraId="1071A740" w14:textId="77777777" w:rsidR="00C809A3" w:rsidRPr="00C809A3" w:rsidRDefault="00C809A3" w:rsidP="00C809A3">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7329FF9D" w14:textId="77777777" w:rsidR="00C809A3" w:rsidRPr="00C809A3" w:rsidRDefault="00C809A3" w:rsidP="00C809A3">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2D40212C" w14:textId="77777777" w:rsidR="00C809A3" w:rsidRPr="00C809A3" w:rsidRDefault="00C809A3" w:rsidP="00C809A3">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104567A2" w14:textId="77777777" w:rsidR="00C809A3" w:rsidRPr="00C809A3" w:rsidRDefault="00C809A3" w:rsidP="00C809A3">
            <w:pPr>
              <w:spacing w:after="0" w:line="240" w:lineRule="auto"/>
              <w:rPr>
                <w:rFonts w:ascii="Times New Roman" w:eastAsia="Times New Roman" w:hAnsi="Times New Roman" w:cs="Times New Roman"/>
                <w:sz w:val="20"/>
                <w:szCs w:val="20"/>
                <w:lang w:eastAsia="en-GB"/>
              </w:rPr>
            </w:pPr>
          </w:p>
        </w:tc>
      </w:tr>
      <w:tr w:rsidR="00C809A3" w:rsidRPr="00C809A3" w14:paraId="2B748919" w14:textId="77777777" w:rsidTr="00885AD8">
        <w:trPr>
          <w:trHeight w:val="286"/>
        </w:trPr>
        <w:tc>
          <w:tcPr>
            <w:tcW w:w="0" w:type="auto"/>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532FA20A"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Level</w:t>
            </w:r>
          </w:p>
        </w:tc>
        <w:tc>
          <w:tcPr>
            <w:tcW w:w="0" w:type="auto"/>
            <w:gridSpan w:val="2"/>
            <w:tcBorders>
              <w:top w:val="single" w:sz="4" w:space="0" w:color="FFFFFF"/>
              <w:left w:val="nil"/>
              <w:bottom w:val="single" w:sz="4" w:space="0" w:color="FFFFFF"/>
              <w:right w:val="single" w:sz="4" w:space="0" w:color="FFFFFF"/>
            </w:tcBorders>
            <w:shd w:val="clear" w:color="000000" w:fill="49723B"/>
            <w:noWrap/>
            <w:vAlign w:val="bottom"/>
            <w:hideMark/>
          </w:tcPr>
          <w:p w14:paraId="65682A41"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Overseas partner - UK degree</w:t>
            </w:r>
          </w:p>
        </w:tc>
        <w:tc>
          <w:tcPr>
            <w:tcW w:w="0" w:type="auto"/>
            <w:gridSpan w:val="3"/>
            <w:tcBorders>
              <w:top w:val="single" w:sz="4" w:space="0" w:color="FFFFFF"/>
              <w:left w:val="nil"/>
              <w:bottom w:val="single" w:sz="4" w:space="0" w:color="FFFFFF"/>
              <w:right w:val="single" w:sz="4" w:space="0" w:color="FFFFFF"/>
            </w:tcBorders>
            <w:shd w:val="clear" w:color="000000" w:fill="49723B"/>
            <w:noWrap/>
            <w:vAlign w:val="bottom"/>
            <w:hideMark/>
          </w:tcPr>
          <w:p w14:paraId="6829EA89"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Overseas partner -  partner degree</w:t>
            </w:r>
          </w:p>
        </w:tc>
        <w:tc>
          <w:tcPr>
            <w:tcW w:w="0" w:type="auto"/>
            <w:gridSpan w:val="3"/>
            <w:tcBorders>
              <w:top w:val="single" w:sz="4" w:space="0" w:color="FFFFFF"/>
              <w:left w:val="nil"/>
              <w:bottom w:val="single" w:sz="4" w:space="0" w:color="FFFFFF"/>
              <w:right w:val="single" w:sz="4" w:space="0" w:color="FFFFFF"/>
            </w:tcBorders>
            <w:shd w:val="clear" w:color="000000" w:fill="49723B"/>
            <w:noWrap/>
            <w:vAlign w:val="bottom"/>
            <w:hideMark/>
          </w:tcPr>
          <w:p w14:paraId="2B176B54"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Overseas distance learning</w:t>
            </w:r>
          </w:p>
        </w:tc>
        <w:tc>
          <w:tcPr>
            <w:tcW w:w="0" w:type="auto"/>
            <w:gridSpan w:val="2"/>
            <w:tcBorders>
              <w:top w:val="single" w:sz="4" w:space="0" w:color="FFFFFF"/>
              <w:left w:val="nil"/>
              <w:bottom w:val="single" w:sz="4" w:space="0" w:color="FFFFFF"/>
              <w:right w:val="single" w:sz="4" w:space="0" w:color="FFFFFF"/>
            </w:tcBorders>
            <w:shd w:val="clear" w:color="000000" w:fill="49723B"/>
            <w:noWrap/>
            <w:vAlign w:val="bottom"/>
            <w:hideMark/>
          </w:tcPr>
          <w:p w14:paraId="3C7D3C06"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Overseas branch campus</w:t>
            </w:r>
          </w:p>
        </w:tc>
      </w:tr>
      <w:tr w:rsidR="00E2562E" w:rsidRPr="00C809A3" w14:paraId="141FC005" w14:textId="77777777" w:rsidTr="00885AD8">
        <w:trPr>
          <w:trHeight w:val="286"/>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30BC5289" w14:textId="56A710D3" w:rsidR="00C809A3" w:rsidRPr="00C809A3" w:rsidRDefault="00F125F1"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I</w:t>
            </w:r>
            <w:r w:rsidR="00C809A3" w:rsidRPr="00C809A3">
              <w:rPr>
                <w:rFonts w:ascii="Calibri" w:eastAsia="Times New Roman" w:hAnsi="Calibri" w:cs="Calibri"/>
                <w:b/>
                <w:bCs/>
                <w:color w:val="FFFFFF"/>
                <w:lang w:eastAsia="en-GB"/>
              </w:rPr>
              <w:t>nvolvement</w:t>
            </w:r>
          </w:p>
        </w:tc>
        <w:tc>
          <w:tcPr>
            <w:tcW w:w="0" w:type="auto"/>
            <w:tcBorders>
              <w:top w:val="nil"/>
              <w:left w:val="nil"/>
              <w:bottom w:val="single" w:sz="4" w:space="0" w:color="FFFFFF"/>
              <w:right w:val="single" w:sz="4" w:space="0" w:color="FFFFFF"/>
            </w:tcBorders>
            <w:shd w:val="clear" w:color="000000" w:fill="49723B"/>
            <w:noWrap/>
            <w:vAlign w:val="bottom"/>
            <w:hideMark/>
          </w:tcPr>
          <w:p w14:paraId="43B70C10"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Number universities</w:t>
            </w:r>
          </w:p>
        </w:tc>
        <w:tc>
          <w:tcPr>
            <w:tcW w:w="0" w:type="auto"/>
            <w:tcBorders>
              <w:top w:val="nil"/>
              <w:left w:val="nil"/>
              <w:bottom w:val="single" w:sz="4" w:space="0" w:color="FFFFFF"/>
              <w:right w:val="single" w:sz="4" w:space="0" w:color="FFFFFF"/>
            </w:tcBorders>
            <w:shd w:val="clear" w:color="000000" w:fill="49723B"/>
            <w:noWrap/>
            <w:vAlign w:val="bottom"/>
            <w:hideMark/>
          </w:tcPr>
          <w:p w14:paraId="6056A7CA"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 total</w:t>
            </w:r>
          </w:p>
        </w:tc>
        <w:tc>
          <w:tcPr>
            <w:tcW w:w="0" w:type="auto"/>
            <w:tcBorders>
              <w:top w:val="nil"/>
              <w:left w:val="nil"/>
              <w:bottom w:val="single" w:sz="4" w:space="0" w:color="FFFFFF"/>
              <w:right w:val="single" w:sz="4" w:space="0" w:color="FFFFFF"/>
            </w:tcBorders>
            <w:shd w:val="clear" w:color="000000" w:fill="49723B"/>
            <w:noWrap/>
            <w:vAlign w:val="bottom"/>
            <w:hideMark/>
          </w:tcPr>
          <w:p w14:paraId="776FD263"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Number universities</w:t>
            </w:r>
          </w:p>
        </w:tc>
        <w:tc>
          <w:tcPr>
            <w:tcW w:w="0" w:type="auto"/>
            <w:gridSpan w:val="2"/>
            <w:tcBorders>
              <w:top w:val="nil"/>
              <w:left w:val="nil"/>
              <w:bottom w:val="single" w:sz="4" w:space="0" w:color="FFFFFF"/>
              <w:right w:val="single" w:sz="4" w:space="0" w:color="FFFFFF"/>
            </w:tcBorders>
            <w:shd w:val="clear" w:color="000000" w:fill="49723B"/>
            <w:noWrap/>
            <w:vAlign w:val="bottom"/>
            <w:hideMark/>
          </w:tcPr>
          <w:p w14:paraId="17E71049"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 total</w:t>
            </w:r>
          </w:p>
        </w:tc>
        <w:tc>
          <w:tcPr>
            <w:tcW w:w="0" w:type="auto"/>
            <w:tcBorders>
              <w:top w:val="nil"/>
              <w:left w:val="nil"/>
              <w:bottom w:val="single" w:sz="4" w:space="0" w:color="FFFFFF"/>
              <w:right w:val="single" w:sz="4" w:space="0" w:color="FFFFFF"/>
            </w:tcBorders>
            <w:shd w:val="clear" w:color="000000" w:fill="49723B"/>
            <w:noWrap/>
            <w:vAlign w:val="bottom"/>
            <w:hideMark/>
          </w:tcPr>
          <w:p w14:paraId="16687ECA"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Number universities</w:t>
            </w:r>
          </w:p>
        </w:tc>
        <w:tc>
          <w:tcPr>
            <w:tcW w:w="0" w:type="auto"/>
            <w:gridSpan w:val="2"/>
            <w:tcBorders>
              <w:top w:val="nil"/>
              <w:left w:val="nil"/>
              <w:bottom w:val="single" w:sz="4" w:space="0" w:color="FFFFFF"/>
              <w:right w:val="single" w:sz="4" w:space="0" w:color="FFFFFF"/>
            </w:tcBorders>
            <w:shd w:val="clear" w:color="000000" w:fill="49723B"/>
            <w:noWrap/>
            <w:vAlign w:val="bottom"/>
            <w:hideMark/>
          </w:tcPr>
          <w:p w14:paraId="41D4BCB0"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 total</w:t>
            </w:r>
          </w:p>
        </w:tc>
        <w:tc>
          <w:tcPr>
            <w:tcW w:w="0" w:type="auto"/>
            <w:tcBorders>
              <w:top w:val="nil"/>
              <w:left w:val="nil"/>
              <w:bottom w:val="single" w:sz="4" w:space="0" w:color="FFFFFF"/>
              <w:right w:val="single" w:sz="4" w:space="0" w:color="FFFFFF"/>
            </w:tcBorders>
            <w:shd w:val="clear" w:color="000000" w:fill="49723B"/>
            <w:noWrap/>
            <w:vAlign w:val="bottom"/>
            <w:hideMark/>
          </w:tcPr>
          <w:p w14:paraId="19577359"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Number universities</w:t>
            </w:r>
          </w:p>
        </w:tc>
        <w:tc>
          <w:tcPr>
            <w:tcW w:w="0" w:type="auto"/>
            <w:tcBorders>
              <w:top w:val="nil"/>
              <w:left w:val="nil"/>
              <w:bottom w:val="single" w:sz="4" w:space="0" w:color="FFFFFF"/>
              <w:right w:val="single" w:sz="4" w:space="0" w:color="FFFFFF"/>
            </w:tcBorders>
            <w:shd w:val="clear" w:color="000000" w:fill="49723B"/>
            <w:noWrap/>
            <w:vAlign w:val="bottom"/>
            <w:hideMark/>
          </w:tcPr>
          <w:p w14:paraId="4AF0D4C7"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 total</w:t>
            </w:r>
          </w:p>
        </w:tc>
      </w:tr>
      <w:tr w:rsidR="00E2562E" w:rsidRPr="00C809A3" w14:paraId="52EEC6FD" w14:textId="77777777" w:rsidTr="00885AD8">
        <w:trPr>
          <w:trHeight w:val="286"/>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21163E9C"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Predominant</w:t>
            </w:r>
          </w:p>
        </w:tc>
        <w:tc>
          <w:tcPr>
            <w:tcW w:w="0" w:type="auto"/>
            <w:tcBorders>
              <w:top w:val="nil"/>
              <w:left w:val="nil"/>
              <w:bottom w:val="single" w:sz="4" w:space="0" w:color="FFFFFF"/>
              <w:right w:val="single" w:sz="4" w:space="0" w:color="FFFFFF"/>
            </w:tcBorders>
            <w:shd w:val="clear" w:color="000000" w:fill="EFEAE6"/>
            <w:noWrap/>
            <w:vAlign w:val="bottom"/>
            <w:hideMark/>
          </w:tcPr>
          <w:p w14:paraId="6D6CA263"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37</w:t>
            </w:r>
          </w:p>
        </w:tc>
        <w:tc>
          <w:tcPr>
            <w:tcW w:w="0" w:type="auto"/>
            <w:tcBorders>
              <w:top w:val="nil"/>
              <w:left w:val="nil"/>
              <w:bottom w:val="single" w:sz="4" w:space="0" w:color="FFFFFF"/>
              <w:right w:val="single" w:sz="4" w:space="0" w:color="FFFFFF"/>
            </w:tcBorders>
            <w:shd w:val="clear" w:color="000000" w:fill="EFEAE6"/>
            <w:noWrap/>
            <w:vAlign w:val="bottom"/>
            <w:hideMark/>
          </w:tcPr>
          <w:p w14:paraId="7B9EA73F"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34</w:t>
            </w:r>
          </w:p>
        </w:tc>
        <w:tc>
          <w:tcPr>
            <w:tcW w:w="0" w:type="auto"/>
            <w:tcBorders>
              <w:top w:val="nil"/>
              <w:left w:val="nil"/>
              <w:bottom w:val="single" w:sz="4" w:space="0" w:color="FFFFFF"/>
              <w:right w:val="single" w:sz="4" w:space="0" w:color="FFFFFF"/>
            </w:tcBorders>
            <w:shd w:val="clear" w:color="000000" w:fill="EFEAE6"/>
            <w:noWrap/>
            <w:vAlign w:val="bottom"/>
            <w:hideMark/>
          </w:tcPr>
          <w:p w14:paraId="108322B0"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11</w:t>
            </w:r>
          </w:p>
        </w:tc>
        <w:tc>
          <w:tcPr>
            <w:tcW w:w="0" w:type="auto"/>
            <w:gridSpan w:val="2"/>
            <w:tcBorders>
              <w:top w:val="nil"/>
              <w:left w:val="nil"/>
              <w:bottom w:val="single" w:sz="4" w:space="0" w:color="FFFFFF"/>
              <w:right w:val="single" w:sz="4" w:space="0" w:color="FFFFFF"/>
            </w:tcBorders>
            <w:shd w:val="clear" w:color="000000" w:fill="EFEAE6"/>
            <w:noWrap/>
            <w:vAlign w:val="bottom"/>
            <w:hideMark/>
          </w:tcPr>
          <w:p w14:paraId="11D664BA"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10</w:t>
            </w:r>
          </w:p>
        </w:tc>
        <w:tc>
          <w:tcPr>
            <w:tcW w:w="0" w:type="auto"/>
            <w:tcBorders>
              <w:top w:val="nil"/>
              <w:left w:val="nil"/>
              <w:bottom w:val="single" w:sz="4" w:space="0" w:color="FFFFFF"/>
              <w:right w:val="single" w:sz="4" w:space="0" w:color="FFFFFF"/>
            </w:tcBorders>
            <w:shd w:val="clear" w:color="000000" w:fill="EFEAE6"/>
            <w:noWrap/>
            <w:vAlign w:val="bottom"/>
            <w:hideMark/>
          </w:tcPr>
          <w:p w14:paraId="68E2DC2E"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22</w:t>
            </w:r>
          </w:p>
        </w:tc>
        <w:tc>
          <w:tcPr>
            <w:tcW w:w="0" w:type="auto"/>
            <w:gridSpan w:val="2"/>
            <w:tcBorders>
              <w:top w:val="nil"/>
              <w:left w:val="nil"/>
              <w:bottom w:val="single" w:sz="4" w:space="0" w:color="FFFFFF"/>
              <w:right w:val="single" w:sz="4" w:space="0" w:color="FFFFFF"/>
            </w:tcBorders>
            <w:shd w:val="clear" w:color="000000" w:fill="EFEAE6"/>
            <w:noWrap/>
            <w:vAlign w:val="bottom"/>
            <w:hideMark/>
          </w:tcPr>
          <w:p w14:paraId="6225BBC8"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20</w:t>
            </w:r>
          </w:p>
        </w:tc>
        <w:tc>
          <w:tcPr>
            <w:tcW w:w="0" w:type="auto"/>
            <w:tcBorders>
              <w:top w:val="nil"/>
              <w:left w:val="nil"/>
              <w:bottom w:val="single" w:sz="4" w:space="0" w:color="FFFFFF"/>
              <w:right w:val="single" w:sz="4" w:space="0" w:color="FFFFFF"/>
            </w:tcBorders>
            <w:shd w:val="clear" w:color="000000" w:fill="EFEAE6"/>
            <w:noWrap/>
            <w:vAlign w:val="bottom"/>
            <w:hideMark/>
          </w:tcPr>
          <w:p w14:paraId="5CA1D726"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4</w:t>
            </w:r>
          </w:p>
        </w:tc>
        <w:tc>
          <w:tcPr>
            <w:tcW w:w="0" w:type="auto"/>
            <w:tcBorders>
              <w:top w:val="nil"/>
              <w:left w:val="nil"/>
              <w:bottom w:val="single" w:sz="4" w:space="0" w:color="FFFFFF"/>
              <w:right w:val="single" w:sz="4" w:space="0" w:color="FFFFFF"/>
            </w:tcBorders>
            <w:shd w:val="clear" w:color="000000" w:fill="EFEAE6"/>
            <w:noWrap/>
            <w:vAlign w:val="bottom"/>
            <w:hideMark/>
          </w:tcPr>
          <w:p w14:paraId="47C7B16F"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4</w:t>
            </w:r>
          </w:p>
        </w:tc>
      </w:tr>
      <w:tr w:rsidR="00E2562E" w:rsidRPr="00C809A3" w14:paraId="0FA595E3" w14:textId="77777777" w:rsidTr="00885AD8">
        <w:trPr>
          <w:trHeight w:val="286"/>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2D54C5AE"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Some</w:t>
            </w:r>
          </w:p>
        </w:tc>
        <w:tc>
          <w:tcPr>
            <w:tcW w:w="0" w:type="auto"/>
            <w:tcBorders>
              <w:top w:val="nil"/>
              <w:left w:val="nil"/>
              <w:bottom w:val="single" w:sz="4" w:space="0" w:color="FFFFFF"/>
              <w:right w:val="single" w:sz="4" w:space="0" w:color="FFFFFF"/>
            </w:tcBorders>
            <w:shd w:val="clear" w:color="000000" w:fill="EFEAE6"/>
            <w:noWrap/>
            <w:vAlign w:val="bottom"/>
            <w:hideMark/>
          </w:tcPr>
          <w:p w14:paraId="28308206"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23</w:t>
            </w:r>
          </w:p>
        </w:tc>
        <w:tc>
          <w:tcPr>
            <w:tcW w:w="0" w:type="auto"/>
            <w:tcBorders>
              <w:top w:val="nil"/>
              <w:left w:val="nil"/>
              <w:bottom w:val="single" w:sz="4" w:space="0" w:color="FFFFFF"/>
              <w:right w:val="single" w:sz="4" w:space="0" w:color="FFFFFF"/>
            </w:tcBorders>
            <w:shd w:val="clear" w:color="000000" w:fill="EFEAE6"/>
            <w:noWrap/>
            <w:vAlign w:val="bottom"/>
            <w:hideMark/>
          </w:tcPr>
          <w:p w14:paraId="67F8E38A"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21</w:t>
            </w:r>
          </w:p>
        </w:tc>
        <w:tc>
          <w:tcPr>
            <w:tcW w:w="0" w:type="auto"/>
            <w:tcBorders>
              <w:top w:val="nil"/>
              <w:left w:val="nil"/>
              <w:bottom w:val="single" w:sz="4" w:space="0" w:color="FFFFFF"/>
              <w:right w:val="single" w:sz="4" w:space="0" w:color="FFFFFF"/>
            </w:tcBorders>
            <w:shd w:val="clear" w:color="000000" w:fill="EFEAE6"/>
            <w:noWrap/>
            <w:vAlign w:val="bottom"/>
            <w:hideMark/>
          </w:tcPr>
          <w:p w14:paraId="523E0A49"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5</w:t>
            </w:r>
          </w:p>
        </w:tc>
        <w:tc>
          <w:tcPr>
            <w:tcW w:w="0" w:type="auto"/>
            <w:gridSpan w:val="2"/>
            <w:tcBorders>
              <w:top w:val="nil"/>
              <w:left w:val="nil"/>
              <w:bottom w:val="single" w:sz="4" w:space="0" w:color="FFFFFF"/>
              <w:right w:val="single" w:sz="4" w:space="0" w:color="FFFFFF"/>
            </w:tcBorders>
            <w:shd w:val="clear" w:color="000000" w:fill="EFEAE6"/>
            <w:noWrap/>
            <w:vAlign w:val="bottom"/>
            <w:hideMark/>
          </w:tcPr>
          <w:p w14:paraId="311D749A"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5</w:t>
            </w:r>
          </w:p>
        </w:tc>
        <w:tc>
          <w:tcPr>
            <w:tcW w:w="0" w:type="auto"/>
            <w:tcBorders>
              <w:top w:val="nil"/>
              <w:left w:val="nil"/>
              <w:bottom w:val="single" w:sz="4" w:space="0" w:color="FFFFFF"/>
              <w:right w:val="single" w:sz="4" w:space="0" w:color="FFFFFF"/>
            </w:tcBorders>
            <w:shd w:val="clear" w:color="000000" w:fill="EFEAE6"/>
            <w:noWrap/>
            <w:vAlign w:val="bottom"/>
            <w:hideMark/>
          </w:tcPr>
          <w:p w14:paraId="520F08DE"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44</w:t>
            </w:r>
          </w:p>
        </w:tc>
        <w:tc>
          <w:tcPr>
            <w:tcW w:w="0" w:type="auto"/>
            <w:gridSpan w:val="2"/>
            <w:tcBorders>
              <w:top w:val="nil"/>
              <w:left w:val="nil"/>
              <w:bottom w:val="single" w:sz="4" w:space="0" w:color="FFFFFF"/>
              <w:right w:val="single" w:sz="4" w:space="0" w:color="FFFFFF"/>
            </w:tcBorders>
            <w:shd w:val="clear" w:color="000000" w:fill="EFEAE6"/>
            <w:noWrap/>
            <w:vAlign w:val="bottom"/>
            <w:hideMark/>
          </w:tcPr>
          <w:p w14:paraId="25D40D15"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40</w:t>
            </w:r>
          </w:p>
        </w:tc>
        <w:tc>
          <w:tcPr>
            <w:tcW w:w="0" w:type="auto"/>
            <w:tcBorders>
              <w:top w:val="nil"/>
              <w:left w:val="nil"/>
              <w:bottom w:val="single" w:sz="4" w:space="0" w:color="FFFFFF"/>
              <w:right w:val="single" w:sz="4" w:space="0" w:color="FFFFFF"/>
            </w:tcBorders>
            <w:shd w:val="clear" w:color="000000" w:fill="EFEAE6"/>
            <w:noWrap/>
            <w:vAlign w:val="bottom"/>
            <w:hideMark/>
          </w:tcPr>
          <w:p w14:paraId="5306AFB3"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12</w:t>
            </w:r>
          </w:p>
        </w:tc>
        <w:tc>
          <w:tcPr>
            <w:tcW w:w="0" w:type="auto"/>
            <w:tcBorders>
              <w:top w:val="nil"/>
              <w:left w:val="nil"/>
              <w:bottom w:val="single" w:sz="4" w:space="0" w:color="FFFFFF"/>
              <w:right w:val="single" w:sz="4" w:space="0" w:color="FFFFFF"/>
            </w:tcBorders>
            <w:shd w:val="clear" w:color="000000" w:fill="EFEAE6"/>
            <w:noWrap/>
            <w:vAlign w:val="bottom"/>
            <w:hideMark/>
          </w:tcPr>
          <w:p w14:paraId="428F5466"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9</w:t>
            </w:r>
          </w:p>
        </w:tc>
      </w:tr>
      <w:tr w:rsidR="00E2562E" w:rsidRPr="00C809A3" w14:paraId="141108BD" w14:textId="77777777" w:rsidTr="00885AD8">
        <w:trPr>
          <w:trHeight w:val="286"/>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5E73EE38" w14:textId="77777777" w:rsidR="00C809A3" w:rsidRPr="00C809A3" w:rsidRDefault="00C809A3" w:rsidP="00C809A3">
            <w:pPr>
              <w:spacing w:after="0" w:line="240" w:lineRule="auto"/>
              <w:jc w:val="center"/>
              <w:rPr>
                <w:rFonts w:ascii="Calibri" w:eastAsia="Times New Roman" w:hAnsi="Calibri" w:cs="Calibri"/>
                <w:b/>
                <w:bCs/>
                <w:color w:val="FFFFFF"/>
                <w:lang w:eastAsia="en-GB"/>
              </w:rPr>
            </w:pPr>
            <w:r w:rsidRPr="00C809A3">
              <w:rPr>
                <w:rFonts w:ascii="Calibri" w:eastAsia="Times New Roman" w:hAnsi="Calibri" w:cs="Calibri"/>
                <w:b/>
                <w:bCs/>
                <w:color w:val="FFFFFF"/>
                <w:lang w:eastAsia="en-GB"/>
              </w:rPr>
              <w:t>None</w:t>
            </w:r>
          </w:p>
        </w:tc>
        <w:tc>
          <w:tcPr>
            <w:tcW w:w="0" w:type="auto"/>
            <w:tcBorders>
              <w:top w:val="nil"/>
              <w:left w:val="nil"/>
              <w:bottom w:val="single" w:sz="4" w:space="0" w:color="FFFFFF"/>
              <w:right w:val="single" w:sz="4" w:space="0" w:color="FFFFFF"/>
            </w:tcBorders>
            <w:shd w:val="clear" w:color="000000" w:fill="EFEAE6"/>
            <w:noWrap/>
            <w:vAlign w:val="bottom"/>
            <w:hideMark/>
          </w:tcPr>
          <w:p w14:paraId="2086C27F"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50</w:t>
            </w:r>
          </w:p>
        </w:tc>
        <w:tc>
          <w:tcPr>
            <w:tcW w:w="0" w:type="auto"/>
            <w:tcBorders>
              <w:top w:val="nil"/>
              <w:left w:val="nil"/>
              <w:bottom w:val="single" w:sz="4" w:space="0" w:color="FFFFFF"/>
              <w:right w:val="single" w:sz="4" w:space="0" w:color="FFFFFF"/>
            </w:tcBorders>
            <w:shd w:val="clear" w:color="000000" w:fill="EFEAE6"/>
            <w:noWrap/>
            <w:vAlign w:val="bottom"/>
            <w:hideMark/>
          </w:tcPr>
          <w:p w14:paraId="6CE0480B"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45</w:t>
            </w:r>
          </w:p>
        </w:tc>
        <w:tc>
          <w:tcPr>
            <w:tcW w:w="0" w:type="auto"/>
            <w:tcBorders>
              <w:top w:val="nil"/>
              <w:left w:val="nil"/>
              <w:bottom w:val="single" w:sz="4" w:space="0" w:color="FFFFFF"/>
              <w:right w:val="single" w:sz="4" w:space="0" w:color="FFFFFF"/>
            </w:tcBorders>
            <w:shd w:val="clear" w:color="000000" w:fill="EFEAE6"/>
            <w:noWrap/>
            <w:vAlign w:val="bottom"/>
            <w:hideMark/>
          </w:tcPr>
          <w:p w14:paraId="7338B9E4"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94</w:t>
            </w:r>
          </w:p>
        </w:tc>
        <w:tc>
          <w:tcPr>
            <w:tcW w:w="0" w:type="auto"/>
            <w:gridSpan w:val="2"/>
            <w:tcBorders>
              <w:top w:val="nil"/>
              <w:left w:val="nil"/>
              <w:bottom w:val="single" w:sz="4" w:space="0" w:color="FFFFFF"/>
              <w:right w:val="single" w:sz="4" w:space="0" w:color="FFFFFF"/>
            </w:tcBorders>
            <w:shd w:val="clear" w:color="000000" w:fill="EFEAE6"/>
            <w:noWrap/>
            <w:vAlign w:val="bottom"/>
            <w:hideMark/>
          </w:tcPr>
          <w:p w14:paraId="62404F3F"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85</w:t>
            </w:r>
          </w:p>
        </w:tc>
        <w:tc>
          <w:tcPr>
            <w:tcW w:w="0" w:type="auto"/>
            <w:tcBorders>
              <w:top w:val="nil"/>
              <w:left w:val="nil"/>
              <w:bottom w:val="single" w:sz="4" w:space="0" w:color="FFFFFF"/>
              <w:right w:val="single" w:sz="4" w:space="0" w:color="FFFFFF"/>
            </w:tcBorders>
            <w:shd w:val="clear" w:color="000000" w:fill="EFEAE6"/>
            <w:noWrap/>
            <w:vAlign w:val="bottom"/>
            <w:hideMark/>
          </w:tcPr>
          <w:p w14:paraId="582D019F"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44</w:t>
            </w:r>
          </w:p>
        </w:tc>
        <w:tc>
          <w:tcPr>
            <w:tcW w:w="0" w:type="auto"/>
            <w:gridSpan w:val="2"/>
            <w:tcBorders>
              <w:top w:val="nil"/>
              <w:left w:val="nil"/>
              <w:bottom w:val="single" w:sz="4" w:space="0" w:color="FFFFFF"/>
              <w:right w:val="single" w:sz="4" w:space="0" w:color="FFFFFF"/>
            </w:tcBorders>
            <w:shd w:val="clear" w:color="000000" w:fill="EFEAE6"/>
            <w:noWrap/>
            <w:vAlign w:val="bottom"/>
            <w:hideMark/>
          </w:tcPr>
          <w:p w14:paraId="51A41384"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40</w:t>
            </w:r>
          </w:p>
        </w:tc>
        <w:tc>
          <w:tcPr>
            <w:tcW w:w="0" w:type="auto"/>
            <w:tcBorders>
              <w:top w:val="nil"/>
              <w:left w:val="nil"/>
              <w:bottom w:val="single" w:sz="4" w:space="0" w:color="FFFFFF"/>
              <w:right w:val="single" w:sz="4" w:space="0" w:color="FFFFFF"/>
            </w:tcBorders>
            <w:shd w:val="clear" w:color="000000" w:fill="EFEAE6"/>
            <w:noWrap/>
            <w:vAlign w:val="bottom"/>
            <w:hideMark/>
          </w:tcPr>
          <w:p w14:paraId="1E8D983B"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95</w:t>
            </w:r>
          </w:p>
        </w:tc>
        <w:tc>
          <w:tcPr>
            <w:tcW w:w="0" w:type="auto"/>
            <w:tcBorders>
              <w:top w:val="nil"/>
              <w:left w:val="nil"/>
              <w:bottom w:val="single" w:sz="4" w:space="0" w:color="FFFFFF"/>
              <w:right w:val="single" w:sz="4" w:space="0" w:color="FFFFFF"/>
            </w:tcBorders>
            <w:shd w:val="clear" w:color="000000" w:fill="EFEAE6"/>
            <w:noWrap/>
            <w:vAlign w:val="bottom"/>
            <w:hideMark/>
          </w:tcPr>
          <w:p w14:paraId="3915CAC7" w14:textId="77777777" w:rsidR="00C809A3" w:rsidRPr="00C809A3" w:rsidRDefault="00C809A3" w:rsidP="00C809A3">
            <w:pPr>
              <w:spacing w:after="0" w:line="240" w:lineRule="auto"/>
              <w:jc w:val="center"/>
              <w:rPr>
                <w:rFonts w:ascii="Calibri" w:eastAsia="Times New Roman" w:hAnsi="Calibri" w:cs="Calibri"/>
                <w:color w:val="000000"/>
                <w:lang w:eastAsia="en-GB"/>
              </w:rPr>
            </w:pPr>
            <w:r w:rsidRPr="00C809A3">
              <w:rPr>
                <w:rFonts w:ascii="Calibri" w:eastAsia="Times New Roman" w:hAnsi="Calibri" w:cs="Calibri"/>
                <w:color w:val="000000"/>
                <w:lang w:eastAsia="en-GB"/>
              </w:rPr>
              <w:t>86</w:t>
            </w:r>
          </w:p>
        </w:tc>
      </w:tr>
      <w:tr w:rsidR="00C809A3" w:rsidRPr="00C809A3" w14:paraId="46269B1C" w14:textId="77777777" w:rsidTr="00885AD8">
        <w:trPr>
          <w:trHeight w:val="286"/>
        </w:trPr>
        <w:tc>
          <w:tcPr>
            <w:tcW w:w="0" w:type="auto"/>
            <w:gridSpan w:val="7"/>
            <w:tcBorders>
              <w:top w:val="nil"/>
              <w:left w:val="nil"/>
              <w:bottom w:val="nil"/>
              <w:right w:val="nil"/>
            </w:tcBorders>
            <w:shd w:val="clear" w:color="auto" w:fill="auto"/>
            <w:noWrap/>
            <w:vAlign w:val="bottom"/>
            <w:hideMark/>
          </w:tcPr>
          <w:p w14:paraId="6C890955" w14:textId="77777777" w:rsidR="00C809A3" w:rsidRPr="00C809A3" w:rsidRDefault="00C809A3" w:rsidP="00C809A3">
            <w:pPr>
              <w:spacing w:after="0" w:line="240" w:lineRule="auto"/>
              <w:rPr>
                <w:rFonts w:ascii="Calibri" w:eastAsia="Times New Roman" w:hAnsi="Calibri" w:cs="Calibri"/>
                <w:b/>
                <w:bCs/>
                <w:color w:val="5F735C"/>
                <w:lang w:eastAsia="en-GB"/>
              </w:rPr>
            </w:pPr>
            <w:r w:rsidRPr="00C809A3">
              <w:rPr>
                <w:rFonts w:ascii="Calibri" w:eastAsia="Times New Roman" w:hAnsi="Calibri" w:cs="Calibri"/>
                <w:b/>
                <w:bCs/>
                <w:color w:val="5F735C"/>
                <w:lang w:eastAsia="en-GB"/>
              </w:rPr>
              <w:t xml:space="preserve">Notes: Predominant </w:t>
            </w:r>
            <w:r w:rsidR="00EB73DF">
              <w:rPr>
                <w:rFonts w:ascii="Calibri" w:eastAsia="Times New Roman" w:hAnsi="Calibri" w:cs="Calibri"/>
                <w:b/>
                <w:bCs/>
                <w:color w:val="5F735C"/>
                <w:lang w:eastAsia="en-GB"/>
              </w:rPr>
              <w:t xml:space="preserve">involvement </w:t>
            </w:r>
            <w:r w:rsidRPr="00C809A3">
              <w:rPr>
                <w:rFonts w:ascii="Calibri" w:eastAsia="Times New Roman" w:hAnsi="Calibri" w:cs="Calibri"/>
                <w:b/>
                <w:bCs/>
                <w:color w:val="5F735C"/>
                <w:lang w:eastAsia="en-GB"/>
              </w:rPr>
              <w:t>is when more than 75% of a university's total offshore enrolments are accounted for this type of provision</w:t>
            </w:r>
          </w:p>
        </w:tc>
        <w:tc>
          <w:tcPr>
            <w:tcW w:w="0" w:type="auto"/>
            <w:gridSpan w:val="2"/>
            <w:tcBorders>
              <w:top w:val="nil"/>
              <w:left w:val="nil"/>
              <w:bottom w:val="nil"/>
              <w:right w:val="nil"/>
            </w:tcBorders>
            <w:shd w:val="clear" w:color="auto" w:fill="auto"/>
            <w:noWrap/>
            <w:vAlign w:val="bottom"/>
            <w:hideMark/>
          </w:tcPr>
          <w:p w14:paraId="6037F771" w14:textId="77777777" w:rsidR="00C809A3" w:rsidRPr="00C809A3" w:rsidRDefault="00C809A3" w:rsidP="00C809A3">
            <w:pPr>
              <w:spacing w:after="0" w:line="240" w:lineRule="auto"/>
              <w:rPr>
                <w:rFonts w:ascii="Calibri" w:eastAsia="Times New Roman" w:hAnsi="Calibri" w:cs="Calibri"/>
                <w:b/>
                <w:bCs/>
                <w:color w:val="5F735C"/>
                <w:lang w:eastAsia="en-GB"/>
              </w:rPr>
            </w:pPr>
          </w:p>
        </w:tc>
        <w:tc>
          <w:tcPr>
            <w:tcW w:w="0" w:type="auto"/>
            <w:tcBorders>
              <w:top w:val="nil"/>
              <w:left w:val="nil"/>
              <w:bottom w:val="nil"/>
              <w:right w:val="nil"/>
            </w:tcBorders>
            <w:shd w:val="clear" w:color="auto" w:fill="auto"/>
            <w:noWrap/>
            <w:vAlign w:val="bottom"/>
            <w:hideMark/>
          </w:tcPr>
          <w:p w14:paraId="5E1C83BD" w14:textId="77777777" w:rsidR="00C809A3" w:rsidRPr="00C809A3" w:rsidRDefault="00C809A3" w:rsidP="00C809A3">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vAlign w:val="bottom"/>
            <w:hideMark/>
          </w:tcPr>
          <w:p w14:paraId="06F6D3C3" w14:textId="77777777" w:rsidR="00C809A3" w:rsidRPr="00C809A3" w:rsidRDefault="00C809A3" w:rsidP="00C809A3">
            <w:pPr>
              <w:spacing w:after="0" w:line="240" w:lineRule="auto"/>
              <w:jc w:val="center"/>
              <w:rPr>
                <w:rFonts w:ascii="Times New Roman" w:eastAsia="Times New Roman" w:hAnsi="Times New Roman" w:cs="Times New Roman"/>
                <w:sz w:val="20"/>
                <w:szCs w:val="20"/>
                <w:lang w:eastAsia="en-GB"/>
              </w:rPr>
            </w:pPr>
          </w:p>
        </w:tc>
      </w:tr>
    </w:tbl>
    <w:p w14:paraId="52194EA6" w14:textId="77777777" w:rsidR="00C809A3" w:rsidRDefault="00C809A3" w:rsidP="00D43422">
      <w:pPr>
        <w:jc w:val="both"/>
        <w:rPr>
          <w:rFonts w:cstheme="minorHAnsi"/>
          <w:sz w:val="28"/>
          <w:szCs w:val="28"/>
        </w:rPr>
      </w:pPr>
    </w:p>
    <w:p w14:paraId="503E23EA" w14:textId="77777777" w:rsidR="001F62C5" w:rsidRDefault="001F62C5" w:rsidP="00D43422">
      <w:pPr>
        <w:jc w:val="both"/>
        <w:rPr>
          <w:rFonts w:cstheme="minorHAnsi"/>
          <w:sz w:val="28"/>
          <w:szCs w:val="28"/>
        </w:rPr>
      </w:pPr>
      <w:r>
        <w:rPr>
          <w:rFonts w:cstheme="minorHAnsi"/>
          <w:b/>
          <w:sz w:val="28"/>
          <w:szCs w:val="28"/>
        </w:rPr>
        <w:t xml:space="preserve">4.1.5 </w:t>
      </w:r>
      <w:r w:rsidR="00D62E7F" w:rsidRPr="00E41C69">
        <w:rPr>
          <w:rFonts w:cstheme="minorHAnsi"/>
          <w:b/>
          <w:sz w:val="28"/>
          <w:szCs w:val="28"/>
        </w:rPr>
        <w:t>F</w:t>
      </w:r>
      <w:r w:rsidR="005C07A9" w:rsidRPr="00E41C69">
        <w:rPr>
          <w:rFonts w:cstheme="minorHAnsi"/>
          <w:b/>
          <w:sz w:val="28"/>
          <w:szCs w:val="28"/>
        </w:rPr>
        <w:t>ranchise</w:t>
      </w:r>
      <w:r w:rsidR="009C005D">
        <w:rPr>
          <w:rFonts w:cstheme="minorHAnsi"/>
          <w:b/>
          <w:sz w:val="28"/>
          <w:szCs w:val="28"/>
        </w:rPr>
        <w:t>d</w:t>
      </w:r>
      <w:r w:rsidR="005C07A9" w:rsidRPr="00E41C69">
        <w:rPr>
          <w:rFonts w:cstheme="minorHAnsi"/>
          <w:b/>
          <w:sz w:val="28"/>
          <w:szCs w:val="28"/>
        </w:rPr>
        <w:t xml:space="preserve">, </w:t>
      </w:r>
      <w:r w:rsidR="0020487B" w:rsidRPr="00E41C69">
        <w:rPr>
          <w:rFonts w:cstheme="minorHAnsi"/>
          <w:b/>
          <w:sz w:val="28"/>
          <w:szCs w:val="28"/>
        </w:rPr>
        <w:t>validat</w:t>
      </w:r>
      <w:r w:rsidR="005C07A9" w:rsidRPr="00E41C69">
        <w:rPr>
          <w:rFonts w:cstheme="minorHAnsi"/>
          <w:b/>
          <w:sz w:val="28"/>
          <w:szCs w:val="28"/>
        </w:rPr>
        <w:t>ion and articulation (FVA) provision</w:t>
      </w:r>
    </w:p>
    <w:p w14:paraId="2FEB091A" w14:textId="7AF4AE22" w:rsidR="00275964" w:rsidRPr="00E41C69" w:rsidRDefault="003A4008" w:rsidP="00D43422">
      <w:pPr>
        <w:jc w:val="both"/>
        <w:rPr>
          <w:rFonts w:cstheme="minorHAnsi"/>
          <w:sz w:val="28"/>
          <w:szCs w:val="28"/>
        </w:rPr>
      </w:pPr>
      <w:r w:rsidRPr="00E41C69">
        <w:rPr>
          <w:rFonts w:cstheme="minorHAnsi"/>
          <w:sz w:val="28"/>
          <w:szCs w:val="28"/>
        </w:rPr>
        <w:t>Offshore f</w:t>
      </w:r>
      <w:r w:rsidR="00D62E7F" w:rsidRPr="00E41C69">
        <w:rPr>
          <w:rFonts w:cstheme="minorHAnsi"/>
          <w:sz w:val="28"/>
          <w:szCs w:val="28"/>
        </w:rPr>
        <w:t>ranchise</w:t>
      </w:r>
      <w:r w:rsidRPr="00E41C69">
        <w:rPr>
          <w:rFonts w:cstheme="minorHAnsi"/>
          <w:sz w:val="28"/>
          <w:szCs w:val="28"/>
        </w:rPr>
        <w:t xml:space="preserve">d course provision </w:t>
      </w:r>
      <w:r w:rsidR="00D62E7F" w:rsidRPr="00E41C69">
        <w:rPr>
          <w:rFonts w:cstheme="minorHAnsi"/>
          <w:sz w:val="28"/>
          <w:szCs w:val="28"/>
        </w:rPr>
        <w:t>(inclu</w:t>
      </w:r>
      <w:r w:rsidRPr="00E41C69">
        <w:rPr>
          <w:rFonts w:cstheme="minorHAnsi"/>
          <w:sz w:val="28"/>
          <w:szCs w:val="28"/>
        </w:rPr>
        <w:t>ding collaborative courses) has</w:t>
      </w:r>
      <w:r w:rsidR="00D62E7F" w:rsidRPr="00E41C69">
        <w:rPr>
          <w:rFonts w:cstheme="minorHAnsi"/>
          <w:sz w:val="28"/>
          <w:szCs w:val="28"/>
        </w:rPr>
        <w:t xml:space="preserve"> increased appreciably </w:t>
      </w:r>
      <w:r w:rsidRPr="00E41C69">
        <w:rPr>
          <w:rFonts w:cstheme="minorHAnsi"/>
          <w:sz w:val="28"/>
          <w:szCs w:val="28"/>
        </w:rPr>
        <w:t xml:space="preserve">and </w:t>
      </w:r>
      <w:r w:rsidR="00D62E7F" w:rsidRPr="00E41C69">
        <w:rPr>
          <w:rFonts w:cstheme="minorHAnsi"/>
          <w:sz w:val="28"/>
          <w:szCs w:val="28"/>
        </w:rPr>
        <w:t xml:space="preserve">at a steady rate from 60,000 in 2007/08 to 146,000 </w:t>
      </w:r>
      <w:r w:rsidRPr="00E41C69">
        <w:rPr>
          <w:rFonts w:cstheme="minorHAnsi"/>
          <w:sz w:val="28"/>
          <w:szCs w:val="28"/>
        </w:rPr>
        <w:lastRenderedPageBreak/>
        <w:t xml:space="preserve">students </w:t>
      </w:r>
      <w:r w:rsidR="00D62E7F" w:rsidRPr="00E41C69">
        <w:rPr>
          <w:rFonts w:cstheme="minorHAnsi"/>
          <w:sz w:val="28"/>
          <w:szCs w:val="28"/>
        </w:rPr>
        <w:t>in 2016/17. Up to 2011/12, validated course enrolments grew even more rapidly but have barely i</w:t>
      </w:r>
      <w:r w:rsidR="00940EAF" w:rsidRPr="00E41C69">
        <w:rPr>
          <w:rFonts w:cstheme="minorHAnsi"/>
          <w:sz w:val="28"/>
          <w:szCs w:val="28"/>
        </w:rPr>
        <w:t xml:space="preserve">ncreased since then. </w:t>
      </w:r>
      <w:r w:rsidR="00077276" w:rsidRPr="00E41C69">
        <w:rPr>
          <w:rFonts w:cstheme="minorHAnsi"/>
          <w:sz w:val="28"/>
          <w:szCs w:val="28"/>
        </w:rPr>
        <w:t xml:space="preserve">Franchised provision was the predominant form of </w:t>
      </w:r>
      <w:r w:rsidR="00494069" w:rsidRPr="00E41C69">
        <w:rPr>
          <w:rFonts w:cstheme="minorHAnsi"/>
          <w:sz w:val="28"/>
          <w:szCs w:val="28"/>
        </w:rPr>
        <w:t xml:space="preserve">offshore </w:t>
      </w:r>
      <w:r w:rsidR="00077276" w:rsidRPr="00E41C69">
        <w:rPr>
          <w:rFonts w:cstheme="minorHAnsi"/>
          <w:sz w:val="28"/>
          <w:szCs w:val="28"/>
        </w:rPr>
        <w:t xml:space="preserve">involvement for around one-third of UK universities </w:t>
      </w:r>
      <w:r w:rsidR="004258C4" w:rsidRPr="00E41C69">
        <w:rPr>
          <w:rFonts w:cstheme="minorHAnsi"/>
          <w:sz w:val="28"/>
          <w:szCs w:val="28"/>
        </w:rPr>
        <w:t xml:space="preserve">in 2015/16 </w:t>
      </w:r>
      <w:r w:rsidR="00077276" w:rsidRPr="00E41C69">
        <w:rPr>
          <w:rFonts w:cstheme="minorHAnsi"/>
          <w:sz w:val="28"/>
          <w:szCs w:val="28"/>
        </w:rPr>
        <w:t xml:space="preserve">compared to only 10% for validated course provision. </w:t>
      </w:r>
      <w:r w:rsidR="004258C4" w:rsidRPr="00E41C69">
        <w:rPr>
          <w:rFonts w:cstheme="minorHAnsi"/>
          <w:sz w:val="28"/>
          <w:szCs w:val="28"/>
        </w:rPr>
        <w:t>In 2015/16, 85% of UK universities had no involvement whatsoever with validated course provision</w:t>
      </w:r>
      <w:r w:rsidR="009C005D">
        <w:rPr>
          <w:rFonts w:cstheme="minorHAnsi"/>
          <w:sz w:val="28"/>
          <w:szCs w:val="28"/>
        </w:rPr>
        <w:t xml:space="preserve">. </w:t>
      </w:r>
      <w:r w:rsidR="00940EAF" w:rsidRPr="00E41C69">
        <w:rPr>
          <w:rFonts w:cstheme="minorHAnsi"/>
          <w:sz w:val="28"/>
          <w:szCs w:val="28"/>
        </w:rPr>
        <w:t xml:space="preserve"> </w:t>
      </w:r>
    </w:p>
    <w:p w14:paraId="66C8F945" w14:textId="77777777" w:rsidR="00393164" w:rsidRPr="00E41C69" w:rsidRDefault="00940EAF" w:rsidP="00D43422">
      <w:pPr>
        <w:jc w:val="both"/>
        <w:rPr>
          <w:rFonts w:cstheme="minorHAnsi"/>
          <w:sz w:val="28"/>
          <w:szCs w:val="28"/>
        </w:rPr>
      </w:pPr>
      <w:r w:rsidRPr="00E41C69">
        <w:rPr>
          <w:rFonts w:cstheme="minorHAnsi"/>
          <w:sz w:val="28"/>
          <w:szCs w:val="28"/>
        </w:rPr>
        <w:t xml:space="preserve">The </w:t>
      </w:r>
      <w:r w:rsidR="00B32D4C" w:rsidRPr="00E41C69">
        <w:rPr>
          <w:rFonts w:cstheme="minorHAnsi"/>
          <w:sz w:val="28"/>
          <w:szCs w:val="28"/>
        </w:rPr>
        <w:t xml:space="preserve">two </w:t>
      </w:r>
      <w:r w:rsidRPr="00E41C69">
        <w:rPr>
          <w:rFonts w:cstheme="minorHAnsi"/>
          <w:sz w:val="28"/>
          <w:szCs w:val="28"/>
        </w:rPr>
        <w:t>reasons for what appears to be a sizeable swit</w:t>
      </w:r>
      <w:r w:rsidR="00B32D4C" w:rsidRPr="00E41C69">
        <w:rPr>
          <w:rFonts w:cstheme="minorHAnsi"/>
          <w:sz w:val="28"/>
          <w:szCs w:val="28"/>
        </w:rPr>
        <w:t>ch from validated to franchised and ‘</w:t>
      </w:r>
      <w:r w:rsidRPr="00E41C69">
        <w:rPr>
          <w:rFonts w:cstheme="minorHAnsi"/>
          <w:sz w:val="28"/>
          <w:szCs w:val="28"/>
        </w:rPr>
        <w:t xml:space="preserve">collaborative </w:t>
      </w:r>
      <w:r w:rsidR="00B32D4C" w:rsidRPr="00E41C69">
        <w:rPr>
          <w:rFonts w:cstheme="minorHAnsi"/>
          <w:sz w:val="28"/>
          <w:szCs w:val="28"/>
        </w:rPr>
        <w:t xml:space="preserve">partner’ </w:t>
      </w:r>
      <w:r w:rsidRPr="00E41C69">
        <w:rPr>
          <w:rFonts w:cstheme="minorHAnsi"/>
          <w:sz w:val="28"/>
          <w:szCs w:val="28"/>
        </w:rPr>
        <w:t xml:space="preserve">course provision </w:t>
      </w:r>
      <w:r w:rsidR="00B32D4C" w:rsidRPr="00E41C69">
        <w:rPr>
          <w:rFonts w:cstheme="minorHAnsi"/>
          <w:sz w:val="28"/>
          <w:szCs w:val="28"/>
        </w:rPr>
        <w:t>are greater control over course delivery</w:t>
      </w:r>
      <w:r w:rsidR="00275964" w:rsidRPr="00E41C69">
        <w:rPr>
          <w:rFonts w:cstheme="minorHAnsi"/>
          <w:sz w:val="28"/>
          <w:szCs w:val="28"/>
        </w:rPr>
        <w:t xml:space="preserve"> with the often high reputational risks associated with (arms-length) validated courses</w:t>
      </w:r>
      <w:r w:rsidR="00B32D4C" w:rsidRPr="00E41C69">
        <w:rPr>
          <w:rFonts w:cstheme="minorHAnsi"/>
          <w:sz w:val="28"/>
          <w:szCs w:val="28"/>
        </w:rPr>
        <w:t>, higher university profile/branding opportunities and higher financial returns, especially for collabora</w:t>
      </w:r>
      <w:r w:rsidR="009C005D">
        <w:rPr>
          <w:rFonts w:cstheme="minorHAnsi"/>
          <w:sz w:val="28"/>
          <w:szCs w:val="28"/>
        </w:rPr>
        <w:t>tive partnerships (see section</w:t>
      </w:r>
      <w:r w:rsidR="00E835B4">
        <w:rPr>
          <w:rFonts w:cstheme="minorHAnsi"/>
          <w:sz w:val="28"/>
          <w:szCs w:val="28"/>
        </w:rPr>
        <w:t>s</w:t>
      </w:r>
      <w:r w:rsidR="009C005D">
        <w:rPr>
          <w:rFonts w:cstheme="minorHAnsi"/>
          <w:sz w:val="28"/>
          <w:szCs w:val="28"/>
        </w:rPr>
        <w:t xml:space="preserve"> </w:t>
      </w:r>
      <w:r w:rsidR="00E835B4">
        <w:rPr>
          <w:rFonts w:cstheme="minorHAnsi"/>
          <w:sz w:val="28"/>
          <w:szCs w:val="28"/>
        </w:rPr>
        <w:t xml:space="preserve">7 and </w:t>
      </w:r>
      <w:r w:rsidR="009C005D">
        <w:rPr>
          <w:rFonts w:cstheme="minorHAnsi"/>
          <w:sz w:val="28"/>
          <w:szCs w:val="28"/>
        </w:rPr>
        <w:t>8</w:t>
      </w:r>
      <w:r w:rsidR="00B32D4C" w:rsidRPr="00E41C69">
        <w:rPr>
          <w:rFonts w:cstheme="minorHAnsi"/>
          <w:sz w:val="28"/>
          <w:szCs w:val="28"/>
        </w:rPr>
        <w:t>).</w:t>
      </w:r>
      <w:r w:rsidR="00275964" w:rsidRPr="00E41C69">
        <w:rPr>
          <w:rFonts w:cstheme="minorHAnsi"/>
          <w:sz w:val="28"/>
          <w:szCs w:val="28"/>
        </w:rPr>
        <w:t xml:space="preserve"> </w:t>
      </w:r>
    </w:p>
    <w:p w14:paraId="470FA934" w14:textId="008D118A" w:rsidR="008E344A" w:rsidRDefault="00275964" w:rsidP="00D43422">
      <w:pPr>
        <w:jc w:val="both"/>
        <w:rPr>
          <w:rFonts w:cstheme="minorHAnsi"/>
          <w:sz w:val="28"/>
          <w:szCs w:val="28"/>
        </w:rPr>
      </w:pPr>
      <w:r w:rsidRPr="00E41C69">
        <w:rPr>
          <w:rFonts w:cstheme="minorHAnsi"/>
          <w:sz w:val="28"/>
          <w:szCs w:val="28"/>
        </w:rPr>
        <w:t xml:space="preserve">HESA does not collect information on collaborative and joint venture course provision but </w:t>
      </w:r>
      <w:r w:rsidR="00393164" w:rsidRPr="00E41C69">
        <w:rPr>
          <w:rFonts w:cstheme="minorHAnsi"/>
          <w:sz w:val="28"/>
          <w:szCs w:val="28"/>
        </w:rPr>
        <w:t xml:space="preserve">it </w:t>
      </w:r>
      <w:r w:rsidRPr="00E41C69">
        <w:rPr>
          <w:rFonts w:cstheme="minorHAnsi"/>
          <w:sz w:val="28"/>
          <w:szCs w:val="28"/>
        </w:rPr>
        <w:t>appear</w:t>
      </w:r>
      <w:r w:rsidR="00393164" w:rsidRPr="00E41C69">
        <w:rPr>
          <w:rFonts w:cstheme="minorHAnsi"/>
          <w:sz w:val="28"/>
          <w:szCs w:val="28"/>
        </w:rPr>
        <w:t>s</w:t>
      </w:r>
      <w:r w:rsidRPr="00E41C69">
        <w:rPr>
          <w:rFonts w:cstheme="minorHAnsi"/>
          <w:sz w:val="28"/>
          <w:szCs w:val="28"/>
        </w:rPr>
        <w:t xml:space="preserve"> to have increased appreciably during the last five years. This is particularly among ancient </w:t>
      </w:r>
      <w:r w:rsidR="00393164" w:rsidRPr="00E41C69">
        <w:rPr>
          <w:rFonts w:cstheme="minorHAnsi"/>
          <w:sz w:val="28"/>
          <w:szCs w:val="28"/>
        </w:rPr>
        <w:t>universities in S</w:t>
      </w:r>
      <w:r w:rsidR="00F436A2" w:rsidRPr="00E41C69">
        <w:rPr>
          <w:rFonts w:cstheme="minorHAnsi"/>
          <w:sz w:val="28"/>
          <w:szCs w:val="28"/>
        </w:rPr>
        <w:t>cotland (Edinburgh, Glasgow, St.</w:t>
      </w:r>
      <w:r w:rsidR="00393164" w:rsidRPr="00E41C69">
        <w:rPr>
          <w:rFonts w:cstheme="minorHAnsi"/>
          <w:sz w:val="28"/>
          <w:szCs w:val="28"/>
        </w:rPr>
        <w:t xml:space="preserve"> Andrews) </w:t>
      </w:r>
      <w:r w:rsidRPr="00E41C69">
        <w:rPr>
          <w:rFonts w:cstheme="minorHAnsi"/>
          <w:sz w:val="28"/>
          <w:szCs w:val="28"/>
        </w:rPr>
        <w:t>and red brick universities</w:t>
      </w:r>
      <w:r w:rsidR="00393164" w:rsidRPr="00E41C69">
        <w:rPr>
          <w:rFonts w:cstheme="minorHAnsi"/>
          <w:sz w:val="28"/>
          <w:szCs w:val="28"/>
        </w:rPr>
        <w:t xml:space="preserve"> more generally which</w:t>
      </w:r>
      <w:r w:rsidRPr="00E41C69">
        <w:rPr>
          <w:rFonts w:cstheme="minorHAnsi"/>
          <w:sz w:val="28"/>
          <w:szCs w:val="28"/>
        </w:rPr>
        <w:t xml:space="preserve">, as part of their ‘global engagement’ strategies, are keen to establish a ‘presence’ in major emerging countries, and especially China. Overseas </w:t>
      </w:r>
      <w:r w:rsidR="00512485">
        <w:rPr>
          <w:rFonts w:cstheme="minorHAnsi"/>
          <w:sz w:val="28"/>
          <w:szCs w:val="28"/>
        </w:rPr>
        <w:t>public (but not private)</w:t>
      </w:r>
      <w:r w:rsidRPr="00E41C69">
        <w:rPr>
          <w:rFonts w:cstheme="minorHAnsi"/>
          <w:sz w:val="28"/>
          <w:szCs w:val="28"/>
        </w:rPr>
        <w:t xml:space="preserve"> universities are equally keen to partner with high status UK and other foreign universities</w:t>
      </w:r>
      <w:r w:rsidR="00393164" w:rsidRPr="00E41C69">
        <w:rPr>
          <w:rFonts w:cstheme="minorHAnsi"/>
          <w:sz w:val="28"/>
          <w:szCs w:val="28"/>
        </w:rPr>
        <w:t xml:space="preserve"> in this way</w:t>
      </w:r>
      <w:r w:rsidRPr="00E41C69">
        <w:rPr>
          <w:rFonts w:cstheme="minorHAnsi"/>
          <w:sz w:val="28"/>
          <w:szCs w:val="28"/>
        </w:rPr>
        <w:t xml:space="preserve">. The primary motivation on both sides is </w:t>
      </w:r>
      <w:r w:rsidR="009858E0" w:rsidRPr="00E41C69">
        <w:rPr>
          <w:rFonts w:cstheme="minorHAnsi"/>
          <w:sz w:val="28"/>
          <w:szCs w:val="28"/>
        </w:rPr>
        <w:t xml:space="preserve">invariably </w:t>
      </w:r>
      <w:r w:rsidRPr="00E41C69">
        <w:rPr>
          <w:rFonts w:cstheme="minorHAnsi"/>
          <w:sz w:val="28"/>
          <w:szCs w:val="28"/>
        </w:rPr>
        <w:t xml:space="preserve">not </w:t>
      </w:r>
      <w:r w:rsidR="00F436A2" w:rsidRPr="00E41C69">
        <w:rPr>
          <w:rFonts w:cstheme="minorHAnsi"/>
          <w:sz w:val="28"/>
          <w:szCs w:val="28"/>
        </w:rPr>
        <w:t xml:space="preserve">purely </w:t>
      </w:r>
      <w:r w:rsidRPr="00E41C69">
        <w:rPr>
          <w:rFonts w:cstheme="minorHAnsi"/>
          <w:sz w:val="28"/>
          <w:szCs w:val="28"/>
        </w:rPr>
        <w:t xml:space="preserve">financial. UK universities are particularly interested in developing </w:t>
      </w:r>
      <w:r w:rsidR="00393164" w:rsidRPr="00E41C69">
        <w:rPr>
          <w:rFonts w:cstheme="minorHAnsi"/>
          <w:sz w:val="28"/>
          <w:szCs w:val="28"/>
        </w:rPr>
        <w:t>major joint research programmes and student-staff exchange relationships with their collaborative partners which are not possible with more narrowly focused commercial course partnerships with private, for-profit organisations.</w:t>
      </w:r>
      <w:r w:rsidR="00D73DEB" w:rsidRPr="00E41C69">
        <w:rPr>
          <w:rFonts w:cstheme="minorHAnsi"/>
          <w:sz w:val="28"/>
          <w:szCs w:val="28"/>
        </w:rPr>
        <w:t xml:space="preserve"> </w:t>
      </w:r>
      <w:r w:rsidR="009858E0" w:rsidRPr="00E41C69">
        <w:rPr>
          <w:rFonts w:cstheme="minorHAnsi"/>
          <w:sz w:val="28"/>
          <w:szCs w:val="28"/>
        </w:rPr>
        <w:t xml:space="preserve">Collaborative partnerships tend to rely </w:t>
      </w:r>
      <w:r w:rsidR="00A04E88">
        <w:rPr>
          <w:rFonts w:cstheme="minorHAnsi"/>
          <w:sz w:val="28"/>
          <w:szCs w:val="28"/>
        </w:rPr>
        <w:t xml:space="preserve">quite </w:t>
      </w:r>
      <w:r w:rsidR="009858E0" w:rsidRPr="00E41C69">
        <w:rPr>
          <w:rFonts w:cstheme="minorHAnsi"/>
          <w:sz w:val="28"/>
          <w:szCs w:val="28"/>
        </w:rPr>
        <w:t>heavily on fly-in-faculty from the UK to deliver overseas courses.</w:t>
      </w:r>
      <w:r w:rsidRPr="00E41C69">
        <w:rPr>
          <w:rFonts w:cstheme="minorHAnsi"/>
          <w:sz w:val="28"/>
          <w:szCs w:val="28"/>
        </w:rPr>
        <w:t xml:space="preserve">     </w:t>
      </w:r>
    </w:p>
    <w:p w14:paraId="5EB9F4B1" w14:textId="77777777" w:rsidR="008E344A" w:rsidRDefault="008E344A" w:rsidP="008E344A">
      <w:pPr>
        <w:jc w:val="both"/>
        <w:rPr>
          <w:rFonts w:cstheme="minorHAnsi"/>
          <w:sz w:val="28"/>
          <w:szCs w:val="28"/>
        </w:rPr>
      </w:pPr>
      <w:r w:rsidRPr="00F551F7">
        <w:rPr>
          <w:rFonts w:cstheme="minorHAnsi"/>
          <w:sz w:val="28"/>
          <w:szCs w:val="28"/>
        </w:rPr>
        <w:t>There is a strong negative correlation between the rank of university and its degree of involvement with FVA offshore provision. The generally lower ranked ex-polytechnics comprise almost all universities with FVA enrolments of greater than 3,000 studen</w:t>
      </w:r>
      <w:r>
        <w:rPr>
          <w:rFonts w:cstheme="minorHAnsi"/>
          <w:sz w:val="28"/>
          <w:szCs w:val="28"/>
        </w:rPr>
        <w:t>ts</w:t>
      </w:r>
      <w:r w:rsidRPr="00F551F7">
        <w:rPr>
          <w:rFonts w:cstheme="minorHAnsi"/>
          <w:sz w:val="28"/>
          <w:szCs w:val="28"/>
        </w:rPr>
        <w:t>. Conversely, the majority of the major ODL providers are higher ranked ‘red brick’ universities most notably Hull, London, Liverpool, Manchester and Reading.</w:t>
      </w:r>
    </w:p>
    <w:p w14:paraId="3EE68937" w14:textId="77777777" w:rsidR="008E344A" w:rsidRDefault="008E344A">
      <w:pPr>
        <w:rPr>
          <w:rFonts w:cstheme="minorHAnsi"/>
          <w:sz w:val="28"/>
          <w:szCs w:val="28"/>
        </w:rPr>
      </w:pPr>
      <w:r>
        <w:rPr>
          <w:rFonts w:cstheme="minorHAnsi"/>
          <w:sz w:val="28"/>
          <w:szCs w:val="28"/>
        </w:rPr>
        <w:br w:type="page"/>
      </w:r>
    </w:p>
    <w:tbl>
      <w:tblPr>
        <w:tblW w:w="9124" w:type="dxa"/>
        <w:tblInd w:w="88" w:type="dxa"/>
        <w:tblLook w:val="04A0" w:firstRow="1" w:lastRow="0" w:firstColumn="1" w:lastColumn="0" w:noHBand="0" w:noVBand="1"/>
      </w:tblPr>
      <w:tblGrid>
        <w:gridCol w:w="2225"/>
        <w:gridCol w:w="1923"/>
        <w:gridCol w:w="2464"/>
        <w:gridCol w:w="2290"/>
        <w:gridCol w:w="222"/>
      </w:tblGrid>
      <w:tr w:rsidR="00F551F7" w:rsidRPr="00F551F7" w14:paraId="72CC4B37" w14:textId="77777777" w:rsidTr="008E344A">
        <w:trPr>
          <w:trHeight w:val="321"/>
        </w:trPr>
        <w:tc>
          <w:tcPr>
            <w:tcW w:w="9124" w:type="dxa"/>
            <w:gridSpan w:val="5"/>
            <w:tcBorders>
              <w:top w:val="nil"/>
              <w:left w:val="nil"/>
              <w:bottom w:val="nil"/>
              <w:right w:val="nil"/>
            </w:tcBorders>
            <w:shd w:val="clear" w:color="auto" w:fill="auto"/>
            <w:noWrap/>
            <w:vAlign w:val="bottom"/>
            <w:hideMark/>
          </w:tcPr>
          <w:p w14:paraId="3EDB0143" w14:textId="662C6342" w:rsidR="00F551F7" w:rsidRPr="00F551F7" w:rsidRDefault="00F125F1" w:rsidP="00F551F7">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lastRenderedPageBreak/>
              <w:t>Table 3</w:t>
            </w:r>
            <w:r w:rsidR="00F551F7" w:rsidRPr="00F551F7">
              <w:rPr>
                <w:rFonts w:ascii="Calibri" w:eastAsia="Times New Roman" w:hAnsi="Calibri" w:cs="Calibri"/>
                <w:b/>
                <w:bCs/>
                <w:color w:val="5F735C"/>
                <w:lang w:eastAsia="en-GB"/>
              </w:rPr>
              <w:t>: Universities with more than 3,000 enrolments for any one type of offshore provision, 2015/16 (rounded '000)</w:t>
            </w:r>
          </w:p>
        </w:tc>
      </w:tr>
      <w:tr w:rsidR="00F551F7" w:rsidRPr="00F551F7" w14:paraId="487D5A6F" w14:textId="77777777" w:rsidTr="008E344A">
        <w:trPr>
          <w:trHeight w:val="321"/>
        </w:trPr>
        <w:tc>
          <w:tcPr>
            <w:tcW w:w="2225" w:type="dxa"/>
            <w:tcBorders>
              <w:top w:val="single" w:sz="8" w:space="0" w:color="FFFFFF"/>
              <w:left w:val="single" w:sz="8" w:space="0" w:color="FFFFFF"/>
              <w:bottom w:val="single" w:sz="8" w:space="0" w:color="FFFFFF"/>
              <w:right w:val="single" w:sz="8" w:space="0" w:color="FFFFFF"/>
            </w:tcBorders>
            <w:shd w:val="clear" w:color="000000" w:fill="49723B"/>
            <w:noWrap/>
            <w:vAlign w:val="bottom"/>
            <w:hideMark/>
          </w:tcPr>
          <w:p w14:paraId="226E820E" w14:textId="77777777" w:rsidR="00F551F7" w:rsidRPr="00F551F7" w:rsidRDefault="00F551F7" w:rsidP="00F551F7">
            <w:pPr>
              <w:spacing w:after="0" w:line="240" w:lineRule="auto"/>
              <w:jc w:val="center"/>
              <w:rPr>
                <w:rFonts w:ascii="Calibri" w:eastAsia="Times New Roman" w:hAnsi="Calibri" w:cs="Calibri"/>
                <w:b/>
                <w:bCs/>
                <w:color w:val="FFFFFF"/>
                <w:lang w:eastAsia="en-GB"/>
              </w:rPr>
            </w:pPr>
            <w:r w:rsidRPr="00F551F7">
              <w:rPr>
                <w:rFonts w:ascii="Calibri" w:eastAsia="Times New Roman" w:hAnsi="Calibri" w:cs="Calibri"/>
                <w:b/>
                <w:bCs/>
                <w:color w:val="FFFFFF"/>
                <w:lang w:eastAsia="en-GB"/>
              </w:rPr>
              <w:t>FVA -  UK degree</w:t>
            </w:r>
          </w:p>
        </w:tc>
        <w:tc>
          <w:tcPr>
            <w:tcW w:w="1923" w:type="dxa"/>
            <w:tcBorders>
              <w:top w:val="single" w:sz="8" w:space="0" w:color="FFFFFF"/>
              <w:left w:val="nil"/>
              <w:bottom w:val="single" w:sz="8" w:space="0" w:color="FFFFFF"/>
              <w:right w:val="single" w:sz="8" w:space="0" w:color="FFFFFF"/>
            </w:tcBorders>
            <w:shd w:val="clear" w:color="000000" w:fill="49723B"/>
            <w:noWrap/>
            <w:vAlign w:val="bottom"/>
            <w:hideMark/>
          </w:tcPr>
          <w:p w14:paraId="04801D58" w14:textId="77777777" w:rsidR="00F551F7" w:rsidRPr="00F551F7" w:rsidRDefault="00F551F7" w:rsidP="00F551F7">
            <w:pPr>
              <w:spacing w:after="0" w:line="240" w:lineRule="auto"/>
              <w:jc w:val="center"/>
              <w:rPr>
                <w:rFonts w:ascii="Calibri" w:eastAsia="Times New Roman" w:hAnsi="Calibri" w:cs="Calibri"/>
                <w:b/>
                <w:bCs/>
                <w:color w:val="FFFFFF"/>
                <w:lang w:eastAsia="en-GB"/>
              </w:rPr>
            </w:pPr>
            <w:r w:rsidRPr="00F551F7">
              <w:rPr>
                <w:rFonts w:ascii="Calibri" w:eastAsia="Times New Roman" w:hAnsi="Calibri" w:cs="Calibri"/>
                <w:b/>
                <w:bCs/>
                <w:color w:val="FFFFFF"/>
                <w:lang w:eastAsia="en-GB"/>
              </w:rPr>
              <w:t>FVA - partner degree</w:t>
            </w:r>
          </w:p>
        </w:tc>
        <w:tc>
          <w:tcPr>
            <w:tcW w:w="2464" w:type="dxa"/>
            <w:tcBorders>
              <w:top w:val="single" w:sz="8" w:space="0" w:color="FFFFFF"/>
              <w:left w:val="nil"/>
              <w:bottom w:val="single" w:sz="8" w:space="0" w:color="FFFFFF"/>
              <w:right w:val="single" w:sz="8" w:space="0" w:color="FFFFFF"/>
            </w:tcBorders>
            <w:shd w:val="clear" w:color="000000" w:fill="49723B"/>
            <w:noWrap/>
            <w:vAlign w:val="bottom"/>
            <w:hideMark/>
          </w:tcPr>
          <w:p w14:paraId="41F26CAB" w14:textId="77777777" w:rsidR="00F551F7" w:rsidRPr="00F551F7" w:rsidRDefault="00F551F7" w:rsidP="00F551F7">
            <w:pPr>
              <w:spacing w:after="0" w:line="240" w:lineRule="auto"/>
              <w:jc w:val="center"/>
              <w:rPr>
                <w:rFonts w:ascii="Calibri" w:eastAsia="Times New Roman" w:hAnsi="Calibri" w:cs="Calibri"/>
                <w:b/>
                <w:bCs/>
                <w:color w:val="FFFFFF"/>
                <w:lang w:eastAsia="en-GB"/>
              </w:rPr>
            </w:pPr>
            <w:r w:rsidRPr="00F551F7">
              <w:rPr>
                <w:rFonts w:ascii="Calibri" w:eastAsia="Times New Roman" w:hAnsi="Calibri" w:cs="Calibri"/>
                <w:b/>
                <w:bCs/>
                <w:color w:val="FFFFFF"/>
                <w:lang w:eastAsia="en-GB"/>
              </w:rPr>
              <w:t>Overseas distance learning</w:t>
            </w:r>
          </w:p>
        </w:tc>
        <w:tc>
          <w:tcPr>
            <w:tcW w:w="2290" w:type="dxa"/>
            <w:tcBorders>
              <w:top w:val="single" w:sz="8" w:space="0" w:color="FFFFFF"/>
              <w:left w:val="nil"/>
              <w:bottom w:val="single" w:sz="8" w:space="0" w:color="FFFFFF"/>
              <w:right w:val="single" w:sz="8" w:space="0" w:color="FFFFFF"/>
            </w:tcBorders>
            <w:shd w:val="clear" w:color="000000" w:fill="49723B"/>
            <w:noWrap/>
            <w:vAlign w:val="bottom"/>
            <w:hideMark/>
          </w:tcPr>
          <w:p w14:paraId="0C3FC2B4" w14:textId="77777777" w:rsidR="00F551F7" w:rsidRPr="00F551F7" w:rsidRDefault="00F551F7" w:rsidP="00F551F7">
            <w:pPr>
              <w:spacing w:after="0" w:line="240" w:lineRule="auto"/>
              <w:jc w:val="center"/>
              <w:rPr>
                <w:rFonts w:ascii="Calibri" w:eastAsia="Times New Roman" w:hAnsi="Calibri" w:cs="Calibri"/>
                <w:b/>
                <w:bCs/>
                <w:color w:val="FFFFFF"/>
                <w:lang w:eastAsia="en-GB"/>
              </w:rPr>
            </w:pPr>
            <w:r w:rsidRPr="00F551F7">
              <w:rPr>
                <w:rFonts w:ascii="Calibri" w:eastAsia="Times New Roman" w:hAnsi="Calibri" w:cs="Calibri"/>
                <w:b/>
                <w:bCs/>
                <w:color w:val="FFFFFF"/>
                <w:lang w:eastAsia="en-GB"/>
              </w:rPr>
              <w:t>Overseas branch campus</w:t>
            </w:r>
          </w:p>
        </w:tc>
        <w:tc>
          <w:tcPr>
            <w:tcW w:w="222" w:type="dxa"/>
            <w:tcBorders>
              <w:top w:val="nil"/>
              <w:left w:val="nil"/>
              <w:bottom w:val="nil"/>
              <w:right w:val="nil"/>
            </w:tcBorders>
            <w:shd w:val="clear" w:color="auto" w:fill="auto"/>
            <w:noWrap/>
            <w:vAlign w:val="bottom"/>
            <w:hideMark/>
          </w:tcPr>
          <w:p w14:paraId="051D1A0F"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1DDA5DEB"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0C033BE1"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Staffordshire (18)</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731CDB43"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Open University (22)</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35147FD8"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London (47)</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6E794786"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Nottingham (12)</w:t>
            </w:r>
          </w:p>
        </w:tc>
        <w:tc>
          <w:tcPr>
            <w:tcW w:w="222" w:type="dxa"/>
            <w:tcBorders>
              <w:top w:val="nil"/>
              <w:left w:val="nil"/>
              <w:bottom w:val="nil"/>
              <w:right w:val="nil"/>
            </w:tcBorders>
            <w:shd w:val="clear" w:color="auto" w:fill="auto"/>
            <w:noWrap/>
            <w:vAlign w:val="bottom"/>
            <w:hideMark/>
          </w:tcPr>
          <w:p w14:paraId="3DB9D983"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733B5ECA"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5D51C65A"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Greenwich (17)</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25335D90"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Coventry (13)</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3E99223F"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Open University (9)</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13C3A8E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Heriot Watt (5)</w:t>
            </w:r>
          </w:p>
        </w:tc>
        <w:tc>
          <w:tcPr>
            <w:tcW w:w="222" w:type="dxa"/>
            <w:tcBorders>
              <w:top w:val="nil"/>
              <w:left w:val="nil"/>
              <w:bottom w:val="nil"/>
              <w:right w:val="nil"/>
            </w:tcBorders>
            <w:shd w:val="clear" w:color="auto" w:fill="auto"/>
            <w:noWrap/>
            <w:vAlign w:val="bottom"/>
            <w:hideMark/>
          </w:tcPr>
          <w:p w14:paraId="54343E00"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0E0E9215"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47B04E96"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Cardiff Metropolitan (7)</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51C3BD36"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Wales (8  )</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5D3EAFF6"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Liverpool (8)</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48F1470F"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Middlesex (4)</w:t>
            </w:r>
          </w:p>
        </w:tc>
        <w:tc>
          <w:tcPr>
            <w:tcW w:w="222" w:type="dxa"/>
            <w:tcBorders>
              <w:top w:val="nil"/>
              <w:left w:val="nil"/>
              <w:bottom w:val="nil"/>
              <w:right w:val="nil"/>
            </w:tcBorders>
            <w:shd w:val="clear" w:color="auto" w:fill="auto"/>
            <w:noWrap/>
            <w:vAlign w:val="bottom"/>
            <w:hideMark/>
          </w:tcPr>
          <w:p w14:paraId="6B3FEA5B"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64FCB73A"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6006EE31"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West of England (6)</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04ECC158"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Liverpool (8)</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09C203E5"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Leicester (5)</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731C2122"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West Scotland (6)</w:t>
            </w:r>
          </w:p>
        </w:tc>
        <w:tc>
          <w:tcPr>
            <w:tcW w:w="222" w:type="dxa"/>
            <w:tcBorders>
              <w:top w:val="nil"/>
              <w:left w:val="nil"/>
              <w:bottom w:val="nil"/>
              <w:right w:val="nil"/>
            </w:tcBorders>
            <w:shd w:val="clear" w:color="auto" w:fill="auto"/>
            <w:noWrap/>
            <w:vAlign w:val="bottom"/>
            <w:hideMark/>
          </w:tcPr>
          <w:p w14:paraId="1930175B"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4B189A3C"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4E0E1C9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Northumbria (5)</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0E6C8622"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Kingston (8)</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74628AAF"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Manchester (4)</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036F4E98"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6026C9CD"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18E9D4D3"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09E1C4B2"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Edinburgh Napier (5)</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35438C6C"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Sunderland (7)</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7B6EE811"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Heriot-Watt (4)</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68C9D666"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232FB92"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4B162DB5"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5D9672C0"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Bedfordshire (5)</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6FBD1041"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Heriot-Watt (6)</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43258C04"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12795FC8"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555C2577"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7D25661C"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2CE44CA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Hertfordshire (5)</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4D5E4D1B"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Middlesex (7)</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35C0F0DB"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45E4D88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77546EA3"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2A56A150"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1ECB4CF7"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Westminster (4)</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78545EE4"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East London (5)</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57C955C0"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61EB8994"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409E303"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7D3D96E8"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58774EE1"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Wolverhampton (4)</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7419FF40"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24624193"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687A59A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38CF214F"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72106C13"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3ED33FD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Roehampton (4)</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4945C53F"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14ACD210"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450370E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30100805"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0E4BC3DB"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7B0F00F2"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Anglia Ruskin (4)</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09A4416C"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7D6E894C"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14962A3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5FDF22ED"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583E573E"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0BA54F4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London (4)</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5FDFECE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2C912387"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570CCD4E"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12D0C52"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75DB259B"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6AA5BADD"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Derby (3)</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72FEAC37"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2F21A474"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38AED454"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26145A5B" w14:textId="77777777" w:rsidR="00F551F7" w:rsidRPr="00F551F7" w:rsidRDefault="00F551F7" w:rsidP="00F551F7">
            <w:pPr>
              <w:spacing w:after="0" w:line="240" w:lineRule="auto"/>
              <w:rPr>
                <w:rFonts w:ascii="Calibri" w:eastAsia="Times New Roman" w:hAnsi="Calibri" w:cs="Calibri"/>
                <w:color w:val="000000"/>
                <w:lang w:eastAsia="en-GB"/>
              </w:rPr>
            </w:pPr>
          </w:p>
        </w:tc>
      </w:tr>
      <w:tr w:rsidR="00F551F7" w:rsidRPr="00F551F7" w14:paraId="5C54687E" w14:textId="77777777" w:rsidTr="008E344A">
        <w:trPr>
          <w:trHeight w:val="321"/>
        </w:trPr>
        <w:tc>
          <w:tcPr>
            <w:tcW w:w="2225" w:type="dxa"/>
            <w:tcBorders>
              <w:top w:val="nil"/>
              <w:left w:val="single" w:sz="8" w:space="0" w:color="FFFFFF"/>
              <w:bottom w:val="single" w:sz="8" w:space="0" w:color="FFFFFF"/>
              <w:right w:val="single" w:sz="8" w:space="0" w:color="FFFFFF"/>
            </w:tcBorders>
            <w:shd w:val="clear" w:color="000000" w:fill="EFEAE6"/>
            <w:noWrap/>
            <w:vAlign w:val="bottom"/>
            <w:hideMark/>
          </w:tcPr>
          <w:p w14:paraId="733E8F43"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London Metropolitan (3)</w:t>
            </w:r>
          </w:p>
        </w:tc>
        <w:tc>
          <w:tcPr>
            <w:tcW w:w="1923" w:type="dxa"/>
            <w:tcBorders>
              <w:top w:val="single" w:sz="8" w:space="0" w:color="FFFFFF"/>
              <w:left w:val="nil"/>
              <w:bottom w:val="single" w:sz="8" w:space="0" w:color="FFFFFF"/>
              <w:right w:val="single" w:sz="8" w:space="0" w:color="FFFFFF"/>
            </w:tcBorders>
            <w:shd w:val="clear" w:color="000000" w:fill="EFEAE6"/>
            <w:noWrap/>
            <w:vAlign w:val="bottom"/>
            <w:hideMark/>
          </w:tcPr>
          <w:p w14:paraId="420AE32B"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464" w:type="dxa"/>
            <w:tcBorders>
              <w:top w:val="single" w:sz="8" w:space="0" w:color="FFFFFF"/>
              <w:left w:val="nil"/>
              <w:bottom w:val="single" w:sz="8" w:space="0" w:color="FFFFFF"/>
              <w:right w:val="single" w:sz="8" w:space="0" w:color="FFFFFF"/>
            </w:tcBorders>
            <w:shd w:val="clear" w:color="000000" w:fill="EFEAE6"/>
            <w:noWrap/>
            <w:vAlign w:val="bottom"/>
            <w:hideMark/>
          </w:tcPr>
          <w:p w14:paraId="36B9BCC4"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90" w:type="dxa"/>
            <w:tcBorders>
              <w:top w:val="single" w:sz="8" w:space="0" w:color="FFFFFF"/>
              <w:left w:val="nil"/>
              <w:bottom w:val="single" w:sz="8" w:space="0" w:color="FFFFFF"/>
              <w:right w:val="single" w:sz="8" w:space="0" w:color="FFFFFF"/>
            </w:tcBorders>
            <w:shd w:val="clear" w:color="000000" w:fill="EFEAE6"/>
            <w:noWrap/>
            <w:vAlign w:val="bottom"/>
            <w:hideMark/>
          </w:tcPr>
          <w:p w14:paraId="0E8B845F" w14:textId="77777777" w:rsidR="00F551F7" w:rsidRPr="00F551F7" w:rsidRDefault="00F551F7" w:rsidP="00F551F7">
            <w:pPr>
              <w:spacing w:after="0" w:line="240" w:lineRule="auto"/>
              <w:jc w:val="center"/>
              <w:rPr>
                <w:rFonts w:ascii="Calibri" w:eastAsia="Times New Roman" w:hAnsi="Calibri" w:cs="Calibri"/>
                <w:color w:val="000000"/>
                <w:lang w:eastAsia="en-GB"/>
              </w:rPr>
            </w:pPr>
            <w:r w:rsidRPr="00F551F7">
              <w:rPr>
                <w:rFonts w:ascii="Calibri" w:eastAsia="Times New Roman" w:hAnsi="Calibri" w:cs="Calibri"/>
                <w:color w:val="000000"/>
                <w:lang w:eastAsia="en-GB"/>
              </w:rPr>
              <w:t> </w:t>
            </w:r>
          </w:p>
        </w:tc>
        <w:tc>
          <w:tcPr>
            <w:tcW w:w="222" w:type="dxa"/>
            <w:tcBorders>
              <w:top w:val="nil"/>
              <w:left w:val="nil"/>
              <w:bottom w:val="nil"/>
              <w:right w:val="nil"/>
            </w:tcBorders>
            <w:shd w:val="clear" w:color="auto" w:fill="auto"/>
            <w:noWrap/>
            <w:vAlign w:val="bottom"/>
            <w:hideMark/>
          </w:tcPr>
          <w:p w14:paraId="1961E9D6" w14:textId="77777777" w:rsidR="00F551F7" w:rsidRPr="00F551F7" w:rsidRDefault="00F551F7" w:rsidP="00F551F7">
            <w:pPr>
              <w:spacing w:after="0" w:line="240" w:lineRule="auto"/>
              <w:rPr>
                <w:rFonts w:ascii="Calibri" w:eastAsia="Times New Roman" w:hAnsi="Calibri" w:cs="Calibri"/>
                <w:color w:val="000000"/>
                <w:lang w:eastAsia="en-GB"/>
              </w:rPr>
            </w:pPr>
          </w:p>
        </w:tc>
      </w:tr>
    </w:tbl>
    <w:p w14:paraId="2D399AFE" w14:textId="77777777" w:rsidR="005C07A9" w:rsidRDefault="005C07A9" w:rsidP="005C07A9">
      <w:pPr>
        <w:jc w:val="both"/>
        <w:rPr>
          <w:rFonts w:cstheme="minorHAnsi"/>
          <w:sz w:val="28"/>
          <w:szCs w:val="28"/>
        </w:rPr>
      </w:pPr>
      <w:r w:rsidRPr="00E41C69">
        <w:rPr>
          <w:rFonts w:cstheme="minorHAnsi"/>
          <w:sz w:val="28"/>
          <w:szCs w:val="28"/>
        </w:rPr>
        <w:t xml:space="preserve"> </w:t>
      </w:r>
    </w:p>
    <w:p w14:paraId="0A2A0DD6" w14:textId="77777777" w:rsidR="001F62C5" w:rsidRDefault="001F62C5" w:rsidP="00D43422">
      <w:pPr>
        <w:jc w:val="both"/>
        <w:rPr>
          <w:rFonts w:cstheme="minorHAnsi"/>
          <w:sz w:val="28"/>
          <w:szCs w:val="28"/>
        </w:rPr>
      </w:pPr>
      <w:r>
        <w:rPr>
          <w:rFonts w:cstheme="minorHAnsi"/>
          <w:b/>
          <w:sz w:val="28"/>
          <w:szCs w:val="28"/>
        </w:rPr>
        <w:t xml:space="preserve">4.1.6 </w:t>
      </w:r>
      <w:r w:rsidR="0020487B" w:rsidRPr="00E41C69">
        <w:rPr>
          <w:rFonts w:cstheme="minorHAnsi"/>
          <w:b/>
          <w:sz w:val="28"/>
          <w:szCs w:val="28"/>
        </w:rPr>
        <w:t>Articulation and progression</w:t>
      </w:r>
    </w:p>
    <w:p w14:paraId="6EE71D80" w14:textId="0A618C28" w:rsidR="0020487B" w:rsidRPr="00E41C69" w:rsidRDefault="00B32D4C" w:rsidP="00D43422">
      <w:pPr>
        <w:jc w:val="both"/>
        <w:rPr>
          <w:rFonts w:cstheme="minorHAnsi"/>
          <w:sz w:val="28"/>
          <w:szCs w:val="28"/>
        </w:rPr>
      </w:pPr>
      <w:r w:rsidRPr="00E41C69">
        <w:rPr>
          <w:rFonts w:cstheme="minorHAnsi"/>
          <w:sz w:val="28"/>
          <w:szCs w:val="28"/>
        </w:rPr>
        <w:t xml:space="preserve">Articulation and progression </w:t>
      </w:r>
      <w:r w:rsidR="005C07A9" w:rsidRPr="00E41C69">
        <w:rPr>
          <w:rFonts w:cstheme="minorHAnsi"/>
          <w:sz w:val="28"/>
          <w:szCs w:val="28"/>
        </w:rPr>
        <w:t xml:space="preserve">courses </w:t>
      </w:r>
      <w:r w:rsidRPr="00E41C69">
        <w:rPr>
          <w:rFonts w:cstheme="minorHAnsi"/>
          <w:sz w:val="28"/>
          <w:szCs w:val="28"/>
        </w:rPr>
        <w:t xml:space="preserve">enable foreign students to enrol for the first one or two years of a UK </w:t>
      </w:r>
      <w:r w:rsidR="0020487B" w:rsidRPr="00E41C69">
        <w:rPr>
          <w:rFonts w:cstheme="minorHAnsi"/>
          <w:sz w:val="28"/>
          <w:szCs w:val="28"/>
        </w:rPr>
        <w:t xml:space="preserve">university </w:t>
      </w:r>
      <w:r w:rsidRPr="00E41C69">
        <w:rPr>
          <w:rFonts w:cstheme="minorHAnsi"/>
          <w:sz w:val="28"/>
          <w:szCs w:val="28"/>
        </w:rPr>
        <w:t xml:space="preserve">degree at an overseas partner and then complete their degree </w:t>
      </w:r>
      <w:r w:rsidR="0020487B" w:rsidRPr="00E41C69">
        <w:rPr>
          <w:rFonts w:cstheme="minorHAnsi"/>
          <w:sz w:val="28"/>
          <w:szCs w:val="28"/>
        </w:rPr>
        <w:t xml:space="preserve">in the </w:t>
      </w:r>
      <w:r w:rsidRPr="00E41C69">
        <w:rPr>
          <w:rFonts w:cstheme="minorHAnsi"/>
          <w:sz w:val="28"/>
          <w:szCs w:val="28"/>
        </w:rPr>
        <w:t>UK. These articulation arrangements grew rapidly in the 1990s when, especially in the aftermath of the 1998 Asian financial crisis, the Malaysian government could no longer afford to send what were very large numbers of students to stu</w:t>
      </w:r>
      <w:r w:rsidR="0020487B" w:rsidRPr="00E41C69">
        <w:rPr>
          <w:rFonts w:cstheme="minorHAnsi"/>
          <w:sz w:val="28"/>
          <w:szCs w:val="28"/>
        </w:rPr>
        <w:t>dy full</w:t>
      </w:r>
      <w:r w:rsidRPr="00E41C69">
        <w:rPr>
          <w:rFonts w:cstheme="minorHAnsi"/>
          <w:sz w:val="28"/>
          <w:szCs w:val="28"/>
        </w:rPr>
        <w:t>time at UK universities. Mainly private Mala</w:t>
      </w:r>
      <w:r w:rsidR="0020487B" w:rsidRPr="00E41C69">
        <w:rPr>
          <w:rFonts w:cstheme="minorHAnsi"/>
          <w:sz w:val="28"/>
          <w:szCs w:val="28"/>
        </w:rPr>
        <w:t xml:space="preserve">ysian universities </w:t>
      </w:r>
      <w:r w:rsidR="00393164" w:rsidRPr="00E41C69">
        <w:rPr>
          <w:rFonts w:cstheme="minorHAnsi"/>
          <w:sz w:val="28"/>
          <w:szCs w:val="28"/>
        </w:rPr>
        <w:t xml:space="preserve">stepped in and </w:t>
      </w:r>
      <w:r w:rsidR="0020487B" w:rsidRPr="00E41C69">
        <w:rPr>
          <w:rFonts w:cstheme="minorHAnsi"/>
          <w:sz w:val="28"/>
          <w:szCs w:val="28"/>
        </w:rPr>
        <w:t>managed to negotiate articulation agreements with British universities, especially those which had become heavily reliant on Malaysian overseas students.</w:t>
      </w:r>
      <w:r w:rsidR="00F551F7">
        <w:rPr>
          <w:rFonts w:cstheme="minorHAnsi"/>
          <w:sz w:val="28"/>
          <w:szCs w:val="28"/>
        </w:rPr>
        <w:t xml:space="preserve"> </w:t>
      </w:r>
    </w:p>
    <w:p w14:paraId="3363ABA4" w14:textId="740D8C34" w:rsidR="003F31F6" w:rsidRPr="00E41C69" w:rsidRDefault="0020487B" w:rsidP="00D43422">
      <w:pPr>
        <w:jc w:val="both"/>
        <w:rPr>
          <w:rFonts w:cstheme="minorHAnsi"/>
          <w:sz w:val="28"/>
          <w:szCs w:val="28"/>
        </w:rPr>
      </w:pPr>
      <w:r w:rsidRPr="00E41C69">
        <w:rPr>
          <w:rFonts w:cstheme="minorHAnsi"/>
          <w:sz w:val="28"/>
          <w:szCs w:val="28"/>
        </w:rPr>
        <w:t xml:space="preserve">Information on overseas students studying in the UK as part of articulation and progression arrangements has been included in the HESA Individual Student Record since 2011/12. However, for reasons that are not clearly clear, the </w:t>
      </w:r>
      <w:r w:rsidR="004A0F2D" w:rsidRPr="00E41C69">
        <w:rPr>
          <w:rFonts w:cstheme="minorHAnsi"/>
          <w:sz w:val="28"/>
          <w:szCs w:val="28"/>
        </w:rPr>
        <w:t xml:space="preserve">total </w:t>
      </w:r>
      <w:r w:rsidRPr="00E41C69">
        <w:rPr>
          <w:rFonts w:cstheme="minorHAnsi"/>
          <w:sz w:val="28"/>
          <w:szCs w:val="28"/>
        </w:rPr>
        <w:t>reported number</w:t>
      </w:r>
      <w:r w:rsidR="004A0F2D" w:rsidRPr="00E41C69">
        <w:rPr>
          <w:rFonts w:cstheme="minorHAnsi"/>
          <w:sz w:val="28"/>
          <w:szCs w:val="28"/>
        </w:rPr>
        <w:t>s</w:t>
      </w:r>
      <w:r w:rsidRPr="00E41C69">
        <w:rPr>
          <w:rFonts w:cstheme="minorHAnsi"/>
          <w:sz w:val="28"/>
          <w:szCs w:val="28"/>
        </w:rPr>
        <w:t xml:space="preserve"> of articulation students </w:t>
      </w:r>
      <w:r w:rsidR="004A0F2D" w:rsidRPr="00E41C69">
        <w:rPr>
          <w:rFonts w:cstheme="minorHAnsi"/>
          <w:sz w:val="28"/>
          <w:szCs w:val="28"/>
        </w:rPr>
        <w:t xml:space="preserve">of around </w:t>
      </w:r>
      <w:r w:rsidR="003045D9" w:rsidRPr="00E41C69">
        <w:rPr>
          <w:rFonts w:cstheme="minorHAnsi"/>
          <w:sz w:val="28"/>
          <w:szCs w:val="28"/>
        </w:rPr>
        <w:t>2,700</w:t>
      </w:r>
      <w:r w:rsidR="005C07A9" w:rsidRPr="00E41C69">
        <w:rPr>
          <w:rFonts w:cstheme="minorHAnsi"/>
          <w:sz w:val="28"/>
          <w:szCs w:val="28"/>
        </w:rPr>
        <w:t xml:space="preserve"> in </w:t>
      </w:r>
      <w:r w:rsidR="00E835B4">
        <w:rPr>
          <w:rFonts w:cstheme="minorHAnsi"/>
          <w:sz w:val="28"/>
          <w:szCs w:val="28"/>
        </w:rPr>
        <w:t xml:space="preserve">2013/14 and </w:t>
      </w:r>
      <w:r w:rsidR="004A0F2D" w:rsidRPr="00E41C69">
        <w:rPr>
          <w:rFonts w:cstheme="minorHAnsi"/>
          <w:sz w:val="28"/>
          <w:szCs w:val="28"/>
        </w:rPr>
        <w:t xml:space="preserve">2016/17 </w:t>
      </w:r>
      <w:r w:rsidRPr="00E41C69">
        <w:rPr>
          <w:rFonts w:cstheme="minorHAnsi"/>
          <w:sz w:val="28"/>
          <w:szCs w:val="28"/>
        </w:rPr>
        <w:t>appear to be serious</w:t>
      </w:r>
      <w:r w:rsidR="004A0F2D" w:rsidRPr="00E41C69">
        <w:rPr>
          <w:rFonts w:cstheme="minorHAnsi"/>
          <w:sz w:val="28"/>
          <w:szCs w:val="28"/>
        </w:rPr>
        <w:t xml:space="preserve"> underestimates</w:t>
      </w:r>
      <w:r w:rsidRPr="00E41C69">
        <w:rPr>
          <w:rFonts w:cstheme="minorHAnsi"/>
          <w:sz w:val="28"/>
          <w:szCs w:val="28"/>
        </w:rPr>
        <w:t xml:space="preserve"> with many universities providing </w:t>
      </w:r>
      <w:r w:rsidRPr="00E41C69">
        <w:rPr>
          <w:rFonts w:cstheme="minorHAnsi"/>
          <w:sz w:val="28"/>
          <w:szCs w:val="28"/>
        </w:rPr>
        <w:lastRenderedPageBreak/>
        <w:t>nil returns.</w:t>
      </w:r>
      <w:r w:rsidR="00B32D4C" w:rsidRPr="00E41C69">
        <w:rPr>
          <w:rFonts w:cstheme="minorHAnsi"/>
          <w:sz w:val="28"/>
          <w:szCs w:val="28"/>
        </w:rPr>
        <w:t xml:space="preserve"> </w:t>
      </w:r>
      <w:r w:rsidR="004A0F2D" w:rsidRPr="00E41C69">
        <w:rPr>
          <w:rFonts w:cstheme="minorHAnsi"/>
          <w:sz w:val="28"/>
          <w:szCs w:val="28"/>
        </w:rPr>
        <w:t>As part of this study, therefore, all universities were requested (under the Freedom of Information Act) to furnish this i</w:t>
      </w:r>
      <w:r w:rsidR="00F436A2" w:rsidRPr="00E41C69">
        <w:rPr>
          <w:rFonts w:cstheme="minorHAnsi"/>
          <w:sz w:val="28"/>
          <w:szCs w:val="28"/>
        </w:rPr>
        <w:t>n</w:t>
      </w:r>
      <w:r w:rsidR="00C63974" w:rsidRPr="00E41C69">
        <w:rPr>
          <w:rFonts w:cstheme="minorHAnsi"/>
          <w:sz w:val="28"/>
          <w:szCs w:val="28"/>
        </w:rPr>
        <w:t xml:space="preserve">formation. Adjusting for the 13 </w:t>
      </w:r>
      <w:r w:rsidR="004A0F2D" w:rsidRPr="00E41C69">
        <w:rPr>
          <w:rFonts w:cstheme="minorHAnsi"/>
          <w:sz w:val="28"/>
          <w:szCs w:val="28"/>
        </w:rPr>
        <w:t>universities who refused (for commercial reasons) or could not provide this information as</w:t>
      </w:r>
      <w:r w:rsidR="00393164" w:rsidRPr="00E41C69">
        <w:rPr>
          <w:rFonts w:cstheme="minorHAnsi"/>
          <w:sz w:val="28"/>
          <w:szCs w:val="28"/>
        </w:rPr>
        <w:t xml:space="preserve"> well as the </w:t>
      </w:r>
      <w:r w:rsidR="00F436A2" w:rsidRPr="00E41C69">
        <w:rPr>
          <w:rFonts w:cstheme="minorHAnsi"/>
          <w:sz w:val="28"/>
          <w:szCs w:val="28"/>
        </w:rPr>
        <w:t>34</w:t>
      </w:r>
      <w:r w:rsidR="00393164" w:rsidRPr="00E41C69">
        <w:rPr>
          <w:rFonts w:cstheme="minorHAnsi"/>
          <w:sz w:val="28"/>
          <w:szCs w:val="28"/>
        </w:rPr>
        <w:t xml:space="preserve"> universities which did not </w:t>
      </w:r>
      <w:r w:rsidR="004A0F2D" w:rsidRPr="00E41C69">
        <w:rPr>
          <w:rFonts w:cstheme="minorHAnsi"/>
          <w:sz w:val="28"/>
          <w:szCs w:val="28"/>
        </w:rPr>
        <w:t>respond</w:t>
      </w:r>
      <w:r w:rsidR="00393164" w:rsidRPr="00E41C69">
        <w:rPr>
          <w:rFonts w:cstheme="minorHAnsi"/>
          <w:sz w:val="28"/>
          <w:szCs w:val="28"/>
        </w:rPr>
        <w:t xml:space="preserve"> at all (despite being legally required to do so)</w:t>
      </w:r>
      <w:r w:rsidR="004A0F2D" w:rsidRPr="00E41C69">
        <w:rPr>
          <w:rFonts w:cstheme="minorHAnsi"/>
          <w:sz w:val="28"/>
          <w:szCs w:val="28"/>
        </w:rPr>
        <w:t xml:space="preserve">, the total number of </w:t>
      </w:r>
      <w:r w:rsidR="00F30ACF" w:rsidRPr="00E41C69">
        <w:rPr>
          <w:rFonts w:cstheme="minorHAnsi"/>
          <w:sz w:val="28"/>
          <w:szCs w:val="28"/>
        </w:rPr>
        <w:t>non</w:t>
      </w:r>
      <w:r w:rsidR="00947011" w:rsidRPr="00E41C69">
        <w:rPr>
          <w:rFonts w:cstheme="minorHAnsi"/>
          <w:sz w:val="28"/>
          <w:szCs w:val="28"/>
        </w:rPr>
        <w:t xml:space="preserve">-EU </w:t>
      </w:r>
      <w:r w:rsidR="004A0F2D" w:rsidRPr="00E41C69">
        <w:rPr>
          <w:rFonts w:cstheme="minorHAnsi"/>
          <w:sz w:val="28"/>
          <w:szCs w:val="28"/>
        </w:rPr>
        <w:t xml:space="preserve">overseas articulation students in the UK was in the region of </w:t>
      </w:r>
      <w:r w:rsidR="003045D9" w:rsidRPr="00E41C69">
        <w:rPr>
          <w:rFonts w:cstheme="minorHAnsi"/>
          <w:sz w:val="28"/>
          <w:szCs w:val="28"/>
        </w:rPr>
        <w:t>22,000</w:t>
      </w:r>
      <w:r w:rsidR="004A0F2D" w:rsidRPr="00E41C69">
        <w:rPr>
          <w:rFonts w:cstheme="minorHAnsi"/>
          <w:sz w:val="28"/>
          <w:szCs w:val="28"/>
        </w:rPr>
        <w:t xml:space="preserve"> in 2016/17.  </w:t>
      </w:r>
      <w:r w:rsidR="009E643C" w:rsidRPr="00E41C69">
        <w:rPr>
          <w:rFonts w:cstheme="minorHAnsi"/>
          <w:sz w:val="28"/>
          <w:szCs w:val="28"/>
        </w:rPr>
        <w:t xml:space="preserve">Although this is </w:t>
      </w:r>
      <w:r w:rsidR="00F30ACF" w:rsidRPr="00E41C69">
        <w:rPr>
          <w:rFonts w:cstheme="minorHAnsi"/>
          <w:sz w:val="28"/>
          <w:szCs w:val="28"/>
        </w:rPr>
        <w:t xml:space="preserve">only 7% </w:t>
      </w:r>
      <w:r w:rsidR="009E643C" w:rsidRPr="00E41C69">
        <w:rPr>
          <w:rFonts w:cstheme="minorHAnsi"/>
          <w:sz w:val="28"/>
          <w:szCs w:val="28"/>
        </w:rPr>
        <w:t xml:space="preserve">of onshore </w:t>
      </w:r>
      <w:r w:rsidR="00947011" w:rsidRPr="00E41C69">
        <w:rPr>
          <w:rFonts w:cstheme="minorHAnsi"/>
          <w:sz w:val="28"/>
          <w:szCs w:val="28"/>
        </w:rPr>
        <w:t xml:space="preserve">non-EU </w:t>
      </w:r>
      <w:r w:rsidR="009E643C" w:rsidRPr="00E41C69">
        <w:rPr>
          <w:rFonts w:cstheme="minorHAnsi"/>
          <w:sz w:val="28"/>
          <w:szCs w:val="28"/>
        </w:rPr>
        <w:t>overseas students</w:t>
      </w:r>
      <w:r w:rsidR="00947011" w:rsidRPr="00E41C69">
        <w:rPr>
          <w:rFonts w:cstheme="minorHAnsi"/>
          <w:sz w:val="28"/>
          <w:szCs w:val="28"/>
        </w:rPr>
        <w:t xml:space="preserve"> in the UK</w:t>
      </w:r>
      <w:r w:rsidR="00F30ACF" w:rsidRPr="00E41C69">
        <w:rPr>
          <w:rFonts w:cstheme="minorHAnsi"/>
          <w:sz w:val="28"/>
          <w:szCs w:val="28"/>
        </w:rPr>
        <w:t xml:space="preserve"> and 8</w:t>
      </w:r>
      <w:r w:rsidR="009E643C" w:rsidRPr="00E41C69">
        <w:rPr>
          <w:rFonts w:cstheme="minorHAnsi"/>
          <w:sz w:val="28"/>
          <w:szCs w:val="28"/>
        </w:rPr>
        <w:t xml:space="preserve">% of </w:t>
      </w:r>
      <w:r w:rsidR="005C07A9" w:rsidRPr="00E41C69">
        <w:rPr>
          <w:rFonts w:cstheme="minorHAnsi"/>
          <w:sz w:val="28"/>
          <w:szCs w:val="28"/>
        </w:rPr>
        <w:t>non-</w:t>
      </w:r>
      <w:r w:rsidR="00947011" w:rsidRPr="00E41C69">
        <w:rPr>
          <w:rFonts w:cstheme="minorHAnsi"/>
          <w:sz w:val="28"/>
          <w:szCs w:val="28"/>
        </w:rPr>
        <w:t xml:space="preserve">EU </w:t>
      </w:r>
      <w:r w:rsidR="009E643C" w:rsidRPr="00E41C69">
        <w:rPr>
          <w:rFonts w:cstheme="minorHAnsi"/>
          <w:sz w:val="28"/>
          <w:szCs w:val="28"/>
        </w:rPr>
        <w:t>offshore students</w:t>
      </w:r>
      <w:r w:rsidR="00F30ACF" w:rsidRPr="00E41C69">
        <w:rPr>
          <w:rFonts w:cstheme="minorHAnsi"/>
          <w:sz w:val="28"/>
          <w:szCs w:val="28"/>
        </w:rPr>
        <w:t xml:space="preserve"> (excluding distance learners)</w:t>
      </w:r>
      <w:r w:rsidR="009E643C" w:rsidRPr="00E41C69">
        <w:rPr>
          <w:rFonts w:cstheme="minorHAnsi"/>
          <w:sz w:val="28"/>
          <w:szCs w:val="28"/>
        </w:rPr>
        <w:t>, as will be discussed in section 7, the financial returns from th</w:t>
      </w:r>
      <w:r w:rsidR="002A5DD4" w:rsidRPr="00E41C69">
        <w:rPr>
          <w:rFonts w:cstheme="minorHAnsi"/>
          <w:sz w:val="28"/>
          <w:szCs w:val="28"/>
        </w:rPr>
        <w:t>is group of students are highly significant</w:t>
      </w:r>
      <w:r w:rsidR="005C07A9" w:rsidRPr="00E41C69">
        <w:rPr>
          <w:rStyle w:val="FootnoteReference"/>
          <w:rFonts w:cstheme="minorHAnsi"/>
          <w:sz w:val="28"/>
          <w:szCs w:val="28"/>
        </w:rPr>
        <w:footnoteReference w:id="4"/>
      </w:r>
      <w:r w:rsidR="002A5DD4" w:rsidRPr="00E41C69">
        <w:rPr>
          <w:rFonts w:cstheme="minorHAnsi"/>
          <w:sz w:val="28"/>
          <w:szCs w:val="28"/>
        </w:rPr>
        <w:t>.</w:t>
      </w:r>
      <w:r w:rsidR="004A0F2D" w:rsidRPr="00E41C69">
        <w:rPr>
          <w:rFonts w:cstheme="minorHAnsi"/>
          <w:sz w:val="28"/>
          <w:szCs w:val="28"/>
        </w:rPr>
        <w:t xml:space="preserve"> </w:t>
      </w:r>
      <w:r w:rsidR="00C63974" w:rsidRPr="00E41C69">
        <w:rPr>
          <w:rFonts w:cstheme="minorHAnsi"/>
          <w:sz w:val="28"/>
          <w:szCs w:val="28"/>
        </w:rPr>
        <w:t xml:space="preserve"> </w:t>
      </w:r>
      <w:r w:rsidR="00513882">
        <w:rPr>
          <w:rFonts w:cstheme="minorHAnsi"/>
          <w:sz w:val="28"/>
          <w:szCs w:val="28"/>
        </w:rPr>
        <w:t>Many universities see articulation arrangements as enabling them to improve the quality of overseas students coming to the UK.</w:t>
      </w:r>
    </w:p>
    <w:p w14:paraId="11BC7B09" w14:textId="33446DEF" w:rsidR="004A0F2D" w:rsidRPr="00E41C69" w:rsidRDefault="003F31F6" w:rsidP="00D43422">
      <w:pPr>
        <w:jc w:val="both"/>
        <w:rPr>
          <w:rFonts w:cstheme="minorHAnsi"/>
          <w:sz w:val="28"/>
          <w:szCs w:val="28"/>
        </w:rPr>
      </w:pPr>
      <w:r w:rsidRPr="00E41C69">
        <w:rPr>
          <w:rFonts w:cstheme="minorHAnsi"/>
          <w:sz w:val="28"/>
          <w:szCs w:val="28"/>
        </w:rPr>
        <w:t>Articulation overseas students accounted for more than one-quarter of all onshore overseas students at 15% of the respon</w:t>
      </w:r>
      <w:r w:rsidR="00871A90">
        <w:rPr>
          <w:rFonts w:cstheme="minorHAnsi"/>
          <w:sz w:val="28"/>
          <w:szCs w:val="28"/>
        </w:rPr>
        <w:t>ding universities</w:t>
      </w:r>
      <w:r w:rsidRPr="00E41C69">
        <w:rPr>
          <w:rFonts w:cstheme="minorHAnsi"/>
          <w:sz w:val="28"/>
          <w:szCs w:val="28"/>
        </w:rPr>
        <w:t xml:space="preserve">. One-fifth of universities reported no articulation students. As noted earlier, there are relatively high numbers of articulation students from overseas branch campuses. Over 40% of articulation students are from China. </w:t>
      </w:r>
    </w:p>
    <w:p w14:paraId="424AB869" w14:textId="77777777" w:rsidR="001F62C5" w:rsidRDefault="001F62C5" w:rsidP="00CF0D52">
      <w:pPr>
        <w:jc w:val="both"/>
        <w:rPr>
          <w:rFonts w:cstheme="minorHAnsi"/>
          <w:b/>
          <w:sz w:val="28"/>
          <w:szCs w:val="28"/>
        </w:rPr>
      </w:pPr>
      <w:r>
        <w:rPr>
          <w:rFonts w:cstheme="minorHAnsi"/>
          <w:b/>
          <w:sz w:val="28"/>
          <w:szCs w:val="28"/>
        </w:rPr>
        <w:t xml:space="preserve">4.1.7 </w:t>
      </w:r>
      <w:r w:rsidR="003A4008" w:rsidRPr="00E41C69">
        <w:rPr>
          <w:rFonts w:cstheme="minorHAnsi"/>
          <w:b/>
          <w:sz w:val="28"/>
          <w:szCs w:val="28"/>
        </w:rPr>
        <w:t>O</w:t>
      </w:r>
      <w:r w:rsidR="005C07A9" w:rsidRPr="00E41C69">
        <w:rPr>
          <w:rFonts w:cstheme="minorHAnsi"/>
          <w:b/>
          <w:sz w:val="28"/>
          <w:szCs w:val="28"/>
        </w:rPr>
        <w:t>verseas branch campuses</w:t>
      </w:r>
    </w:p>
    <w:p w14:paraId="40DED172" w14:textId="47915D0D" w:rsidR="002659ED" w:rsidRPr="00E41C69" w:rsidRDefault="003A4008" w:rsidP="00CF0D52">
      <w:pPr>
        <w:jc w:val="both"/>
        <w:rPr>
          <w:rFonts w:cstheme="minorHAnsi"/>
          <w:sz w:val="28"/>
          <w:szCs w:val="28"/>
        </w:rPr>
      </w:pPr>
      <w:r w:rsidRPr="00E41C69">
        <w:rPr>
          <w:rFonts w:cstheme="minorHAnsi"/>
          <w:sz w:val="28"/>
          <w:szCs w:val="28"/>
        </w:rPr>
        <w:t xml:space="preserve">Again, despite </w:t>
      </w:r>
      <w:r w:rsidR="00D34469" w:rsidRPr="00E41C69">
        <w:rPr>
          <w:rFonts w:cstheme="minorHAnsi"/>
          <w:sz w:val="28"/>
          <w:szCs w:val="28"/>
        </w:rPr>
        <w:t xml:space="preserve">the very considerable </w:t>
      </w:r>
      <w:r w:rsidR="002071FE" w:rsidRPr="00E41C69">
        <w:rPr>
          <w:rFonts w:cstheme="minorHAnsi"/>
          <w:sz w:val="28"/>
          <w:szCs w:val="28"/>
        </w:rPr>
        <w:t xml:space="preserve">academic and </w:t>
      </w:r>
      <w:r w:rsidRPr="00E41C69">
        <w:rPr>
          <w:rFonts w:cstheme="minorHAnsi"/>
          <w:sz w:val="28"/>
          <w:szCs w:val="28"/>
        </w:rPr>
        <w:t>media attention given to the establishment of overseas branch campuses by UK and other universities, HESA data shows only very modest growth during</w:t>
      </w:r>
      <w:r w:rsidR="007E546A" w:rsidRPr="00E41C69">
        <w:rPr>
          <w:rFonts w:cstheme="minorHAnsi"/>
          <w:sz w:val="28"/>
          <w:szCs w:val="28"/>
        </w:rPr>
        <w:t xml:space="preserve"> this period with OBC enrolment</w:t>
      </w:r>
      <w:r w:rsidRPr="00E41C69">
        <w:rPr>
          <w:rFonts w:cstheme="minorHAnsi"/>
          <w:sz w:val="28"/>
          <w:szCs w:val="28"/>
        </w:rPr>
        <w:t xml:space="preserve"> at UK universities accounting for just 7% of total </w:t>
      </w:r>
      <w:r w:rsidR="00494069" w:rsidRPr="00E41C69">
        <w:rPr>
          <w:rFonts w:cstheme="minorHAnsi"/>
          <w:sz w:val="28"/>
          <w:szCs w:val="28"/>
        </w:rPr>
        <w:t>offshore provision</w:t>
      </w:r>
      <w:r w:rsidRPr="00E41C69">
        <w:rPr>
          <w:rFonts w:cstheme="minorHAnsi"/>
          <w:sz w:val="28"/>
          <w:szCs w:val="28"/>
        </w:rPr>
        <w:t xml:space="preserve"> in 2016/17.</w:t>
      </w:r>
      <w:r w:rsidR="004258C4" w:rsidRPr="00E41C69">
        <w:rPr>
          <w:rFonts w:cstheme="minorHAnsi"/>
          <w:sz w:val="28"/>
          <w:szCs w:val="28"/>
        </w:rPr>
        <w:t xml:space="preserve"> OBC was the ‘predo</w:t>
      </w:r>
      <w:r w:rsidR="002071FE" w:rsidRPr="00E41C69">
        <w:rPr>
          <w:rFonts w:cstheme="minorHAnsi"/>
          <w:sz w:val="28"/>
          <w:szCs w:val="28"/>
        </w:rPr>
        <w:t>minant’ form of o</w:t>
      </w:r>
      <w:r w:rsidR="004258C4" w:rsidRPr="00E41C69">
        <w:rPr>
          <w:rFonts w:cstheme="minorHAnsi"/>
          <w:sz w:val="28"/>
          <w:szCs w:val="28"/>
        </w:rPr>
        <w:t>ff</w:t>
      </w:r>
      <w:r w:rsidR="002071FE" w:rsidRPr="00E41C69">
        <w:rPr>
          <w:rFonts w:cstheme="minorHAnsi"/>
          <w:sz w:val="28"/>
          <w:szCs w:val="28"/>
        </w:rPr>
        <w:t xml:space="preserve">shore </w:t>
      </w:r>
      <w:r w:rsidR="00494069" w:rsidRPr="00E41C69">
        <w:rPr>
          <w:rFonts w:cstheme="minorHAnsi"/>
          <w:sz w:val="28"/>
          <w:szCs w:val="28"/>
        </w:rPr>
        <w:t xml:space="preserve">provision at only </w:t>
      </w:r>
      <w:r w:rsidR="004258C4" w:rsidRPr="00E41C69">
        <w:rPr>
          <w:rFonts w:cstheme="minorHAnsi"/>
          <w:sz w:val="28"/>
          <w:szCs w:val="28"/>
        </w:rPr>
        <w:t xml:space="preserve">three </w:t>
      </w:r>
      <w:r w:rsidR="002071FE" w:rsidRPr="00E41C69">
        <w:rPr>
          <w:rFonts w:cstheme="minorHAnsi"/>
          <w:sz w:val="28"/>
          <w:szCs w:val="28"/>
        </w:rPr>
        <w:t xml:space="preserve">UK </w:t>
      </w:r>
      <w:r w:rsidR="004258C4" w:rsidRPr="00E41C69">
        <w:rPr>
          <w:rFonts w:cstheme="minorHAnsi"/>
          <w:sz w:val="28"/>
          <w:szCs w:val="28"/>
        </w:rPr>
        <w:t>universities</w:t>
      </w:r>
      <w:r w:rsidR="00F125F1">
        <w:rPr>
          <w:rFonts w:cstheme="minorHAnsi"/>
          <w:sz w:val="28"/>
          <w:szCs w:val="28"/>
        </w:rPr>
        <w:t xml:space="preserve"> (see table 2</w:t>
      </w:r>
      <w:r w:rsidR="00E835B4">
        <w:rPr>
          <w:rFonts w:cstheme="minorHAnsi"/>
          <w:sz w:val="28"/>
          <w:szCs w:val="28"/>
        </w:rPr>
        <w:t>)</w:t>
      </w:r>
      <w:r w:rsidR="004258C4" w:rsidRPr="00E41C69">
        <w:rPr>
          <w:rFonts w:cstheme="minorHAnsi"/>
          <w:sz w:val="28"/>
          <w:szCs w:val="28"/>
        </w:rPr>
        <w:t xml:space="preserve">. </w:t>
      </w:r>
      <w:r w:rsidRPr="00E41C69">
        <w:rPr>
          <w:rFonts w:cstheme="minorHAnsi"/>
          <w:sz w:val="28"/>
          <w:szCs w:val="28"/>
        </w:rPr>
        <w:t xml:space="preserve"> </w:t>
      </w:r>
    </w:p>
    <w:p w14:paraId="3F15E5C5" w14:textId="2B2D9A17" w:rsidR="007D6DF8" w:rsidRPr="00E41C69" w:rsidRDefault="00045343" w:rsidP="009137B4">
      <w:pPr>
        <w:pStyle w:val="Heading2"/>
      </w:pPr>
      <w:bookmarkStart w:id="13" w:name="_Toc531957309"/>
      <w:r>
        <w:t>4</w:t>
      </w:r>
      <w:r w:rsidR="00CC5801">
        <w:t xml:space="preserve">.2 </w:t>
      </w:r>
      <w:r w:rsidR="00A40FB6" w:rsidRPr="00E41C69">
        <w:t>ENROLMENTS</w:t>
      </w:r>
      <w:bookmarkEnd w:id="13"/>
    </w:p>
    <w:p w14:paraId="674673B2" w14:textId="77777777" w:rsidR="001F62C5" w:rsidRDefault="001F62C5" w:rsidP="00871A90">
      <w:pPr>
        <w:jc w:val="both"/>
        <w:rPr>
          <w:rFonts w:cstheme="minorHAnsi"/>
          <w:sz w:val="28"/>
          <w:szCs w:val="28"/>
        </w:rPr>
      </w:pPr>
      <w:r>
        <w:rPr>
          <w:rFonts w:cstheme="minorHAnsi"/>
          <w:b/>
          <w:sz w:val="28"/>
          <w:szCs w:val="28"/>
        </w:rPr>
        <w:t xml:space="preserve">4.2.1 </w:t>
      </w:r>
      <w:r w:rsidR="007D6DF8" w:rsidRPr="00E41C69">
        <w:rPr>
          <w:rFonts w:cstheme="minorHAnsi"/>
          <w:b/>
          <w:sz w:val="28"/>
          <w:szCs w:val="28"/>
        </w:rPr>
        <w:t>Enrolment distribution</w:t>
      </w:r>
    </w:p>
    <w:p w14:paraId="53F6D05E" w14:textId="14D15C0B" w:rsidR="009F4CAA" w:rsidRDefault="007E546A" w:rsidP="00871A90">
      <w:pPr>
        <w:jc w:val="both"/>
      </w:pPr>
      <w:r w:rsidRPr="00E41C69">
        <w:rPr>
          <w:rFonts w:cstheme="minorHAnsi"/>
          <w:sz w:val="28"/>
          <w:szCs w:val="28"/>
        </w:rPr>
        <w:t>Twenty-</w:t>
      </w:r>
      <w:r w:rsidR="004C7435" w:rsidRPr="00E41C69">
        <w:rPr>
          <w:rFonts w:cstheme="minorHAnsi"/>
          <w:sz w:val="28"/>
          <w:szCs w:val="28"/>
        </w:rPr>
        <w:t>one</w:t>
      </w:r>
      <w:r w:rsidR="004C7435" w:rsidRPr="00E41C69">
        <w:rPr>
          <w:rFonts w:cstheme="minorHAnsi"/>
          <w:b/>
          <w:sz w:val="28"/>
          <w:szCs w:val="28"/>
        </w:rPr>
        <w:t xml:space="preserve"> </w:t>
      </w:r>
      <w:r w:rsidR="00D34469" w:rsidRPr="00E41C69">
        <w:rPr>
          <w:rFonts w:cstheme="minorHAnsi"/>
          <w:sz w:val="28"/>
          <w:szCs w:val="28"/>
        </w:rPr>
        <w:t xml:space="preserve">UK universities had more than 5,000 offshore students in 2015/16 (see table </w:t>
      </w:r>
      <w:r w:rsidR="006E6BD2">
        <w:rPr>
          <w:rFonts w:cstheme="minorHAnsi"/>
          <w:sz w:val="28"/>
          <w:szCs w:val="28"/>
        </w:rPr>
        <w:t>4</w:t>
      </w:r>
      <w:r w:rsidR="004C7435" w:rsidRPr="00E41C69">
        <w:rPr>
          <w:rFonts w:cstheme="minorHAnsi"/>
          <w:sz w:val="28"/>
          <w:szCs w:val="28"/>
        </w:rPr>
        <w:t>). Between them, these universities accounted for almost three-qu</w:t>
      </w:r>
      <w:r w:rsidR="002071FE" w:rsidRPr="00E41C69">
        <w:rPr>
          <w:rFonts w:cstheme="minorHAnsi"/>
          <w:sz w:val="28"/>
          <w:szCs w:val="28"/>
        </w:rPr>
        <w:t xml:space="preserve">arters of </w:t>
      </w:r>
      <w:r w:rsidR="00DB5737" w:rsidRPr="00E41C69">
        <w:rPr>
          <w:rFonts w:cstheme="minorHAnsi"/>
          <w:sz w:val="28"/>
          <w:szCs w:val="28"/>
        </w:rPr>
        <w:t xml:space="preserve">all </w:t>
      </w:r>
      <w:r w:rsidR="002071FE" w:rsidRPr="00E41C69">
        <w:rPr>
          <w:rFonts w:cstheme="minorHAnsi"/>
          <w:sz w:val="28"/>
          <w:szCs w:val="28"/>
        </w:rPr>
        <w:t>offshore enrolme</w:t>
      </w:r>
      <w:r w:rsidR="004C7435" w:rsidRPr="00E41C69">
        <w:rPr>
          <w:rFonts w:cstheme="minorHAnsi"/>
          <w:sz w:val="28"/>
          <w:szCs w:val="28"/>
        </w:rPr>
        <w:t>nts.</w:t>
      </w:r>
      <w:r w:rsidR="00DB5737" w:rsidRPr="00E41C69">
        <w:rPr>
          <w:rFonts w:cstheme="minorHAnsi"/>
          <w:sz w:val="28"/>
          <w:szCs w:val="28"/>
        </w:rPr>
        <w:t xml:space="preserve"> Slightly more than one-third of universities </w:t>
      </w:r>
      <w:r w:rsidR="00DB5737" w:rsidRPr="00E41C69">
        <w:rPr>
          <w:rFonts w:cstheme="minorHAnsi"/>
          <w:sz w:val="28"/>
          <w:szCs w:val="28"/>
        </w:rPr>
        <w:lastRenderedPageBreak/>
        <w:t>had ‘medium-sized’ offshore enrolments of 1,000-5,000 students which</w:t>
      </w:r>
      <w:r w:rsidR="00CD351F" w:rsidRPr="00E41C69">
        <w:rPr>
          <w:rFonts w:cstheme="minorHAnsi"/>
          <w:sz w:val="28"/>
          <w:szCs w:val="28"/>
        </w:rPr>
        <w:t>,</w:t>
      </w:r>
      <w:r w:rsidR="00DB5737" w:rsidRPr="00E41C69">
        <w:rPr>
          <w:rFonts w:cstheme="minorHAnsi"/>
          <w:sz w:val="28"/>
          <w:szCs w:val="28"/>
        </w:rPr>
        <w:t xml:space="preserve"> in total</w:t>
      </w:r>
      <w:r w:rsidR="00CD351F" w:rsidRPr="00E41C69">
        <w:rPr>
          <w:rFonts w:cstheme="minorHAnsi"/>
          <w:sz w:val="28"/>
          <w:szCs w:val="28"/>
        </w:rPr>
        <w:t>, amounted to one-</w:t>
      </w:r>
      <w:r w:rsidR="00DB5737" w:rsidRPr="00E41C69">
        <w:rPr>
          <w:rFonts w:cstheme="minorHAnsi"/>
          <w:sz w:val="28"/>
          <w:szCs w:val="28"/>
        </w:rPr>
        <w:t>quarter of all offshore enrolments. The remaining 43% of universities with less than 1,000</w:t>
      </w:r>
      <w:r w:rsidR="00CD351F" w:rsidRPr="00E41C69">
        <w:rPr>
          <w:rFonts w:cstheme="minorHAnsi"/>
          <w:sz w:val="28"/>
          <w:szCs w:val="28"/>
        </w:rPr>
        <w:t xml:space="preserve"> offshore students</w:t>
      </w:r>
      <w:r w:rsidR="00DB5737" w:rsidRPr="00E41C69">
        <w:rPr>
          <w:rFonts w:cstheme="minorHAnsi"/>
          <w:sz w:val="28"/>
          <w:szCs w:val="28"/>
        </w:rPr>
        <w:t xml:space="preserve"> (categorised as ‘small’ with 200-999 enrolments and ‘very small’ with 1-199 enrolments)</w:t>
      </w:r>
      <w:r w:rsidR="00CD351F" w:rsidRPr="00E41C69">
        <w:rPr>
          <w:rFonts w:cstheme="minorHAnsi"/>
          <w:sz w:val="28"/>
          <w:szCs w:val="28"/>
        </w:rPr>
        <w:t xml:space="preserve"> accounted for barely two percent of total offshore enrolments. Only a handful of universities had no offshore students whatsoever.</w:t>
      </w:r>
      <w:r w:rsidR="00DB5737" w:rsidRPr="00E41C69">
        <w:rPr>
          <w:rFonts w:cstheme="minorHAnsi"/>
          <w:sz w:val="28"/>
          <w:szCs w:val="28"/>
        </w:rPr>
        <w:t xml:space="preserve"> </w:t>
      </w:r>
    </w:p>
    <w:tbl>
      <w:tblPr>
        <w:tblW w:w="8654" w:type="dxa"/>
        <w:tblLook w:val="04A0" w:firstRow="1" w:lastRow="0" w:firstColumn="1" w:lastColumn="0" w:noHBand="0" w:noVBand="1"/>
      </w:tblPr>
      <w:tblGrid>
        <w:gridCol w:w="1613"/>
        <w:gridCol w:w="1463"/>
        <w:gridCol w:w="1721"/>
        <w:gridCol w:w="957"/>
        <w:gridCol w:w="1721"/>
        <w:gridCol w:w="957"/>
        <w:gridCol w:w="222"/>
      </w:tblGrid>
      <w:tr w:rsidR="006E6BD2" w:rsidRPr="006E6BD2" w14:paraId="5E1C1A9F" w14:textId="77777777" w:rsidTr="00317CC1">
        <w:trPr>
          <w:trHeight w:val="288"/>
        </w:trPr>
        <w:tc>
          <w:tcPr>
            <w:tcW w:w="8654" w:type="dxa"/>
            <w:gridSpan w:val="7"/>
            <w:tcBorders>
              <w:top w:val="nil"/>
              <w:left w:val="nil"/>
              <w:bottom w:val="nil"/>
              <w:right w:val="nil"/>
            </w:tcBorders>
            <w:shd w:val="clear" w:color="auto" w:fill="auto"/>
            <w:noWrap/>
            <w:vAlign w:val="bottom"/>
            <w:hideMark/>
          </w:tcPr>
          <w:p w14:paraId="50080106" w14:textId="54900C68" w:rsidR="006E6BD2" w:rsidRPr="006E6BD2" w:rsidRDefault="00F125F1" w:rsidP="006E6BD2">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 xml:space="preserve">Table </w:t>
            </w:r>
            <w:r w:rsidR="006E6BD2" w:rsidRPr="006E6BD2">
              <w:rPr>
                <w:rFonts w:ascii="Calibri" w:eastAsia="Times New Roman" w:hAnsi="Calibri" w:cs="Calibri"/>
                <w:b/>
                <w:bCs/>
                <w:color w:val="5F735C"/>
                <w:lang w:eastAsia="en-GB"/>
              </w:rPr>
              <w:t xml:space="preserve">4: Share of offshore enrolments by enrolment size category, 2007/08 and 2015/16  </w:t>
            </w:r>
          </w:p>
        </w:tc>
      </w:tr>
      <w:tr w:rsidR="00317CC1" w:rsidRPr="006E6BD2" w14:paraId="4B5CB451" w14:textId="77777777" w:rsidTr="000B15C3">
        <w:trPr>
          <w:trHeight w:val="288"/>
        </w:trPr>
        <w:tc>
          <w:tcPr>
            <w:tcW w:w="1613"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77361EA0" w14:textId="77777777" w:rsidR="00317CC1" w:rsidRPr="006E6BD2" w:rsidRDefault="00317CC1"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Offshore</w:t>
            </w:r>
          </w:p>
        </w:tc>
        <w:tc>
          <w:tcPr>
            <w:tcW w:w="1463" w:type="dxa"/>
            <w:tcBorders>
              <w:top w:val="single" w:sz="4" w:space="0" w:color="FFFFFF"/>
              <w:left w:val="nil"/>
              <w:bottom w:val="single" w:sz="4" w:space="0" w:color="FFFFFF"/>
              <w:right w:val="single" w:sz="4" w:space="0" w:color="FFFFFF"/>
            </w:tcBorders>
            <w:shd w:val="clear" w:color="000000" w:fill="49723B"/>
            <w:noWrap/>
            <w:vAlign w:val="bottom"/>
            <w:hideMark/>
          </w:tcPr>
          <w:p w14:paraId="7241CA4C" w14:textId="77777777" w:rsidR="00317CC1" w:rsidRPr="006E6BD2" w:rsidRDefault="00317CC1"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Offshore</w:t>
            </w:r>
          </w:p>
        </w:tc>
        <w:tc>
          <w:tcPr>
            <w:tcW w:w="2678" w:type="dxa"/>
            <w:gridSpan w:val="2"/>
            <w:tcBorders>
              <w:top w:val="single" w:sz="4" w:space="0" w:color="FFFFFF"/>
              <w:left w:val="nil"/>
              <w:bottom w:val="single" w:sz="4" w:space="0" w:color="FFFFFF"/>
              <w:right w:val="single" w:sz="4" w:space="0" w:color="FFFFFF"/>
            </w:tcBorders>
            <w:shd w:val="clear" w:color="000000" w:fill="49723B"/>
            <w:noWrap/>
            <w:vAlign w:val="bottom"/>
            <w:hideMark/>
          </w:tcPr>
          <w:p w14:paraId="2EDB141D" w14:textId="77777777" w:rsidR="00317CC1" w:rsidRPr="006E6BD2" w:rsidRDefault="00317CC1"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1996/97</w:t>
            </w:r>
          </w:p>
          <w:p w14:paraId="0BFCF6EC" w14:textId="741D9B48" w:rsidR="00317CC1" w:rsidRPr="006E6BD2" w:rsidRDefault="00317CC1"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 </w:t>
            </w:r>
          </w:p>
        </w:tc>
        <w:tc>
          <w:tcPr>
            <w:tcW w:w="2678" w:type="dxa"/>
            <w:gridSpan w:val="2"/>
            <w:tcBorders>
              <w:top w:val="single" w:sz="4" w:space="0" w:color="FFFFFF"/>
              <w:left w:val="nil"/>
              <w:bottom w:val="single" w:sz="4" w:space="0" w:color="FFFFFF"/>
              <w:right w:val="single" w:sz="4" w:space="0" w:color="FFFFFF"/>
            </w:tcBorders>
            <w:shd w:val="clear" w:color="000000" w:fill="49723B"/>
            <w:noWrap/>
            <w:vAlign w:val="bottom"/>
            <w:hideMark/>
          </w:tcPr>
          <w:p w14:paraId="4F9F6437" w14:textId="77777777" w:rsidR="00317CC1" w:rsidRPr="006E6BD2" w:rsidRDefault="00317CC1"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2015/16</w:t>
            </w:r>
          </w:p>
          <w:p w14:paraId="52B9A2E2" w14:textId="78076AF6" w:rsidR="00317CC1" w:rsidRPr="006E6BD2" w:rsidRDefault="00317CC1"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 </w:t>
            </w:r>
          </w:p>
        </w:tc>
        <w:tc>
          <w:tcPr>
            <w:tcW w:w="222" w:type="dxa"/>
            <w:tcBorders>
              <w:top w:val="nil"/>
              <w:left w:val="nil"/>
              <w:bottom w:val="nil"/>
              <w:right w:val="nil"/>
            </w:tcBorders>
            <w:shd w:val="clear" w:color="auto" w:fill="auto"/>
            <w:noWrap/>
            <w:vAlign w:val="bottom"/>
            <w:hideMark/>
          </w:tcPr>
          <w:p w14:paraId="36AAA3DA" w14:textId="77777777" w:rsidR="00317CC1" w:rsidRPr="006E6BD2" w:rsidRDefault="00317CC1" w:rsidP="006E6BD2">
            <w:pPr>
              <w:spacing w:after="0" w:line="240" w:lineRule="auto"/>
              <w:jc w:val="center"/>
              <w:rPr>
                <w:rFonts w:ascii="Calibri" w:eastAsia="Times New Roman" w:hAnsi="Calibri" w:cs="Calibri"/>
                <w:b/>
                <w:bCs/>
                <w:color w:val="FFFFFF"/>
                <w:lang w:eastAsia="en-GB"/>
              </w:rPr>
            </w:pPr>
          </w:p>
        </w:tc>
      </w:tr>
      <w:tr w:rsidR="006E6BD2" w:rsidRPr="006E6BD2" w14:paraId="3AC528E9" w14:textId="77777777" w:rsidTr="00317CC1">
        <w:trPr>
          <w:trHeight w:val="288"/>
        </w:trPr>
        <w:tc>
          <w:tcPr>
            <w:tcW w:w="1613" w:type="dxa"/>
            <w:tcBorders>
              <w:top w:val="nil"/>
              <w:left w:val="single" w:sz="4" w:space="0" w:color="FFFFFF"/>
              <w:bottom w:val="single" w:sz="4" w:space="0" w:color="FFFFFF"/>
              <w:right w:val="single" w:sz="4" w:space="0" w:color="FFFFFF"/>
            </w:tcBorders>
            <w:shd w:val="clear" w:color="000000" w:fill="49723B"/>
            <w:noWrap/>
            <w:vAlign w:val="bottom"/>
            <w:hideMark/>
          </w:tcPr>
          <w:p w14:paraId="3E7E6443"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size category</w:t>
            </w:r>
          </w:p>
        </w:tc>
        <w:tc>
          <w:tcPr>
            <w:tcW w:w="1463" w:type="dxa"/>
            <w:tcBorders>
              <w:top w:val="nil"/>
              <w:left w:val="nil"/>
              <w:bottom w:val="single" w:sz="4" w:space="0" w:color="FFFFFF"/>
              <w:right w:val="single" w:sz="4" w:space="0" w:color="FFFFFF"/>
            </w:tcBorders>
            <w:shd w:val="clear" w:color="000000" w:fill="49723B"/>
            <w:noWrap/>
            <w:vAlign w:val="bottom"/>
            <w:hideMark/>
          </w:tcPr>
          <w:p w14:paraId="11D93A34" w14:textId="4AD9DB89" w:rsidR="006E6BD2" w:rsidRPr="006E6BD2" w:rsidRDefault="009F4CAA"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E</w:t>
            </w:r>
            <w:r w:rsidR="006E6BD2" w:rsidRPr="006E6BD2">
              <w:rPr>
                <w:rFonts w:ascii="Calibri" w:eastAsia="Times New Roman" w:hAnsi="Calibri" w:cs="Calibri"/>
                <w:b/>
                <w:bCs/>
                <w:color w:val="FFFFFF"/>
                <w:lang w:eastAsia="en-GB"/>
              </w:rPr>
              <w:t>nrolment</w:t>
            </w:r>
          </w:p>
        </w:tc>
        <w:tc>
          <w:tcPr>
            <w:tcW w:w="1721" w:type="dxa"/>
            <w:tcBorders>
              <w:top w:val="nil"/>
              <w:left w:val="nil"/>
              <w:bottom w:val="single" w:sz="4" w:space="0" w:color="FFFFFF"/>
              <w:right w:val="single" w:sz="4" w:space="0" w:color="FFFFFF"/>
            </w:tcBorders>
            <w:shd w:val="clear" w:color="000000" w:fill="49723B"/>
            <w:noWrap/>
            <w:vAlign w:val="bottom"/>
            <w:hideMark/>
          </w:tcPr>
          <w:p w14:paraId="559AAAE4"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 universities</w:t>
            </w:r>
          </w:p>
        </w:tc>
        <w:tc>
          <w:tcPr>
            <w:tcW w:w="957" w:type="dxa"/>
            <w:tcBorders>
              <w:top w:val="nil"/>
              <w:left w:val="nil"/>
              <w:bottom w:val="single" w:sz="4" w:space="0" w:color="FFFFFF"/>
              <w:right w:val="single" w:sz="4" w:space="0" w:color="FFFFFF"/>
            </w:tcBorders>
            <w:shd w:val="clear" w:color="000000" w:fill="49723B"/>
            <w:noWrap/>
            <w:vAlign w:val="bottom"/>
            <w:hideMark/>
          </w:tcPr>
          <w:p w14:paraId="299ACA0A"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 enrol</w:t>
            </w:r>
          </w:p>
        </w:tc>
        <w:tc>
          <w:tcPr>
            <w:tcW w:w="1721" w:type="dxa"/>
            <w:tcBorders>
              <w:top w:val="nil"/>
              <w:left w:val="nil"/>
              <w:bottom w:val="single" w:sz="4" w:space="0" w:color="FFFFFF"/>
              <w:right w:val="single" w:sz="4" w:space="0" w:color="FFFFFF"/>
            </w:tcBorders>
            <w:shd w:val="clear" w:color="000000" w:fill="49723B"/>
            <w:noWrap/>
            <w:vAlign w:val="bottom"/>
            <w:hideMark/>
          </w:tcPr>
          <w:p w14:paraId="3245B9F9"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 universities</w:t>
            </w:r>
          </w:p>
        </w:tc>
        <w:tc>
          <w:tcPr>
            <w:tcW w:w="957" w:type="dxa"/>
            <w:tcBorders>
              <w:top w:val="nil"/>
              <w:left w:val="nil"/>
              <w:bottom w:val="single" w:sz="4" w:space="0" w:color="FFFFFF"/>
              <w:right w:val="single" w:sz="4" w:space="0" w:color="FFFFFF"/>
            </w:tcBorders>
            <w:shd w:val="clear" w:color="000000" w:fill="49723B"/>
            <w:noWrap/>
            <w:vAlign w:val="bottom"/>
            <w:hideMark/>
          </w:tcPr>
          <w:p w14:paraId="37FC6537"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 enrol</w:t>
            </w:r>
          </w:p>
        </w:tc>
        <w:tc>
          <w:tcPr>
            <w:tcW w:w="222" w:type="dxa"/>
            <w:tcBorders>
              <w:top w:val="nil"/>
              <w:left w:val="nil"/>
              <w:bottom w:val="nil"/>
              <w:right w:val="nil"/>
            </w:tcBorders>
            <w:shd w:val="clear" w:color="auto" w:fill="auto"/>
            <w:noWrap/>
            <w:vAlign w:val="bottom"/>
            <w:hideMark/>
          </w:tcPr>
          <w:p w14:paraId="68C3CE10"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p>
        </w:tc>
      </w:tr>
      <w:tr w:rsidR="006E6BD2" w:rsidRPr="006E6BD2" w14:paraId="6393FC91" w14:textId="77777777" w:rsidTr="00317CC1">
        <w:trPr>
          <w:trHeight w:val="288"/>
        </w:trPr>
        <w:tc>
          <w:tcPr>
            <w:tcW w:w="1613" w:type="dxa"/>
            <w:tcBorders>
              <w:top w:val="nil"/>
              <w:left w:val="single" w:sz="4" w:space="0" w:color="FFFFFF"/>
              <w:bottom w:val="single" w:sz="4" w:space="0" w:color="FFFFFF"/>
              <w:right w:val="single" w:sz="4" w:space="0" w:color="FFFFFF"/>
            </w:tcBorders>
            <w:shd w:val="clear" w:color="000000" w:fill="49723B"/>
            <w:noWrap/>
            <w:vAlign w:val="bottom"/>
            <w:hideMark/>
          </w:tcPr>
          <w:p w14:paraId="38BF381B"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Very large</w:t>
            </w:r>
          </w:p>
        </w:tc>
        <w:tc>
          <w:tcPr>
            <w:tcW w:w="1463" w:type="dxa"/>
            <w:tcBorders>
              <w:top w:val="nil"/>
              <w:left w:val="nil"/>
              <w:bottom w:val="single" w:sz="4" w:space="0" w:color="FFFFFF"/>
              <w:right w:val="single" w:sz="4" w:space="0" w:color="FFFFFF"/>
            </w:tcBorders>
            <w:shd w:val="clear" w:color="000000" w:fill="EFEAE6"/>
            <w:noWrap/>
            <w:vAlign w:val="bottom"/>
            <w:hideMark/>
          </w:tcPr>
          <w:p w14:paraId="1AD825E6"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10,000&gt;</w:t>
            </w:r>
          </w:p>
        </w:tc>
        <w:tc>
          <w:tcPr>
            <w:tcW w:w="1721" w:type="dxa"/>
            <w:tcBorders>
              <w:top w:val="nil"/>
              <w:left w:val="nil"/>
              <w:bottom w:val="single" w:sz="4" w:space="0" w:color="FFFFFF"/>
              <w:right w:val="single" w:sz="4" w:space="0" w:color="FFFFFF"/>
            </w:tcBorders>
            <w:shd w:val="clear" w:color="000000" w:fill="EFEAE6"/>
            <w:noWrap/>
            <w:vAlign w:val="bottom"/>
            <w:hideMark/>
          </w:tcPr>
          <w:p w14:paraId="7132A3F8"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4</w:t>
            </w:r>
          </w:p>
        </w:tc>
        <w:tc>
          <w:tcPr>
            <w:tcW w:w="957" w:type="dxa"/>
            <w:tcBorders>
              <w:top w:val="nil"/>
              <w:left w:val="nil"/>
              <w:bottom w:val="single" w:sz="4" w:space="0" w:color="FFFFFF"/>
              <w:right w:val="single" w:sz="4" w:space="0" w:color="FFFFFF"/>
            </w:tcBorders>
            <w:shd w:val="clear" w:color="000000" w:fill="EFEAE6"/>
            <w:noWrap/>
            <w:vAlign w:val="bottom"/>
            <w:hideMark/>
          </w:tcPr>
          <w:p w14:paraId="3EC962DF"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42</w:t>
            </w:r>
          </w:p>
        </w:tc>
        <w:tc>
          <w:tcPr>
            <w:tcW w:w="1721" w:type="dxa"/>
            <w:tcBorders>
              <w:top w:val="nil"/>
              <w:left w:val="nil"/>
              <w:bottom w:val="single" w:sz="4" w:space="0" w:color="FFFFFF"/>
              <w:right w:val="single" w:sz="4" w:space="0" w:color="FFFFFF"/>
            </w:tcBorders>
            <w:shd w:val="clear" w:color="000000" w:fill="EFEAE6"/>
            <w:noWrap/>
            <w:vAlign w:val="bottom"/>
            <w:hideMark/>
          </w:tcPr>
          <w:p w14:paraId="4EE2CF91"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8</w:t>
            </w:r>
          </w:p>
        </w:tc>
        <w:tc>
          <w:tcPr>
            <w:tcW w:w="957" w:type="dxa"/>
            <w:tcBorders>
              <w:top w:val="nil"/>
              <w:left w:val="nil"/>
              <w:bottom w:val="single" w:sz="4" w:space="0" w:color="FFFFFF"/>
              <w:right w:val="single" w:sz="4" w:space="0" w:color="FFFFFF"/>
            </w:tcBorders>
            <w:shd w:val="clear" w:color="000000" w:fill="EFEAE6"/>
            <w:noWrap/>
            <w:vAlign w:val="bottom"/>
            <w:hideMark/>
          </w:tcPr>
          <w:p w14:paraId="6E41BD3F"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47</w:t>
            </w:r>
          </w:p>
        </w:tc>
        <w:tc>
          <w:tcPr>
            <w:tcW w:w="222" w:type="dxa"/>
            <w:tcBorders>
              <w:top w:val="nil"/>
              <w:left w:val="nil"/>
              <w:bottom w:val="nil"/>
              <w:right w:val="nil"/>
            </w:tcBorders>
            <w:shd w:val="clear" w:color="auto" w:fill="auto"/>
            <w:noWrap/>
            <w:vAlign w:val="bottom"/>
            <w:hideMark/>
          </w:tcPr>
          <w:p w14:paraId="6B061657" w14:textId="77777777" w:rsidR="006E6BD2" w:rsidRPr="006E6BD2" w:rsidRDefault="006E6BD2" w:rsidP="006E6BD2">
            <w:pPr>
              <w:spacing w:after="0" w:line="240" w:lineRule="auto"/>
              <w:jc w:val="center"/>
              <w:rPr>
                <w:rFonts w:ascii="Calibri" w:eastAsia="Times New Roman" w:hAnsi="Calibri" w:cs="Calibri"/>
                <w:color w:val="000000"/>
                <w:lang w:eastAsia="en-GB"/>
              </w:rPr>
            </w:pPr>
          </w:p>
        </w:tc>
      </w:tr>
      <w:tr w:rsidR="006E6BD2" w:rsidRPr="006E6BD2" w14:paraId="41525CDB" w14:textId="77777777" w:rsidTr="00317CC1">
        <w:trPr>
          <w:trHeight w:val="288"/>
        </w:trPr>
        <w:tc>
          <w:tcPr>
            <w:tcW w:w="1613" w:type="dxa"/>
            <w:tcBorders>
              <w:top w:val="nil"/>
              <w:left w:val="single" w:sz="4" w:space="0" w:color="FFFFFF"/>
              <w:bottom w:val="single" w:sz="4" w:space="0" w:color="FFFFFF"/>
              <w:right w:val="single" w:sz="4" w:space="0" w:color="FFFFFF"/>
            </w:tcBorders>
            <w:shd w:val="clear" w:color="000000" w:fill="49723B"/>
            <w:noWrap/>
            <w:vAlign w:val="bottom"/>
            <w:hideMark/>
          </w:tcPr>
          <w:p w14:paraId="3F4D3558"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Large</w:t>
            </w:r>
          </w:p>
        </w:tc>
        <w:tc>
          <w:tcPr>
            <w:tcW w:w="1463" w:type="dxa"/>
            <w:tcBorders>
              <w:top w:val="nil"/>
              <w:left w:val="nil"/>
              <w:bottom w:val="single" w:sz="4" w:space="0" w:color="FFFFFF"/>
              <w:right w:val="single" w:sz="4" w:space="0" w:color="FFFFFF"/>
            </w:tcBorders>
            <w:shd w:val="clear" w:color="000000" w:fill="EFEAE6"/>
            <w:noWrap/>
            <w:vAlign w:val="bottom"/>
            <w:hideMark/>
          </w:tcPr>
          <w:p w14:paraId="100455AD"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5,000-9,999</w:t>
            </w:r>
          </w:p>
        </w:tc>
        <w:tc>
          <w:tcPr>
            <w:tcW w:w="1721" w:type="dxa"/>
            <w:tcBorders>
              <w:top w:val="nil"/>
              <w:left w:val="nil"/>
              <w:bottom w:val="single" w:sz="4" w:space="0" w:color="FFFFFF"/>
              <w:right w:val="single" w:sz="4" w:space="0" w:color="FFFFFF"/>
            </w:tcBorders>
            <w:shd w:val="clear" w:color="000000" w:fill="EFEAE6"/>
            <w:noWrap/>
            <w:vAlign w:val="bottom"/>
            <w:hideMark/>
          </w:tcPr>
          <w:p w14:paraId="1157861F"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5</w:t>
            </w:r>
          </w:p>
        </w:tc>
        <w:tc>
          <w:tcPr>
            <w:tcW w:w="957" w:type="dxa"/>
            <w:tcBorders>
              <w:top w:val="nil"/>
              <w:left w:val="nil"/>
              <w:bottom w:val="single" w:sz="4" w:space="0" w:color="FFFFFF"/>
              <w:right w:val="single" w:sz="4" w:space="0" w:color="FFFFFF"/>
            </w:tcBorders>
            <w:shd w:val="clear" w:color="000000" w:fill="EFEAE6"/>
            <w:noWrap/>
            <w:vAlign w:val="bottom"/>
            <w:hideMark/>
          </w:tcPr>
          <w:p w14:paraId="65C1168C"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18</w:t>
            </w:r>
          </w:p>
        </w:tc>
        <w:tc>
          <w:tcPr>
            <w:tcW w:w="1721" w:type="dxa"/>
            <w:tcBorders>
              <w:top w:val="nil"/>
              <w:left w:val="nil"/>
              <w:bottom w:val="single" w:sz="4" w:space="0" w:color="FFFFFF"/>
              <w:right w:val="single" w:sz="4" w:space="0" w:color="FFFFFF"/>
            </w:tcBorders>
            <w:shd w:val="clear" w:color="000000" w:fill="EFEAE6"/>
            <w:noWrap/>
            <w:vAlign w:val="bottom"/>
            <w:hideMark/>
          </w:tcPr>
          <w:p w14:paraId="3B8AD70B"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12</w:t>
            </w:r>
          </w:p>
        </w:tc>
        <w:tc>
          <w:tcPr>
            <w:tcW w:w="957" w:type="dxa"/>
            <w:tcBorders>
              <w:top w:val="nil"/>
              <w:left w:val="nil"/>
              <w:bottom w:val="single" w:sz="4" w:space="0" w:color="FFFFFF"/>
              <w:right w:val="single" w:sz="4" w:space="0" w:color="FFFFFF"/>
            </w:tcBorders>
            <w:shd w:val="clear" w:color="000000" w:fill="EFEAE6"/>
            <w:noWrap/>
            <w:vAlign w:val="bottom"/>
            <w:hideMark/>
          </w:tcPr>
          <w:p w14:paraId="5868A732"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25</w:t>
            </w:r>
          </w:p>
        </w:tc>
        <w:tc>
          <w:tcPr>
            <w:tcW w:w="222" w:type="dxa"/>
            <w:tcBorders>
              <w:top w:val="nil"/>
              <w:left w:val="nil"/>
              <w:bottom w:val="nil"/>
              <w:right w:val="nil"/>
            </w:tcBorders>
            <w:shd w:val="clear" w:color="auto" w:fill="auto"/>
            <w:noWrap/>
            <w:vAlign w:val="bottom"/>
            <w:hideMark/>
          </w:tcPr>
          <w:p w14:paraId="41E32013" w14:textId="77777777" w:rsidR="006E6BD2" w:rsidRPr="006E6BD2" w:rsidRDefault="006E6BD2" w:rsidP="006E6BD2">
            <w:pPr>
              <w:spacing w:after="0" w:line="240" w:lineRule="auto"/>
              <w:jc w:val="center"/>
              <w:rPr>
                <w:rFonts w:ascii="Calibri" w:eastAsia="Times New Roman" w:hAnsi="Calibri" w:cs="Calibri"/>
                <w:color w:val="000000"/>
                <w:lang w:eastAsia="en-GB"/>
              </w:rPr>
            </w:pPr>
          </w:p>
        </w:tc>
      </w:tr>
      <w:tr w:rsidR="006E6BD2" w:rsidRPr="006E6BD2" w14:paraId="1E5003DE" w14:textId="77777777" w:rsidTr="00317CC1">
        <w:trPr>
          <w:trHeight w:val="288"/>
        </w:trPr>
        <w:tc>
          <w:tcPr>
            <w:tcW w:w="1613" w:type="dxa"/>
            <w:tcBorders>
              <w:top w:val="nil"/>
              <w:left w:val="single" w:sz="4" w:space="0" w:color="FFFFFF"/>
              <w:bottom w:val="single" w:sz="4" w:space="0" w:color="FFFFFF"/>
              <w:right w:val="single" w:sz="4" w:space="0" w:color="FFFFFF"/>
            </w:tcBorders>
            <w:shd w:val="clear" w:color="000000" w:fill="49723B"/>
            <w:noWrap/>
            <w:vAlign w:val="bottom"/>
            <w:hideMark/>
          </w:tcPr>
          <w:p w14:paraId="0FC1233D"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Medium</w:t>
            </w:r>
          </w:p>
        </w:tc>
        <w:tc>
          <w:tcPr>
            <w:tcW w:w="1463" w:type="dxa"/>
            <w:tcBorders>
              <w:top w:val="nil"/>
              <w:left w:val="nil"/>
              <w:bottom w:val="single" w:sz="4" w:space="0" w:color="FFFFFF"/>
              <w:right w:val="single" w:sz="4" w:space="0" w:color="FFFFFF"/>
            </w:tcBorders>
            <w:shd w:val="clear" w:color="000000" w:fill="EFEAE6"/>
            <w:noWrap/>
            <w:vAlign w:val="bottom"/>
            <w:hideMark/>
          </w:tcPr>
          <w:p w14:paraId="7F71A14A"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1,000-4,999</w:t>
            </w:r>
          </w:p>
        </w:tc>
        <w:tc>
          <w:tcPr>
            <w:tcW w:w="1721" w:type="dxa"/>
            <w:tcBorders>
              <w:top w:val="nil"/>
              <w:left w:val="nil"/>
              <w:bottom w:val="single" w:sz="4" w:space="0" w:color="FFFFFF"/>
              <w:right w:val="single" w:sz="4" w:space="0" w:color="FFFFFF"/>
            </w:tcBorders>
            <w:shd w:val="clear" w:color="000000" w:fill="EFEAE6"/>
            <w:noWrap/>
            <w:vAlign w:val="bottom"/>
            <w:hideMark/>
          </w:tcPr>
          <w:p w14:paraId="454594AF"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24</w:t>
            </w:r>
          </w:p>
        </w:tc>
        <w:tc>
          <w:tcPr>
            <w:tcW w:w="957" w:type="dxa"/>
            <w:tcBorders>
              <w:top w:val="nil"/>
              <w:left w:val="nil"/>
              <w:bottom w:val="single" w:sz="4" w:space="0" w:color="FFFFFF"/>
              <w:right w:val="single" w:sz="4" w:space="0" w:color="FFFFFF"/>
            </w:tcBorders>
            <w:shd w:val="clear" w:color="000000" w:fill="EFEAE6"/>
            <w:noWrap/>
            <w:vAlign w:val="bottom"/>
            <w:hideMark/>
          </w:tcPr>
          <w:p w14:paraId="1965E0B5"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31</w:t>
            </w:r>
          </w:p>
        </w:tc>
        <w:tc>
          <w:tcPr>
            <w:tcW w:w="1721" w:type="dxa"/>
            <w:tcBorders>
              <w:top w:val="nil"/>
              <w:left w:val="nil"/>
              <w:bottom w:val="single" w:sz="4" w:space="0" w:color="FFFFFF"/>
              <w:right w:val="single" w:sz="4" w:space="0" w:color="FFFFFF"/>
            </w:tcBorders>
            <w:shd w:val="clear" w:color="000000" w:fill="EFEAE6"/>
            <w:noWrap/>
            <w:vAlign w:val="bottom"/>
            <w:hideMark/>
          </w:tcPr>
          <w:p w14:paraId="746A3F24"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38</w:t>
            </w:r>
          </w:p>
        </w:tc>
        <w:tc>
          <w:tcPr>
            <w:tcW w:w="957" w:type="dxa"/>
            <w:tcBorders>
              <w:top w:val="nil"/>
              <w:left w:val="nil"/>
              <w:bottom w:val="single" w:sz="4" w:space="0" w:color="FFFFFF"/>
              <w:right w:val="single" w:sz="4" w:space="0" w:color="FFFFFF"/>
            </w:tcBorders>
            <w:shd w:val="clear" w:color="000000" w:fill="EFEAE6"/>
            <w:noWrap/>
            <w:vAlign w:val="bottom"/>
            <w:hideMark/>
          </w:tcPr>
          <w:p w14:paraId="2B053B8B"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26</w:t>
            </w:r>
          </w:p>
        </w:tc>
        <w:tc>
          <w:tcPr>
            <w:tcW w:w="222" w:type="dxa"/>
            <w:tcBorders>
              <w:top w:val="nil"/>
              <w:left w:val="nil"/>
              <w:bottom w:val="nil"/>
              <w:right w:val="nil"/>
            </w:tcBorders>
            <w:shd w:val="clear" w:color="auto" w:fill="auto"/>
            <w:noWrap/>
            <w:vAlign w:val="bottom"/>
            <w:hideMark/>
          </w:tcPr>
          <w:p w14:paraId="02CA19E4" w14:textId="77777777" w:rsidR="006E6BD2" w:rsidRPr="006E6BD2" w:rsidRDefault="006E6BD2" w:rsidP="006E6BD2">
            <w:pPr>
              <w:spacing w:after="0" w:line="240" w:lineRule="auto"/>
              <w:jc w:val="center"/>
              <w:rPr>
                <w:rFonts w:ascii="Calibri" w:eastAsia="Times New Roman" w:hAnsi="Calibri" w:cs="Calibri"/>
                <w:color w:val="000000"/>
                <w:lang w:eastAsia="en-GB"/>
              </w:rPr>
            </w:pPr>
          </w:p>
        </w:tc>
      </w:tr>
      <w:tr w:rsidR="006E6BD2" w:rsidRPr="006E6BD2" w14:paraId="6635AC1F" w14:textId="77777777" w:rsidTr="00317CC1">
        <w:trPr>
          <w:trHeight w:val="288"/>
        </w:trPr>
        <w:tc>
          <w:tcPr>
            <w:tcW w:w="1613" w:type="dxa"/>
            <w:tcBorders>
              <w:top w:val="nil"/>
              <w:left w:val="single" w:sz="4" w:space="0" w:color="FFFFFF"/>
              <w:bottom w:val="single" w:sz="4" w:space="0" w:color="FFFFFF"/>
              <w:right w:val="single" w:sz="4" w:space="0" w:color="FFFFFF"/>
            </w:tcBorders>
            <w:shd w:val="clear" w:color="000000" w:fill="49723B"/>
            <w:noWrap/>
            <w:vAlign w:val="bottom"/>
            <w:hideMark/>
          </w:tcPr>
          <w:p w14:paraId="7EB10C6D"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Small</w:t>
            </w:r>
          </w:p>
        </w:tc>
        <w:tc>
          <w:tcPr>
            <w:tcW w:w="1463" w:type="dxa"/>
            <w:tcBorders>
              <w:top w:val="nil"/>
              <w:left w:val="nil"/>
              <w:bottom w:val="single" w:sz="4" w:space="0" w:color="FFFFFF"/>
              <w:right w:val="single" w:sz="4" w:space="0" w:color="FFFFFF"/>
            </w:tcBorders>
            <w:shd w:val="clear" w:color="000000" w:fill="EFEAE6"/>
            <w:noWrap/>
            <w:vAlign w:val="bottom"/>
            <w:hideMark/>
          </w:tcPr>
          <w:p w14:paraId="6936ABF4"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200-999</w:t>
            </w:r>
          </w:p>
        </w:tc>
        <w:tc>
          <w:tcPr>
            <w:tcW w:w="1721" w:type="dxa"/>
            <w:tcBorders>
              <w:top w:val="nil"/>
              <w:left w:val="nil"/>
              <w:bottom w:val="single" w:sz="4" w:space="0" w:color="FFFFFF"/>
              <w:right w:val="single" w:sz="4" w:space="0" w:color="FFFFFF"/>
            </w:tcBorders>
            <w:shd w:val="clear" w:color="000000" w:fill="EFEAE6"/>
            <w:noWrap/>
            <w:vAlign w:val="bottom"/>
            <w:hideMark/>
          </w:tcPr>
          <w:p w14:paraId="716FA14E"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34</w:t>
            </w:r>
          </w:p>
        </w:tc>
        <w:tc>
          <w:tcPr>
            <w:tcW w:w="957" w:type="dxa"/>
            <w:tcBorders>
              <w:top w:val="nil"/>
              <w:left w:val="nil"/>
              <w:bottom w:val="single" w:sz="4" w:space="0" w:color="FFFFFF"/>
              <w:right w:val="single" w:sz="4" w:space="0" w:color="FFFFFF"/>
            </w:tcBorders>
            <w:shd w:val="clear" w:color="000000" w:fill="EFEAE6"/>
            <w:noWrap/>
            <w:vAlign w:val="bottom"/>
            <w:hideMark/>
          </w:tcPr>
          <w:p w14:paraId="628C1C3A"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8</w:t>
            </w:r>
          </w:p>
        </w:tc>
        <w:tc>
          <w:tcPr>
            <w:tcW w:w="1721" w:type="dxa"/>
            <w:tcBorders>
              <w:top w:val="nil"/>
              <w:left w:val="nil"/>
              <w:bottom w:val="single" w:sz="4" w:space="0" w:color="FFFFFF"/>
              <w:right w:val="single" w:sz="4" w:space="0" w:color="FFFFFF"/>
            </w:tcBorders>
            <w:shd w:val="clear" w:color="000000" w:fill="EFEAE6"/>
            <w:noWrap/>
            <w:vAlign w:val="bottom"/>
            <w:hideMark/>
          </w:tcPr>
          <w:p w14:paraId="3423D6AE"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32</w:t>
            </w:r>
          </w:p>
        </w:tc>
        <w:tc>
          <w:tcPr>
            <w:tcW w:w="957" w:type="dxa"/>
            <w:tcBorders>
              <w:top w:val="nil"/>
              <w:left w:val="nil"/>
              <w:bottom w:val="single" w:sz="4" w:space="0" w:color="FFFFFF"/>
              <w:right w:val="single" w:sz="4" w:space="0" w:color="FFFFFF"/>
            </w:tcBorders>
            <w:shd w:val="clear" w:color="000000" w:fill="EFEAE6"/>
            <w:noWrap/>
            <w:vAlign w:val="bottom"/>
            <w:hideMark/>
          </w:tcPr>
          <w:p w14:paraId="5DEFA37B"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2</w:t>
            </w:r>
          </w:p>
        </w:tc>
        <w:tc>
          <w:tcPr>
            <w:tcW w:w="222" w:type="dxa"/>
            <w:tcBorders>
              <w:top w:val="nil"/>
              <w:left w:val="nil"/>
              <w:bottom w:val="nil"/>
              <w:right w:val="nil"/>
            </w:tcBorders>
            <w:shd w:val="clear" w:color="auto" w:fill="auto"/>
            <w:noWrap/>
            <w:vAlign w:val="bottom"/>
            <w:hideMark/>
          </w:tcPr>
          <w:p w14:paraId="4D5F9075" w14:textId="77777777" w:rsidR="006E6BD2" w:rsidRPr="006E6BD2" w:rsidRDefault="006E6BD2" w:rsidP="006E6BD2">
            <w:pPr>
              <w:spacing w:after="0" w:line="240" w:lineRule="auto"/>
              <w:jc w:val="center"/>
              <w:rPr>
                <w:rFonts w:ascii="Calibri" w:eastAsia="Times New Roman" w:hAnsi="Calibri" w:cs="Calibri"/>
                <w:color w:val="000000"/>
                <w:lang w:eastAsia="en-GB"/>
              </w:rPr>
            </w:pPr>
          </w:p>
        </w:tc>
      </w:tr>
      <w:tr w:rsidR="006E6BD2" w:rsidRPr="006E6BD2" w14:paraId="46C3C38D" w14:textId="77777777" w:rsidTr="00317CC1">
        <w:trPr>
          <w:trHeight w:val="288"/>
        </w:trPr>
        <w:tc>
          <w:tcPr>
            <w:tcW w:w="1613" w:type="dxa"/>
            <w:tcBorders>
              <w:top w:val="nil"/>
              <w:left w:val="single" w:sz="4" w:space="0" w:color="FFFFFF"/>
              <w:bottom w:val="single" w:sz="4" w:space="0" w:color="FFFFFF"/>
              <w:right w:val="single" w:sz="4" w:space="0" w:color="FFFFFF"/>
            </w:tcBorders>
            <w:shd w:val="clear" w:color="000000" w:fill="49723B"/>
            <w:noWrap/>
            <w:vAlign w:val="bottom"/>
            <w:hideMark/>
          </w:tcPr>
          <w:p w14:paraId="34191660" w14:textId="77777777" w:rsidR="006E6BD2" w:rsidRPr="006E6BD2" w:rsidRDefault="006E6BD2" w:rsidP="006E6BD2">
            <w:pPr>
              <w:spacing w:after="0" w:line="240" w:lineRule="auto"/>
              <w:jc w:val="center"/>
              <w:rPr>
                <w:rFonts w:ascii="Calibri" w:eastAsia="Times New Roman" w:hAnsi="Calibri" w:cs="Calibri"/>
                <w:b/>
                <w:bCs/>
                <w:color w:val="FFFFFF"/>
                <w:lang w:eastAsia="en-GB"/>
              </w:rPr>
            </w:pPr>
            <w:r w:rsidRPr="006E6BD2">
              <w:rPr>
                <w:rFonts w:ascii="Calibri" w:eastAsia="Times New Roman" w:hAnsi="Calibri" w:cs="Calibri"/>
                <w:b/>
                <w:bCs/>
                <w:color w:val="FFFFFF"/>
                <w:lang w:eastAsia="en-GB"/>
              </w:rPr>
              <w:t>Very small</w:t>
            </w:r>
          </w:p>
        </w:tc>
        <w:tc>
          <w:tcPr>
            <w:tcW w:w="1463" w:type="dxa"/>
            <w:tcBorders>
              <w:top w:val="nil"/>
              <w:left w:val="nil"/>
              <w:bottom w:val="single" w:sz="4" w:space="0" w:color="FFFFFF"/>
              <w:right w:val="single" w:sz="4" w:space="0" w:color="FFFFFF"/>
            </w:tcBorders>
            <w:shd w:val="clear" w:color="000000" w:fill="EFEAE6"/>
            <w:noWrap/>
            <w:vAlign w:val="bottom"/>
            <w:hideMark/>
          </w:tcPr>
          <w:p w14:paraId="417C370B"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1-199</w:t>
            </w:r>
          </w:p>
        </w:tc>
        <w:tc>
          <w:tcPr>
            <w:tcW w:w="1721" w:type="dxa"/>
            <w:tcBorders>
              <w:top w:val="nil"/>
              <w:left w:val="nil"/>
              <w:bottom w:val="single" w:sz="4" w:space="0" w:color="FFFFFF"/>
              <w:right w:val="single" w:sz="4" w:space="0" w:color="FFFFFF"/>
            </w:tcBorders>
            <w:shd w:val="clear" w:color="000000" w:fill="EFEAE6"/>
            <w:noWrap/>
            <w:vAlign w:val="bottom"/>
            <w:hideMark/>
          </w:tcPr>
          <w:p w14:paraId="5558767D"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32</w:t>
            </w:r>
          </w:p>
        </w:tc>
        <w:tc>
          <w:tcPr>
            <w:tcW w:w="957" w:type="dxa"/>
            <w:tcBorders>
              <w:top w:val="nil"/>
              <w:left w:val="nil"/>
              <w:bottom w:val="single" w:sz="4" w:space="0" w:color="FFFFFF"/>
              <w:right w:val="single" w:sz="4" w:space="0" w:color="FFFFFF"/>
            </w:tcBorders>
            <w:shd w:val="clear" w:color="000000" w:fill="EFEAE6"/>
            <w:noWrap/>
            <w:vAlign w:val="bottom"/>
            <w:hideMark/>
          </w:tcPr>
          <w:p w14:paraId="3DC67CEA"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2</w:t>
            </w:r>
          </w:p>
        </w:tc>
        <w:tc>
          <w:tcPr>
            <w:tcW w:w="1721" w:type="dxa"/>
            <w:tcBorders>
              <w:top w:val="nil"/>
              <w:left w:val="nil"/>
              <w:bottom w:val="single" w:sz="4" w:space="0" w:color="FFFFFF"/>
              <w:right w:val="single" w:sz="4" w:space="0" w:color="FFFFFF"/>
            </w:tcBorders>
            <w:shd w:val="clear" w:color="000000" w:fill="EFEAE6"/>
            <w:noWrap/>
            <w:vAlign w:val="bottom"/>
            <w:hideMark/>
          </w:tcPr>
          <w:p w14:paraId="02B2FF3E"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11</w:t>
            </w:r>
          </w:p>
        </w:tc>
        <w:tc>
          <w:tcPr>
            <w:tcW w:w="957" w:type="dxa"/>
            <w:tcBorders>
              <w:top w:val="nil"/>
              <w:left w:val="nil"/>
              <w:bottom w:val="single" w:sz="4" w:space="0" w:color="FFFFFF"/>
              <w:right w:val="single" w:sz="4" w:space="0" w:color="FFFFFF"/>
            </w:tcBorders>
            <w:shd w:val="clear" w:color="000000" w:fill="EFEAE6"/>
            <w:noWrap/>
            <w:vAlign w:val="bottom"/>
            <w:hideMark/>
          </w:tcPr>
          <w:p w14:paraId="27F6A605" w14:textId="77777777" w:rsidR="006E6BD2" w:rsidRPr="006E6BD2" w:rsidRDefault="006E6BD2" w:rsidP="006E6BD2">
            <w:pPr>
              <w:spacing w:after="0" w:line="240" w:lineRule="auto"/>
              <w:jc w:val="center"/>
              <w:rPr>
                <w:rFonts w:ascii="Calibri" w:eastAsia="Times New Roman" w:hAnsi="Calibri" w:cs="Calibri"/>
                <w:color w:val="000000"/>
                <w:lang w:eastAsia="en-GB"/>
              </w:rPr>
            </w:pPr>
            <w:r w:rsidRPr="006E6BD2">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3C4BE603" w14:textId="77777777" w:rsidR="006E6BD2" w:rsidRPr="006E6BD2" w:rsidRDefault="006E6BD2" w:rsidP="006E6BD2">
            <w:pPr>
              <w:spacing w:after="0" w:line="240" w:lineRule="auto"/>
              <w:jc w:val="center"/>
              <w:rPr>
                <w:rFonts w:ascii="Calibri" w:eastAsia="Times New Roman" w:hAnsi="Calibri" w:cs="Calibri"/>
                <w:color w:val="000000"/>
                <w:lang w:eastAsia="en-GB"/>
              </w:rPr>
            </w:pPr>
          </w:p>
        </w:tc>
      </w:tr>
    </w:tbl>
    <w:p w14:paraId="5F31D67B" w14:textId="44C817C0" w:rsidR="00CF0D52" w:rsidRDefault="00CF0D52" w:rsidP="00D43422">
      <w:pPr>
        <w:jc w:val="both"/>
        <w:rPr>
          <w:rFonts w:cstheme="minorHAnsi"/>
          <w:sz w:val="28"/>
          <w:szCs w:val="28"/>
        </w:rPr>
      </w:pPr>
    </w:p>
    <w:p w14:paraId="440951E0" w14:textId="77777777" w:rsidR="00216EAA" w:rsidRDefault="00216EAA" w:rsidP="00D43422">
      <w:pPr>
        <w:jc w:val="both"/>
        <w:rPr>
          <w:rFonts w:cstheme="minorHAnsi"/>
          <w:sz w:val="28"/>
          <w:szCs w:val="28"/>
        </w:rPr>
      </w:pPr>
      <w:r w:rsidRPr="00E41C69">
        <w:rPr>
          <w:rFonts w:cstheme="minorHAnsi"/>
          <w:sz w:val="28"/>
          <w:szCs w:val="28"/>
        </w:rPr>
        <w:t xml:space="preserve">Nearly 60% of the universities with ‘very large’ and ‘large’ offshore enrolments and 70% with ‘medium’ enrolments are ex-polytechnics. In overall terms, </w:t>
      </w:r>
      <w:r w:rsidR="008941F6" w:rsidRPr="00E41C69">
        <w:rPr>
          <w:rFonts w:cstheme="minorHAnsi"/>
          <w:sz w:val="28"/>
          <w:szCs w:val="28"/>
        </w:rPr>
        <w:t xml:space="preserve">the ex-polytechnics account for </w:t>
      </w:r>
      <w:r w:rsidRPr="00E41C69">
        <w:rPr>
          <w:rFonts w:cstheme="minorHAnsi"/>
          <w:sz w:val="28"/>
          <w:szCs w:val="28"/>
        </w:rPr>
        <w:t xml:space="preserve">half of all offshore enrolments </w:t>
      </w:r>
      <w:r w:rsidR="008941F6" w:rsidRPr="00E41C69">
        <w:rPr>
          <w:rFonts w:cstheme="minorHAnsi"/>
          <w:sz w:val="28"/>
          <w:szCs w:val="28"/>
        </w:rPr>
        <w:t xml:space="preserve">but only 21% of total UK enrolments. The shares of the red brick and plate glass universities in offshore enrolments </w:t>
      </w:r>
      <w:r w:rsidR="006058FF" w:rsidRPr="00E41C69">
        <w:rPr>
          <w:rFonts w:cstheme="minorHAnsi"/>
          <w:sz w:val="28"/>
          <w:szCs w:val="28"/>
        </w:rPr>
        <w:t>are</w:t>
      </w:r>
      <w:r w:rsidR="008941F6" w:rsidRPr="00E41C69">
        <w:rPr>
          <w:rFonts w:cstheme="minorHAnsi"/>
          <w:sz w:val="28"/>
          <w:szCs w:val="28"/>
        </w:rPr>
        <w:t xml:space="preserve"> roughly in line with their overall shares of UK stude</w:t>
      </w:r>
      <w:r w:rsidR="002F0FBD">
        <w:rPr>
          <w:rFonts w:cstheme="minorHAnsi"/>
          <w:sz w:val="28"/>
          <w:szCs w:val="28"/>
        </w:rPr>
        <w:t>nt enrolments</w:t>
      </w:r>
      <w:r w:rsidR="008941F6" w:rsidRPr="00E41C69">
        <w:rPr>
          <w:rFonts w:cstheme="minorHAnsi"/>
          <w:sz w:val="28"/>
          <w:szCs w:val="28"/>
        </w:rPr>
        <w:t>.</w:t>
      </w:r>
    </w:p>
    <w:p w14:paraId="2FF84E75" w14:textId="77777777" w:rsidR="001F62C5" w:rsidRDefault="001F62C5" w:rsidP="00CF0D52">
      <w:pPr>
        <w:jc w:val="both"/>
        <w:rPr>
          <w:rFonts w:cstheme="minorHAnsi"/>
          <w:sz w:val="28"/>
          <w:szCs w:val="28"/>
        </w:rPr>
      </w:pPr>
      <w:r>
        <w:rPr>
          <w:rFonts w:cstheme="minorHAnsi"/>
          <w:b/>
          <w:sz w:val="28"/>
          <w:szCs w:val="28"/>
        </w:rPr>
        <w:t xml:space="preserve">4.2.2 </w:t>
      </w:r>
      <w:r w:rsidR="00CF0D52" w:rsidRPr="00E41C69">
        <w:rPr>
          <w:rFonts w:cstheme="minorHAnsi"/>
          <w:b/>
          <w:sz w:val="28"/>
          <w:szCs w:val="28"/>
        </w:rPr>
        <w:t>Enrolment trends</w:t>
      </w:r>
    </w:p>
    <w:p w14:paraId="1C464BF5" w14:textId="7D265B27" w:rsidR="00CF0D52" w:rsidRDefault="00CF0D52" w:rsidP="00CF0D52">
      <w:pPr>
        <w:jc w:val="both"/>
        <w:rPr>
          <w:rFonts w:cstheme="minorHAnsi"/>
          <w:sz w:val="28"/>
          <w:szCs w:val="28"/>
        </w:rPr>
      </w:pPr>
      <w:r>
        <w:rPr>
          <w:rFonts w:cstheme="minorHAnsi"/>
          <w:sz w:val="28"/>
          <w:szCs w:val="28"/>
        </w:rPr>
        <w:t>Since the mid-</w:t>
      </w:r>
      <w:r w:rsidRPr="00E41C69">
        <w:rPr>
          <w:rFonts w:cstheme="minorHAnsi"/>
          <w:sz w:val="28"/>
          <w:szCs w:val="28"/>
        </w:rPr>
        <w:t>1990s, the percentage of universities with ‘very large’ and ‘large’ offshore enrolments has increased appreciably from 6% to 18% and from 14% to 36% for universities with ‘medium’ sized enrolments. By contrast, the percentage of universities with zero enrolments has declined very considerably from 25% in 1996 to just 3% in 2015/16 and from 54% to 42% with respect to the ‘small’ and ‘very small’ enrolment categories. The overall enrolment shares of the universities with ‘very large’ and ‘large’ offshore enrolment increased from 60% to 72% while the enrolment share of universities with medium, small and very small offshore enrolments all fell</w:t>
      </w:r>
      <w:r w:rsidR="00664724">
        <w:rPr>
          <w:rFonts w:cstheme="minorHAnsi"/>
          <w:sz w:val="28"/>
          <w:szCs w:val="28"/>
        </w:rPr>
        <w:t>.</w:t>
      </w:r>
      <w:r w:rsidRPr="00E41C69">
        <w:rPr>
          <w:rFonts w:cstheme="minorHAnsi"/>
          <w:sz w:val="28"/>
          <w:szCs w:val="28"/>
        </w:rPr>
        <w:t xml:space="preserve">  </w:t>
      </w:r>
    </w:p>
    <w:p w14:paraId="7921D3FA" w14:textId="3538C481" w:rsidR="00E70948" w:rsidRDefault="00E70948" w:rsidP="00E70948">
      <w:pPr>
        <w:jc w:val="both"/>
        <w:rPr>
          <w:rFonts w:cstheme="minorHAnsi"/>
          <w:sz w:val="28"/>
          <w:szCs w:val="28"/>
        </w:rPr>
      </w:pPr>
      <w:r w:rsidRPr="00E41C69">
        <w:rPr>
          <w:rFonts w:cstheme="minorHAnsi"/>
          <w:sz w:val="28"/>
          <w:szCs w:val="28"/>
        </w:rPr>
        <w:t>Among the 94 universities that had some involvement in offshor</w:t>
      </w:r>
      <w:r w:rsidR="00E835B4">
        <w:rPr>
          <w:rFonts w:cstheme="minorHAnsi"/>
          <w:sz w:val="28"/>
          <w:szCs w:val="28"/>
        </w:rPr>
        <w:t>e provision in 2007/08, offshore enrolments increased by over 50% at</w:t>
      </w:r>
      <w:r w:rsidR="007722F7">
        <w:rPr>
          <w:rFonts w:cstheme="minorHAnsi"/>
          <w:sz w:val="28"/>
          <w:szCs w:val="28"/>
        </w:rPr>
        <w:t xml:space="preserve"> 60 universities between 2007/08 and 2015/16. </w:t>
      </w:r>
      <w:r w:rsidRPr="00E41C69">
        <w:rPr>
          <w:rFonts w:cstheme="minorHAnsi"/>
          <w:sz w:val="28"/>
          <w:szCs w:val="28"/>
        </w:rPr>
        <w:t xml:space="preserve">Another 13 universities had offshore enrolment increases </w:t>
      </w:r>
      <w:r w:rsidRPr="00E41C69">
        <w:rPr>
          <w:rFonts w:cstheme="minorHAnsi"/>
          <w:sz w:val="28"/>
          <w:szCs w:val="28"/>
        </w:rPr>
        <w:lastRenderedPageBreak/>
        <w:t>of less than 50%. Offshore enrolments declined at the remai</w:t>
      </w:r>
      <w:r w:rsidR="00664724">
        <w:rPr>
          <w:rFonts w:cstheme="minorHAnsi"/>
          <w:sz w:val="28"/>
          <w:szCs w:val="28"/>
        </w:rPr>
        <w:t>ning 21 universities</w:t>
      </w:r>
      <w:r w:rsidRPr="00E41C69">
        <w:rPr>
          <w:rFonts w:cstheme="minorHAnsi"/>
          <w:sz w:val="28"/>
          <w:szCs w:val="28"/>
        </w:rPr>
        <w:t xml:space="preserve">. The large majority of the 21 universities with ‘very large’ and ‘large’ offshore enrolments registered particularly large enrolment increases during this 10 year period (see table </w:t>
      </w:r>
      <w:r>
        <w:rPr>
          <w:rFonts w:cstheme="minorHAnsi"/>
          <w:sz w:val="28"/>
          <w:szCs w:val="28"/>
        </w:rPr>
        <w:t>5</w:t>
      </w:r>
      <w:r w:rsidRPr="00E41C69">
        <w:rPr>
          <w:rFonts w:cstheme="minorHAnsi"/>
          <w:sz w:val="28"/>
          <w:szCs w:val="28"/>
        </w:rPr>
        <w:t xml:space="preserve">). Perhaps </w:t>
      </w:r>
      <w:r w:rsidR="00664724">
        <w:rPr>
          <w:rFonts w:cstheme="minorHAnsi"/>
          <w:sz w:val="28"/>
          <w:szCs w:val="28"/>
        </w:rPr>
        <w:t>the most noticeable are the six</w:t>
      </w:r>
      <w:r w:rsidRPr="00E41C69">
        <w:rPr>
          <w:rFonts w:cstheme="minorHAnsi"/>
          <w:sz w:val="28"/>
          <w:szCs w:val="28"/>
        </w:rPr>
        <w:t xml:space="preserve"> universities which had fewer than 1,000 offshore students in 2008 (Liverpool, Coventry, Lancaster, Cardiff Metropolitan, West of England and Roehampton). Four universities recorded particularly large declines in offshore enrolments - University of Wales (central functions), Leicester, West London (formerly Thames Valley University) and Bradford. </w:t>
      </w:r>
    </w:p>
    <w:p w14:paraId="21CE1136" w14:textId="2FC86DA6" w:rsidR="004A47D9" w:rsidRDefault="008941F6" w:rsidP="00D43422">
      <w:pPr>
        <w:jc w:val="both"/>
        <w:rPr>
          <w:rFonts w:cstheme="minorHAnsi"/>
          <w:sz w:val="28"/>
          <w:szCs w:val="28"/>
        </w:rPr>
      </w:pPr>
      <w:r w:rsidRPr="00E41C69">
        <w:rPr>
          <w:rFonts w:cstheme="minorHAnsi"/>
          <w:sz w:val="28"/>
          <w:szCs w:val="28"/>
        </w:rPr>
        <w:t xml:space="preserve">Offshore enrolments </w:t>
      </w:r>
      <w:r w:rsidR="006058FF" w:rsidRPr="00E41C69">
        <w:rPr>
          <w:rFonts w:cstheme="minorHAnsi"/>
          <w:sz w:val="28"/>
          <w:szCs w:val="28"/>
        </w:rPr>
        <w:t xml:space="preserve">during this 10 year period </w:t>
      </w:r>
      <w:r w:rsidRPr="00E41C69">
        <w:rPr>
          <w:rFonts w:cstheme="minorHAnsi"/>
          <w:sz w:val="28"/>
          <w:szCs w:val="28"/>
        </w:rPr>
        <w:t xml:space="preserve">doubled at red brick and ex-polytechnic universities, but only increased by 44% </w:t>
      </w:r>
      <w:r w:rsidR="00A04E88">
        <w:rPr>
          <w:rFonts w:cstheme="minorHAnsi"/>
          <w:sz w:val="28"/>
          <w:szCs w:val="28"/>
        </w:rPr>
        <w:t xml:space="preserve">at the plate glass universities. They </w:t>
      </w:r>
      <w:r w:rsidRPr="00E41C69">
        <w:rPr>
          <w:rFonts w:cstheme="minorHAnsi"/>
          <w:sz w:val="28"/>
          <w:szCs w:val="28"/>
        </w:rPr>
        <w:t>fell by over one-third at t</w:t>
      </w:r>
      <w:r w:rsidR="000F6275">
        <w:rPr>
          <w:rFonts w:cstheme="minorHAnsi"/>
          <w:sz w:val="28"/>
          <w:szCs w:val="28"/>
        </w:rPr>
        <w:t>he seven ‘ancient’ universities</w:t>
      </w:r>
      <w:r w:rsidR="006058FF" w:rsidRPr="00E41C69">
        <w:rPr>
          <w:rFonts w:cstheme="minorHAnsi"/>
          <w:sz w:val="28"/>
          <w:szCs w:val="28"/>
        </w:rPr>
        <w:t>.</w:t>
      </w:r>
      <w:r w:rsidRPr="00E41C69">
        <w:rPr>
          <w:rFonts w:cstheme="minorHAnsi"/>
          <w:sz w:val="28"/>
          <w:szCs w:val="28"/>
        </w:rPr>
        <w:t xml:space="preserve">   </w:t>
      </w:r>
    </w:p>
    <w:tbl>
      <w:tblPr>
        <w:tblW w:w="0" w:type="auto"/>
        <w:tblInd w:w="91" w:type="dxa"/>
        <w:tblLook w:val="04A0" w:firstRow="1" w:lastRow="0" w:firstColumn="1" w:lastColumn="0" w:noHBand="0" w:noVBand="1"/>
      </w:tblPr>
      <w:tblGrid>
        <w:gridCol w:w="1032"/>
        <w:gridCol w:w="886"/>
        <w:gridCol w:w="1057"/>
        <w:gridCol w:w="784"/>
        <w:gridCol w:w="905"/>
        <w:gridCol w:w="1064"/>
        <w:gridCol w:w="950"/>
        <w:gridCol w:w="776"/>
        <w:gridCol w:w="776"/>
        <w:gridCol w:w="486"/>
        <w:gridCol w:w="219"/>
      </w:tblGrid>
      <w:tr w:rsidR="00D2166C" w:rsidRPr="00D2166C" w14:paraId="59A0EF31" w14:textId="77777777" w:rsidTr="00317CC1">
        <w:trPr>
          <w:trHeight w:val="352"/>
        </w:trPr>
        <w:tc>
          <w:tcPr>
            <w:tcW w:w="0" w:type="auto"/>
            <w:gridSpan w:val="7"/>
            <w:tcBorders>
              <w:top w:val="nil"/>
              <w:left w:val="nil"/>
              <w:bottom w:val="nil"/>
              <w:right w:val="nil"/>
            </w:tcBorders>
            <w:shd w:val="clear" w:color="auto" w:fill="auto"/>
            <w:noWrap/>
            <w:vAlign w:val="bottom"/>
            <w:hideMark/>
          </w:tcPr>
          <w:p w14:paraId="797713F7" w14:textId="2840841A" w:rsidR="00D2166C" w:rsidRPr="00D2166C" w:rsidRDefault="00F125F1" w:rsidP="00D2166C">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5</w:t>
            </w:r>
            <w:r w:rsidR="00D2166C" w:rsidRPr="00D2166C">
              <w:rPr>
                <w:rFonts w:ascii="Calibri" w:eastAsia="Times New Roman" w:hAnsi="Calibri" w:cs="Calibri"/>
                <w:b/>
                <w:bCs/>
                <w:color w:val="5F735C"/>
                <w:lang w:eastAsia="en-GB"/>
              </w:rPr>
              <w:t>:  Change in the share of offshore student enrolments as a percentage of total UK domicile enrolments, 2007/08-2015/16</w:t>
            </w:r>
          </w:p>
        </w:tc>
        <w:tc>
          <w:tcPr>
            <w:tcW w:w="0" w:type="auto"/>
            <w:gridSpan w:val="4"/>
            <w:tcBorders>
              <w:top w:val="nil"/>
              <w:left w:val="nil"/>
              <w:bottom w:val="nil"/>
              <w:right w:val="nil"/>
            </w:tcBorders>
            <w:shd w:val="clear" w:color="auto" w:fill="auto"/>
            <w:noWrap/>
            <w:vAlign w:val="bottom"/>
            <w:hideMark/>
          </w:tcPr>
          <w:p w14:paraId="6845D247" w14:textId="77777777" w:rsidR="00D2166C" w:rsidRPr="00D2166C" w:rsidRDefault="00D2166C" w:rsidP="00D2166C">
            <w:pPr>
              <w:spacing w:after="0" w:line="240" w:lineRule="auto"/>
              <w:rPr>
                <w:rFonts w:ascii="Calibri" w:eastAsia="Times New Roman" w:hAnsi="Calibri" w:cs="Calibri"/>
                <w:b/>
                <w:bCs/>
                <w:color w:val="5F735C"/>
                <w:lang w:eastAsia="en-GB"/>
              </w:rPr>
            </w:pPr>
          </w:p>
        </w:tc>
      </w:tr>
      <w:tr w:rsidR="00D2166C" w:rsidRPr="00D2166C" w14:paraId="6E8AEEAE" w14:textId="77777777" w:rsidTr="00317CC1">
        <w:trPr>
          <w:trHeight w:val="352"/>
        </w:trPr>
        <w:tc>
          <w:tcPr>
            <w:tcW w:w="0" w:type="auto"/>
            <w:tcBorders>
              <w:top w:val="single" w:sz="8" w:space="0" w:color="FFFFFF"/>
              <w:left w:val="single" w:sz="8" w:space="0" w:color="FFFFFF"/>
              <w:bottom w:val="single" w:sz="8" w:space="0" w:color="FFFFFF"/>
              <w:right w:val="single" w:sz="8" w:space="0" w:color="FFFFFF"/>
            </w:tcBorders>
            <w:shd w:val="clear" w:color="000000" w:fill="49723B"/>
            <w:noWrap/>
            <w:vAlign w:val="bottom"/>
            <w:hideMark/>
          </w:tcPr>
          <w:p w14:paraId="0E051F3E"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Universities</w:t>
            </w:r>
          </w:p>
        </w:tc>
        <w:tc>
          <w:tcPr>
            <w:tcW w:w="0" w:type="auto"/>
            <w:tcBorders>
              <w:top w:val="single" w:sz="8" w:space="0" w:color="FFFFFF"/>
              <w:left w:val="nil"/>
              <w:bottom w:val="single" w:sz="8" w:space="0" w:color="FFFFFF"/>
              <w:right w:val="single" w:sz="8" w:space="0" w:color="FFFFFF"/>
            </w:tcBorders>
            <w:shd w:val="clear" w:color="000000" w:fill="49723B"/>
            <w:noWrap/>
            <w:vAlign w:val="bottom"/>
            <w:hideMark/>
          </w:tcPr>
          <w:p w14:paraId="758C4B56"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neg &gt;10%</w:t>
            </w:r>
          </w:p>
        </w:tc>
        <w:tc>
          <w:tcPr>
            <w:tcW w:w="0" w:type="auto"/>
            <w:tcBorders>
              <w:top w:val="single" w:sz="8" w:space="0" w:color="FFFFFF"/>
              <w:left w:val="nil"/>
              <w:bottom w:val="single" w:sz="8" w:space="0" w:color="FFFFFF"/>
              <w:right w:val="single" w:sz="8" w:space="0" w:color="FFFFFF"/>
            </w:tcBorders>
            <w:shd w:val="clear" w:color="000000" w:fill="49723B"/>
            <w:noWrap/>
            <w:vAlign w:val="bottom"/>
            <w:hideMark/>
          </w:tcPr>
          <w:p w14:paraId="22331CD4"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neg 0.1-99%</w:t>
            </w:r>
          </w:p>
        </w:tc>
        <w:tc>
          <w:tcPr>
            <w:tcW w:w="0" w:type="auto"/>
            <w:tcBorders>
              <w:top w:val="single" w:sz="8" w:space="0" w:color="FFFFFF"/>
              <w:left w:val="nil"/>
              <w:bottom w:val="single" w:sz="8" w:space="0" w:color="FFFFFF"/>
              <w:right w:val="single" w:sz="8" w:space="0" w:color="FFFFFF"/>
            </w:tcBorders>
            <w:shd w:val="clear" w:color="000000" w:fill="49723B"/>
            <w:noWrap/>
            <w:vAlign w:val="bottom"/>
            <w:hideMark/>
          </w:tcPr>
          <w:p w14:paraId="1DE5AACA"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0-4.99%</w:t>
            </w:r>
          </w:p>
        </w:tc>
        <w:tc>
          <w:tcPr>
            <w:tcW w:w="0" w:type="auto"/>
            <w:tcBorders>
              <w:top w:val="single" w:sz="8" w:space="0" w:color="FFFFFF"/>
              <w:left w:val="nil"/>
              <w:bottom w:val="single" w:sz="8" w:space="0" w:color="FFFFFF"/>
              <w:right w:val="single" w:sz="8" w:space="0" w:color="FFFFFF"/>
            </w:tcBorders>
            <w:shd w:val="clear" w:color="000000" w:fill="49723B"/>
            <w:noWrap/>
            <w:vAlign w:val="bottom"/>
            <w:hideMark/>
          </w:tcPr>
          <w:p w14:paraId="0ED5BC96"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5.0-9.99%</w:t>
            </w:r>
          </w:p>
        </w:tc>
        <w:tc>
          <w:tcPr>
            <w:tcW w:w="0" w:type="auto"/>
            <w:tcBorders>
              <w:top w:val="single" w:sz="8" w:space="0" w:color="FFFFFF"/>
              <w:left w:val="nil"/>
              <w:bottom w:val="single" w:sz="8" w:space="0" w:color="FFFFFF"/>
              <w:right w:val="single" w:sz="8" w:space="0" w:color="FFFFFF"/>
            </w:tcBorders>
            <w:shd w:val="clear" w:color="000000" w:fill="49723B"/>
            <w:noWrap/>
            <w:vAlign w:val="bottom"/>
            <w:hideMark/>
          </w:tcPr>
          <w:p w14:paraId="38B0789F"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10.0-19.99%</w:t>
            </w:r>
          </w:p>
        </w:tc>
        <w:tc>
          <w:tcPr>
            <w:tcW w:w="0" w:type="auto"/>
            <w:tcBorders>
              <w:top w:val="single" w:sz="8" w:space="0" w:color="FFFFFF"/>
              <w:left w:val="nil"/>
              <w:bottom w:val="single" w:sz="8" w:space="0" w:color="FFFFFF"/>
              <w:right w:val="single" w:sz="8" w:space="0" w:color="FFFFFF"/>
            </w:tcBorders>
            <w:shd w:val="clear" w:color="000000" w:fill="49723B"/>
            <w:noWrap/>
            <w:vAlign w:val="bottom"/>
            <w:hideMark/>
          </w:tcPr>
          <w:p w14:paraId="65103317"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20.0-29.99</w:t>
            </w:r>
          </w:p>
        </w:tc>
        <w:tc>
          <w:tcPr>
            <w:tcW w:w="0" w:type="auto"/>
            <w:tcBorders>
              <w:top w:val="single" w:sz="8" w:space="0" w:color="FFFFFF"/>
              <w:left w:val="nil"/>
              <w:bottom w:val="single" w:sz="8" w:space="0" w:color="FFFFFF"/>
              <w:right w:val="single" w:sz="8" w:space="0" w:color="FFFFFF"/>
            </w:tcBorders>
            <w:shd w:val="clear" w:color="000000" w:fill="49723B"/>
            <w:noWrap/>
            <w:vAlign w:val="bottom"/>
            <w:hideMark/>
          </w:tcPr>
          <w:p w14:paraId="3984F690"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30.0-39.99%</w:t>
            </w:r>
          </w:p>
        </w:tc>
        <w:tc>
          <w:tcPr>
            <w:tcW w:w="0" w:type="auto"/>
            <w:tcBorders>
              <w:top w:val="single" w:sz="8" w:space="0" w:color="FFFFFF"/>
              <w:left w:val="nil"/>
              <w:bottom w:val="single" w:sz="8" w:space="0" w:color="FFFFFF"/>
              <w:right w:val="single" w:sz="8" w:space="0" w:color="FFFFFF"/>
            </w:tcBorders>
            <w:shd w:val="clear" w:color="000000" w:fill="49723B"/>
            <w:noWrap/>
            <w:vAlign w:val="bottom"/>
            <w:hideMark/>
          </w:tcPr>
          <w:p w14:paraId="3CF3B9CB"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40.0-49.99%</w:t>
            </w:r>
          </w:p>
        </w:tc>
        <w:tc>
          <w:tcPr>
            <w:tcW w:w="0" w:type="auto"/>
            <w:tcBorders>
              <w:top w:val="single" w:sz="8" w:space="0" w:color="FFFFFF"/>
              <w:left w:val="nil"/>
              <w:bottom w:val="single" w:sz="8" w:space="0" w:color="FFFFFF"/>
              <w:right w:val="single" w:sz="8" w:space="0" w:color="FFFFFF"/>
            </w:tcBorders>
            <w:shd w:val="clear" w:color="000000" w:fill="49723B"/>
            <w:noWrap/>
            <w:vAlign w:val="bottom"/>
            <w:hideMark/>
          </w:tcPr>
          <w:p w14:paraId="6D2B8586"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&gt; 50%</w:t>
            </w:r>
          </w:p>
        </w:tc>
        <w:tc>
          <w:tcPr>
            <w:tcW w:w="0" w:type="auto"/>
            <w:tcBorders>
              <w:top w:val="nil"/>
              <w:left w:val="nil"/>
              <w:bottom w:val="nil"/>
              <w:right w:val="nil"/>
            </w:tcBorders>
            <w:shd w:val="clear" w:color="auto" w:fill="auto"/>
            <w:noWrap/>
            <w:vAlign w:val="bottom"/>
            <w:hideMark/>
          </w:tcPr>
          <w:p w14:paraId="39AE4B48" w14:textId="77777777" w:rsidR="00D2166C" w:rsidRPr="00D2166C" w:rsidRDefault="00D2166C" w:rsidP="00D2166C">
            <w:pPr>
              <w:spacing w:after="0" w:line="240" w:lineRule="auto"/>
              <w:rPr>
                <w:rFonts w:ascii="Calibri" w:eastAsia="Times New Roman" w:hAnsi="Calibri" w:cs="Calibri"/>
                <w:color w:val="000000"/>
                <w:lang w:eastAsia="en-GB"/>
              </w:rPr>
            </w:pPr>
          </w:p>
        </w:tc>
      </w:tr>
      <w:tr w:rsidR="00D2166C" w:rsidRPr="00D2166C" w14:paraId="1473D9CF" w14:textId="77777777" w:rsidTr="00317CC1">
        <w:trPr>
          <w:trHeight w:val="352"/>
        </w:trPr>
        <w:tc>
          <w:tcPr>
            <w:tcW w:w="0" w:type="auto"/>
            <w:tcBorders>
              <w:top w:val="nil"/>
              <w:left w:val="single" w:sz="8" w:space="0" w:color="FFFFFF"/>
              <w:bottom w:val="single" w:sz="8" w:space="0" w:color="FFFFFF"/>
              <w:right w:val="single" w:sz="8" w:space="0" w:color="FFFFFF"/>
            </w:tcBorders>
            <w:shd w:val="clear" w:color="000000" w:fill="49723B"/>
            <w:noWrap/>
            <w:vAlign w:val="bottom"/>
            <w:hideMark/>
          </w:tcPr>
          <w:p w14:paraId="62F38E22"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Number</w:t>
            </w:r>
          </w:p>
        </w:tc>
        <w:tc>
          <w:tcPr>
            <w:tcW w:w="0" w:type="auto"/>
            <w:tcBorders>
              <w:top w:val="nil"/>
              <w:left w:val="nil"/>
              <w:bottom w:val="single" w:sz="8" w:space="0" w:color="FFFFFF"/>
              <w:right w:val="single" w:sz="8" w:space="0" w:color="FFFFFF"/>
            </w:tcBorders>
            <w:shd w:val="clear" w:color="000000" w:fill="EFEAE6"/>
            <w:noWrap/>
            <w:vAlign w:val="bottom"/>
            <w:hideMark/>
          </w:tcPr>
          <w:p w14:paraId="34A0912F"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5</w:t>
            </w:r>
          </w:p>
        </w:tc>
        <w:tc>
          <w:tcPr>
            <w:tcW w:w="0" w:type="auto"/>
            <w:tcBorders>
              <w:top w:val="nil"/>
              <w:left w:val="nil"/>
              <w:bottom w:val="single" w:sz="8" w:space="0" w:color="FFFFFF"/>
              <w:right w:val="single" w:sz="8" w:space="0" w:color="FFFFFF"/>
            </w:tcBorders>
            <w:shd w:val="clear" w:color="000000" w:fill="EFEAE6"/>
            <w:noWrap/>
            <w:vAlign w:val="bottom"/>
            <w:hideMark/>
          </w:tcPr>
          <w:p w14:paraId="0EEE81F5"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20</w:t>
            </w:r>
          </w:p>
        </w:tc>
        <w:tc>
          <w:tcPr>
            <w:tcW w:w="0" w:type="auto"/>
            <w:tcBorders>
              <w:top w:val="nil"/>
              <w:left w:val="nil"/>
              <w:bottom w:val="single" w:sz="8" w:space="0" w:color="FFFFFF"/>
              <w:right w:val="single" w:sz="8" w:space="0" w:color="FFFFFF"/>
            </w:tcBorders>
            <w:shd w:val="clear" w:color="000000" w:fill="EFEAE6"/>
            <w:noWrap/>
            <w:vAlign w:val="bottom"/>
            <w:hideMark/>
          </w:tcPr>
          <w:p w14:paraId="6EFC4B39"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37</w:t>
            </w:r>
          </w:p>
        </w:tc>
        <w:tc>
          <w:tcPr>
            <w:tcW w:w="0" w:type="auto"/>
            <w:tcBorders>
              <w:top w:val="nil"/>
              <w:left w:val="nil"/>
              <w:bottom w:val="single" w:sz="8" w:space="0" w:color="FFFFFF"/>
              <w:right w:val="single" w:sz="8" w:space="0" w:color="FFFFFF"/>
            </w:tcBorders>
            <w:shd w:val="clear" w:color="000000" w:fill="EFEAE6"/>
            <w:noWrap/>
            <w:vAlign w:val="bottom"/>
            <w:hideMark/>
          </w:tcPr>
          <w:p w14:paraId="5FDEC4E3"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13</w:t>
            </w:r>
          </w:p>
        </w:tc>
        <w:tc>
          <w:tcPr>
            <w:tcW w:w="0" w:type="auto"/>
            <w:tcBorders>
              <w:top w:val="nil"/>
              <w:left w:val="nil"/>
              <w:bottom w:val="single" w:sz="8" w:space="0" w:color="FFFFFF"/>
              <w:right w:val="single" w:sz="8" w:space="0" w:color="FFFFFF"/>
            </w:tcBorders>
            <w:shd w:val="clear" w:color="000000" w:fill="EFEAE6"/>
            <w:noWrap/>
            <w:vAlign w:val="bottom"/>
            <w:hideMark/>
          </w:tcPr>
          <w:p w14:paraId="003429FC"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20</w:t>
            </w:r>
          </w:p>
        </w:tc>
        <w:tc>
          <w:tcPr>
            <w:tcW w:w="0" w:type="auto"/>
            <w:tcBorders>
              <w:top w:val="nil"/>
              <w:left w:val="nil"/>
              <w:bottom w:val="single" w:sz="8" w:space="0" w:color="FFFFFF"/>
              <w:right w:val="single" w:sz="8" w:space="0" w:color="FFFFFF"/>
            </w:tcBorders>
            <w:shd w:val="clear" w:color="000000" w:fill="EFEAE6"/>
            <w:noWrap/>
            <w:vAlign w:val="bottom"/>
            <w:hideMark/>
          </w:tcPr>
          <w:p w14:paraId="6C3B6323"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3</w:t>
            </w:r>
          </w:p>
        </w:tc>
        <w:tc>
          <w:tcPr>
            <w:tcW w:w="0" w:type="auto"/>
            <w:tcBorders>
              <w:top w:val="nil"/>
              <w:left w:val="nil"/>
              <w:bottom w:val="single" w:sz="8" w:space="0" w:color="FFFFFF"/>
              <w:right w:val="single" w:sz="8" w:space="0" w:color="FFFFFF"/>
            </w:tcBorders>
            <w:shd w:val="clear" w:color="000000" w:fill="EFEAE6"/>
            <w:noWrap/>
            <w:vAlign w:val="bottom"/>
            <w:hideMark/>
          </w:tcPr>
          <w:p w14:paraId="3D573791"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4</w:t>
            </w:r>
          </w:p>
        </w:tc>
        <w:tc>
          <w:tcPr>
            <w:tcW w:w="0" w:type="auto"/>
            <w:tcBorders>
              <w:top w:val="nil"/>
              <w:left w:val="nil"/>
              <w:bottom w:val="single" w:sz="8" w:space="0" w:color="FFFFFF"/>
              <w:right w:val="single" w:sz="8" w:space="0" w:color="FFFFFF"/>
            </w:tcBorders>
            <w:shd w:val="clear" w:color="000000" w:fill="EFEAE6"/>
            <w:noWrap/>
            <w:vAlign w:val="bottom"/>
            <w:hideMark/>
          </w:tcPr>
          <w:p w14:paraId="55FB95A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2</w:t>
            </w:r>
          </w:p>
        </w:tc>
        <w:tc>
          <w:tcPr>
            <w:tcW w:w="0" w:type="auto"/>
            <w:tcBorders>
              <w:top w:val="nil"/>
              <w:left w:val="nil"/>
              <w:bottom w:val="single" w:sz="8" w:space="0" w:color="FFFFFF"/>
              <w:right w:val="single" w:sz="8" w:space="0" w:color="FFFFFF"/>
            </w:tcBorders>
            <w:shd w:val="clear" w:color="000000" w:fill="EFEAE6"/>
            <w:noWrap/>
            <w:vAlign w:val="bottom"/>
            <w:hideMark/>
          </w:tcPr>
          <w:p w14:paraId="2FA94206"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7</w:t>
            </w:r>
          </w:p>
        </w:tc>
        <w:tc>
          <w:tcPr>
            <w:tcW w:w="0" w:type="auto"/>
            <w:tcBorders>
              <w:top w:val="nil"/>
              <w:left w:val="nil"/>
              <w:bottom w:val="nil"/>
              <w:right w:val="nil"/>
            </w:tcBorders>
            <w:shd w:val="clear" w:color="auto" w:fill="auto"/>
            <w:noWrap/>
            <w:vAlign w:val="bottom"/>
            <w:hideMark/>
          </w:tcPr>
          <w:p w14:paraId="0B569A8D" w14:textId="77777777" w:rsidR="00D2166C" w:rsidRPr="00D2166C" w:rsidRDefault="00D2166C" w:rsidP="00D2166C">
            <w:pPr>
              <w:spacing w:after="0" w:line="240" w:lineRule="auto"/>
              <w:rPr>
                <w:rFonts w:ascii="Calibri" w:eastAsia="Times New Roman" w:hAnsi="Calibri" w:cs="Calibri"/>
                <w:color w:val="000000"/>
                <w:lang w:eastAsia="en-GB"/>
              </w:rPr>
            </w:pPr>
          </w:p>
        </w:tc>
      </w:tr>
      <w:tr w:rsidR="00D2166C" w:rsidRPr="00D2166C" w14:paraId="5C5EA480" w14:textId="77777777" w:rsidTr="00317CC1">
        <w:trPr>
          <w:trHeight w:val="352"/>
        </w:trPr>
        <w:tc>
          <w:tcPr>
            <w:tcW w:w="0" w:type="auto"/>
            <w:tcBorders>
              <w:top w:val="nil"/>
              <w:left w:val="single" w:sz="8" w:space="0" w:color="FFFFFF"/>
              <w:bottom w:val="single" w:sz="8" w:space="0" w:color="FFFFFF"/>
              <w:right w:val="single" w:sz="8" w:space="0" w:color="FFFFFF"/>
            </w:tcBorders>
            <w:shd w:val="clear" w:color="000000" w:fill="49723B"/>
            <w:noWrap/>
            <w:vAlign w:val="bottom"/>
            <w:hideMark/>
          </w:tcPr>
          <w:p w14:paraId="3B7791B9"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w:t>
            </w:r>
          </w:p>
        </w:tc>
        <w:tc>
          <w:tcPr>
            <w:tcW w:w="0" w:type="auto"/>
            <w:tcBorders>
              <w:top w:val="nil"/>
              <w:left w:val="nil"/>
              <w:bottom w:val="single" w:sz="8" w:space="0" w:color="FFFFFF"/>
              <w:right w:val="single" w:sz="8" w:space="0" w:color="FFFFFF"/>
            </w:tcBorders>
            <w:shd w:val="clear" w:color="000000" w:fill="EFEAE6"/>
            <w:noWrap/>
            <w:vAlign w:val="bottom"/>
            <w:hideMark/>
          </w:tcPr>
          <w:p w14:paraId="751E308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5</w:t>
            </w:r>
          </w:p>
        </w:tc>
        <w:tc>
          <w:tcPr>
            <w:tcW w:w="0" w:type="auto"/>
            <w:tcBorders>
              <w:top w:val="nil"/>
              <w:left w:val="nil"/>
              <w:bottom w:val="single" w:sz="8" w:space="0" w:color="FFFFFF"/>
              <w:right w:val="single" w:sz="8" w:space="0" w:color="FFFFFF"/>
            </w:tcBorders>
            <w:shd w:val="clear" w:color="000000" w:fill="EFEAE6"/>
            <w:noWrap/>
            <w:vAlign w:val="bottom"/>
            <w:hideMark/>
          </w:tcPr>
          <w:p w14:paraId="2238D8CE"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18</w:t>
            </w:r>
          </w:p>
        </w:tc>
        <w:tc>
          <w:tcPr>
            <w:tcW w:w="0" w:type="auto"/>
            <w:tcBorders>
              <w:top w:val="nil"/>
              <w:left w:val="nil"/>
              <w:bottom w:val="single" w:sz="8" w:space="0" w:color="FFFFFF"/>
              <w:right w:val="single" w:sz="8" w:space="0" w:color="FFFFFF"/>
            </w:tcBorders>
            <w:shd w:val="clear" w:color="000000" w:fill="EFEAE6"/>
            <w:noWrap/>
            <w:vAlign w:val="bottom"/>
            <w:hideMark/>
          </w:tcPr>
          <w:p w14:paraId="79E21300"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34</w:t>
            </w:r>
          </w:p>
        </w:tc>
        <w:tc>
          <w:tcPr>
            <w:tcW w:w="0" w:type="auto"/>
            <w:tcBorders>
              <w:top w:val="nil"/>
              <w:left w:val="nil"/>
              <w:bottom w:val="single" w:sz="8" w:space="0" w:color="FFFFFF"/>
              <w:right w:val="single" w:sz="8" w:space="0" w:color="FFFFFF"/>
            </w:tcBorders>
            <w:shd w:val="clear" w:color="000000" w:fill="EFEAE6"/>
            <w:noWrap/>
            <w:vAlign w:val="bottom"/>
            <w:hideMark/>
          </w:tcPr>
          <w:p w14:paraId="70FFE1BB"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12</w:t>
            </w:r>
          </w:p>
        </w:tc>
        <w:tc>
          <w:tcPr>
            <w:tcW w:w="0" w:type="auto"/>
            <w:tcBorders>
              <w:top w:val="nil"/>
              <w:left w:val="nil"/>
              <w:bottom w:val="single" w:sz="8" w:space="0" w:color="FFFFFF"/>
              <w:right w:val="single" w:sz="8" w:space="0" w:color="FFFFFF"/>
            </w:tcBorders>
            <w:shd w:val="clear" w:color="000000" w:fill="EFEAE6"/>
            <w:noWrap/>
            <w:vAlign w:val="bottom"/>
            <w:hideMark/>
          </w:tcPr>
          <w:p w14:paraId="2383B12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18</w:t>
            </w:r>
          </w:p>
        </w:tc>
        <w:tc>
          <w:tcPr>
            <w:tcW w:w="0" w:type="auto"/>
            <w:tcBorders>
              <w:top w:val="nil"/>
              <w:left w:val="nil"/>
              <w:bottom w:val="single" w:sz="8" w:space="0" w:color="FFFFFF"/>
              <w:right w:val="single" w:sz="8" w:space="0" w:color="FFFFFF"/>
            </w:tcBorders>
            <w:shd w:val="clear" w:color="000000" w:fill="EFEAE6"/>
            <w:noWrap/>
            <w:vAlign w:val="bottom"/>
            <w:hideMark/>
          </w:tcPr>
          <w:p w14:paraId="0E300681"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3</w:t>
            </w:r>
          </w:p>
        </w:tc>
        <w:tc>
          <w:tcPr>
            <w:tcW w:w="0" w:type="auto"/>
            <w:tcBorders>
              <w:top w:val="nil"/>
              <w:left w:val="nil"/>
              <w:bottom w:val="single" w:sz="8" w:space="0" w:color="FFFFFF"/>
              <w:right w:val="single" w:sz="8" w:space="0" w:color="FFFFFF"/>
            </w:tcBorders>
            <w:shd w:val="clear" w:color="000000" w:fill="EFEAE6"/>
            <w:noWrap/>
            <w:vAlign w:val="bottom"/>
            <w:hideMark/>
          </w:tcPr>
          <w:p w14:paraId="63763477"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4</w:t>
            </w:r>
          </w:p>
        </w:tc>
        <w:tc>
          <w:tcPr>
            <w:tcW w:w="0" w:type="auto"/>
            <w:tcBorders>
              <w:top w:val="nil"/>
              <w:left w:val="nil"/>
              <w:bottom w:val="single" w:sz="8" w:space="0" w:color="FFFFFF"/>
              <w:right w:val="single" w:sz="8" w:space="0" w:color="FFFFFF"/>
            </w:tcBorders>
            <w:shd w:val="clear" w:color="000000" w:fill="EFEAE6"/>
            <w:noWrap/>
            <w:vAlign w:val="bottom"/>
            <w:hideMark/>
          </w:tcPr>
          <w:p w14:paraId="48C79C83"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2</w:t>
            </w:r>
          </w:p>
        </w:tc>
        <w:tc>
          <w:tcPr>
            <w:tcW w:w="0" w:type="auto"/>
            <w:tcBorders>
              <w:top w:val="nil"/>
              <w:left w:val="nil"/>
              <w:bottom w:val="single" w:sz="8" w:space="0" w:color="FFFFFF"/>
              <w:right w:val="single" w:sz="8" w:space="0" w:color="FFFFFF"/>
            </w:tcBorders>
            <w:shd w:val="clear" w:color="000000" w:fill="EFEAE6"/>
            <w:noWrap/>
            <w:vAlign w:val="bottom"/>
            <w:hideMark/>
          </w:tcPr>
          <w:p w14:paraId="2CCC1AEB"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6</w:t>
            </w:r>
          </w:p>
        </w:tc>
        <w:tc>
          <w:tcPr>
            <w:tcW w:w="0" w:type="auto"/>
            <w:tcBorders>
              <w:top w:val="nil"/>
              <w:left w:val="nil"/>
              <w:bottom w:val="nil"/>
              <w:right w:val="nil"/>
            </w:tcBorders>
            <w:shd w:val="clear" w:color="auto" w:fill="auto"/>
            <w:noWrap/>
            <w:vAlign w:val="bottom"/>
            <w:hideMark/>
          </w:tcPr>
          <w:p w14:paraId="2D316E3B" w14:textId="77777777" w:rsidR="00D2166C" w:rsidRPr="00D2166C" w:rsidRDefault="00D2166C" w:rsidP="00D2166C">
            <w:pPr>
              <w:spacing w:after="0" w:line="240" w:lineRule="auto"/>
              <w:rPr>
                <w:rFonts w:ascii="Calibri" w:eastAsia="Times New Roman" w:hAnsi="Calibri" w:cs="Calibri"/>
                <w:color w:val="000000"/>
                <w:lang w:eastAsia="en-GB"/>
              </w:rPr>
            </w:pPr>
          </w:p>
        </w:tc>
      </w:tr>
    </w:tbl>
    <w:p w14:paraId="35D99EE3" w14:textId="77777777" w:rsidR="00E70948" w:rsidRDefault="00E70948" w:rsidP="00E114E2">
      <w:pPr>
        <w:jc w:val="both"/>
        <w:rPr>
          <w:rFonts w:cstheme="minorHAnsi"/>
          <w:b/>
          <w:sz w:val="28"/>
          <w:szCs w:val="28"/>
        </w:rPr>
      </w:pPr>
    </w:p>
    <w:p w14:paraId="26507F55" w14:textId="77777777" w:rsidR="001F62C5" w:rsidRDefault="001F62C5" w:rsidP="00E114E2">
      <w:pPr>
        <w:jc w:val="both"/>
        <w:rPr>
          <w:rFonts w:cstheme="minorHAnsi"/>
          <w:sz w:val="28"/>
          <w:szCs w:val="28"/>
        </w:rPr>
      </w:pPr>
      <w:r>
        <w:rPr>
          <w:rFonts w:cstheme="minorHAnsi"/>
          <w:b/>
          <w:sz w:val="28"/>
          <w:szCs w:val="28"/>
        </w:rPr>
        <w:t xml:space="preserve">4.2.3 </w:t>
      </w:r>
      <w:r w:rsidR="009844C8" w:rsidRPr="00E41C69">
        <w:rPr>
          <w:rFonts w:cstheme="minorHAnsi"/>
          <w:b/>
          <w:sz w:val="28"/>
          <w:szCs w:val="28"/>
        </w:rPr>
        <w:t xml:space="preserve">Country </w:t>
      </w:r>
      <w:r w:rsidR="00EA2114" w:rsidRPr="00E41C69">
        <w:rPr>
          <w:rFonts w:cstheme="minorHAnsi"/>
          <w:b/>
          <w:sz w:val="28"/>
          <w:szCs w:val="28"/>
        </w:rPr>
        <w:t>profile</w:t>
      </w:r>
    </w:p>
    <w:p w14:paraId="364199FB" w14:textId="77777777" w:rsidR="008E344A" w:rsidRDefault="00C73BE3" w:rsidP="00E114E2">
      <w:pPr>
        <w:jc w:val="both"/>
        <w:rPr>
          <w:rFonts w:cstheme="minorHAnsi"/>
          <w:sz w:val="28"/>
          <w:szCs w:val="28"/>
        </w:rPr>
      </w:pPr>
      <w:r w:rsidRPr="00E41C69">
        <w:rPr>
          <w:rFonts w:cstheme="minorHAnsi"/>
          <w:sz w:val="28"/>
          <w:szCs w:val="28"/>
        </w:rPr>
        <w:t>Globally</w:t>
      </w:r>
      <w:r w:rsidR="009844C8" w:rsidRPr="00E41C69">
        <w:rPr>
          <w:rFonts w:cstheme="minorHAnsi"/>
          <w:sz w:val="28"/>
          <w:szCs w:val="28"/>
        </w:rPr>
        <w:t xml:space="preserve">, the </w:t>
      </w:r>
      <w:r w:rsidR="000F6275">
        <w:rPr>
          <w:rFonts w:cstheme="minorHAnsi"/>
          <w:sz w:val="28"/>
          <w:szCs w:val="28"/>
        </w:rPr>
        <w:t xml:space="preserve">geographical </w:t>
      </w:r>
      <w:r w:rsidR="009844C8" w:rsidRPr="00E41C69">
        <w:rPr>
          <w:rFonts w:cstheme="minorHAnsi"/>
          <w:sz w:val="28"/>
          <w:szCs w:val="28"/>
        </w:rPr>
        <w:t xml:space="preserve">scope of internationalisation of </w:t>
      </w:r>
      <w:r w:rsidR="00647865" w:rsidRPr="00E41C69">
        <w:rPr>
          <w:rFonts w:cstheme="minorHAnsi"/>
          <w:sz w:val="28"/>
          <w:szCs w:val="28"/>
        </w:rPr>
        <w:t xml:space="preserve">UK university </w:t>
      </w:r>
      <w:r w:rsidR="009844C8" w:rsidRPr="00E41C69">
        <w:rPr>
          <w:rFonts w:cstheme="minorHAnsi"/>
          <w:sz w:val="28"/>
          <w:szCs w:val="28"/>
        </w:rPr>
        <w:t>offshore provis</w:t>
      </w:r>
      <w:r w:rsidR="007E546A" w:rsidRPr="00E41C69">
        <w:rPr>
          <w:rFonts w:cstheme="minorHAnsi"/>
          <w:sz w:val="28"/>
          <w:szCs w:val="28"/>
        </w:rPr>
        <w:t>ion remains quite limited. Over one-</w:t>
      </w:r>
      <w:r w:rsidR="009844C8" w:rsidRPr="00E41C69">
        <w:rPr>
          <w:rFonts w:cstheme="minorHAnsi"/>
          <w:sz w:val="28"/>
          <w:szCs w:val="28"/>
        </w:rPr>
        <w:t xml:space="preserve">third of enrolments are </w:t>
      </w:r>
      <w:r w:rsidR="00965004" w:rsidRPr="00E41C69">
        <w:rPr>
          <w:rFonts w:cstheme="minorHAnsi"/>
          <w:sz w:val="28"/>
          <w:szCs w:val="28"/>
        </w:rPr>
        <w:t xml:space="preserve">concentrated in the </w:t>
      </w:r>
      <w:r w:rsidR="009844C8" w:rsidRPr="00E41C69">
        <w:rPr>
          <w:rFonts w:cstheme="minorHAnsi"/>
          <w:sz w:val="28"/>
          <w:szCs w:val="28"/>
        </w:rPr>
        <w:t>four countries</w:t>
      </w:r>
      <w:r w:rsidR="00647865" w:rsidRPr="00E41C69">
        <w:rPr>
          <w:rFonts w:cstheme="minorHAnsi"/>
          <w:sz w:val="28"/>
          <w:szCs w:val="28"/>
        </w:rPr>
        <w:t>/jurisdictions which have over 20,000 UK offshore students</w:t>
      </w:r>
      <w:r w:rsidR="009844C8" w:rsidRPr="00E41C69">
        <w:rPr>
          <w:rFonts w:cstheme="minorHAnsi"/>
          <w:sz w:val="28"/>
          <w:szCs w:val="28"/>
        </w:rPr>
        <w:t xml:space="preserve">, namely China, Hong Kong, Malaysia and Singapore </w:t>
      </w:r>
      <w:r w:rsidR="00647865" w:rsidRPr="00E41C69">
        <w:rPr>
          <w:rFonts w:cstheme="minorHAnsi"/>
          <w:sz w:val="28"/>
          <w:szCs w:val="28"/>
        </w:rPr>
        <w:t>(CHMS), 57% in the nine countries with over 10</w:t>
      </w:r>
      <w:r w:rsidR="004D5AEE">
        <w:rPr>
          <w:rFonts w:cstheme="minorHAnsi"/>
          <w:sz w:val="28"/>
          <w:szCs w:val="28"/>
        </w:rPr>
        <w:t xml:space="preserve">,000 students, and 75% in the 20 </w:t>
      </w:r>
      <w:r w:rsidR="00647865" w:rsidRPr="00E41C69">
        <w:rPr>
          <w:rFonts w:cstheme="minorHAnsi"/>
          <w:sz w:val="28"/>
          <w:szCs w:val="28"/>
        </w:rPr>
        <w:t xml:space="preserve">countries with over 5,000 students (see table </w:t>
      </w:r>
      <w:r w:rsidR="000F6275">
        <w:rPr>
          <w:rFonts w:cstheme="minorHAnsi"/>
          <w:sz w:val="28"/>
          <w:szCs w:val="28"/>
        </w:rPr>
        <w:t>1</w:t>
      </w:r>
      <w:r w:rsidR="00CF118F">
        <w:rPr>
          <w:rFonts w:cstheme="minorHAnsi"/>
          <w:sz w:val="28"/>
          <w:szCs w:val="28"/>
        </w:rPr>
        <w:t>7</w:t>
      </w:r>
      <w:r w:rsidR="000F6275">
        <w:rPr>
          <w:rFonts w:cstheme="minorHAnsi"/>
          <w:sz w:val="28"/>
          <w:szCs w:val="28"/>
        </w:rPr>
        <w:t xml:space="preserve"> and </w:t>
      </w:r>
      <w:r w:rsidR="00CF118F">
        <w:rPr>
          <w:rFonts w:cstheme="minorHAnsi"/>
          <w:sz w:val="28"/>
          <w:szCs w:val="28"/>
        </w:rPr>
        <w:t>18</w:t>
      </w:r>
      <w:r w:rsidR="004D5AEE">
        <w:rPr>
          <w:rFonts w:cstheme="minorHAnsi"/>
          <w:sz w:val="28"/>
          <w:szCs w:val="28"/>
        </w:rPr>
        <w:t xml:space="preserve">). Nine of these 20 </w:t>
      </w:r>
      <w:r w:rsidR="00647865" w:rsidRPr="00E41C69">
        <w:rPr>
          <w:rFonts w:cstheme="minorHAnsi"/>
          <w:sz w:val="28"/>
          <w:szCs w:val="28"/>
        </w:rPr>
        <w:t xml:space="preserve">countries are in the Middle East (5), South-East Asia (4) and South Asia (4) and only four in Europe, two </w:t>
      </w:r>
      <w:r w:rsidR="00E25C17">
        <w:rPr>
          <w:rFonts w:cstheme="minorHAnsi"/>
          <w:sz w:val="28"/>
          <w:szCs w:val="28"/>
        </w:rPr>
        <w:t xml:space="preserve">in </w:t>
      </w:r>
      <w:r w:rsidR="00647865" w:rsidRPr="00E41C69">
        <w:rPr>
          <w:rFonts w:cstheme="minorHAnsi"/>
          <w:sz w:val="28"/>
          <w:szCs w:val="28"/>
        </w:rPr>
        <w:t>North Ame</w:t>
      </w:r>
      <w:r w:rsidR="0073331A" w:rsidRPr="00E41C69">
        <w:rPr>
          <w:rFonts w:cstheme="minorHAnsi"/>
          <w:sz w:val="28"/>
          <w:szCs w:val="28"/>
        </w:rPr>
        <w:t xml:space="preserve">rica and the Caribbean and just </w:t>
      </w:r>
      <w:r w:rsidR="00647865" w:rsidRPr="00E41C69">
        <w:rPr>
          <w:rFonts w:cstheme="minorHAnsi"/>
          <w:sz w:val="28"/>
          <w:szCs w:val="28"/>
        </w:rPr>
        <w:t>one in sub-Saharan Africa.</w:t>
      </w:r>
      <w:r w:rsidR="00BF7870" w:rsidRPr="00E41C69">
        <w:rPr>
          <w:rFonts w:cstheme="minorHAnsi"/>
          <w:sz w:val="28"/>
          <w:szCs w:val="28"/>
        </w:rPr>
        <w:t xml:space="preserve"> Hong Kong, Singapore and UAE are city states, </w:t>
      </w:r>
      <w:r w:rsidR="006C7A76">
        <w:rPr>
          <w:rFonts w:cstheme="minorHAnsi"/>
          <w:sz w:val="28"/>
          <w:szCs w:val="28"/>
        </w:rPr>
        <w:t xml:space="preserve">and </w:t>
      </w:r>
      <w:r w:rsidR="00BF7870" w:rsidRPr="00E41C69">
        <w:rPr>
          <w:rFonts w:cstheme="minorHAnsi"/>
          <w:sz w:val="28"/>
          <w:szCs w:val="28"/>
        </w:rPr>
        <w:t xml:space="preserve">Ireland and Trinidad and Tobago are </w:t>
      </w:r>
      <w:r w:rsidR="006C7A76">
        <w:rPr>
          <w:rFonts w:cstheme="minorHAnsi"/>
          <w:sz w:val="28"/>
          <w:szCs w:val="28"/>
        </w:rPr>
        <w:t xml:space="preserve">demographically </w:t>
      </w:r>
      <w:r w:rsidR="00BF7870" w:rsidRPr="00E41C69">
        <w:rPr>
          <w:rFonts w:cstheme="minorHAnsi"/>
          <w:sz w:val="28"/>
          <w:szCs w:val="28"/>
        </w:rPr>
        <w:t>small islands</w:t>
      </w:r>
      <w:r w:rsidR="000F6275">
        <w:rPr>
          <w:rFonts w:cstheme="minorHAnsi"/>
          <w:sz w:val="28"/>
          <w:szCs w:val="28"/>
        </w:rPr>
        <w:t xml:space="preserve">. </w:t>
      </w:r>
    </w:p>
    <w:p w14:paraId="27DF3B3A" w14:textId="77777777" w:rsidR="008E344A" w:rsidRDefault="008E344A">
      <w:pPr>
        <w:rPr>
          <w:rFonts w:cstheme="minorHAnsi"/>
          <w:sz w:val="28"/>
          <w:szCs w:val="28"/>
        </w:rPr>
      </w:pPr>
      <w:r>
        <w:rPr>
          <w:rFonts w:cstheme="minorHAnsi"/>
          <w:sz w:val="28"/>
          <w:szCs w:val="28"/>
        </w:rPr>
        <w:br w:type="page"/>
      </w:r>
    </w:p>
    <w:p w14:paraId="78B142E1" w14:textId="0DBD07C1" w:rsidR="00EA2114" w:rsidRDefault="00BF7870" w:rsidP="00E114E2">
      <w:pPr>
        <w:jc w:val="both"/>
        <w:rPr>
          <w:rFonts w:cstheme="minorHAnsi"/>
          <w:sz w:val="28"/>
          <w:szCs w:val="28"/>
        </w:rPr>
      </w:pPr>
      <w:r w:rsidRPr="00E41C69">
        <w:rPr>
          <w:rFonts w:cstheme="minorHAnsi"/>
          <w:sz w:val="28"/>
          <w:szCs w:val="28"/>
        </w:rPr>
        <w:lastRenderedPageBreak/>
        <w:t xml:space="preserve"> </w:t>
      </w:r>
      <w:r w:rsidR="009844C8" w:rsidRPr="00E41C69">
        <w:rPr>
          <w:rFonts w:cstheme="minorHAnsi"/>
          <w:sz w:val="28"/>
          <w:szCs w:val="28"/>
        </w:rPr>
        <w:t xml:space="preserve"> </w:t>
      </w:r>
    </w:p>
    <w:tbl>
      <w:tblPr>
        <w:tblW w:w="9547" w:type="dxa"/>
        <w:tblLook w:val="04A0" w:firstRow="1" w:lastRow="0" w:firstColumn="1" w:lastColumn="0" w:noHBand="0" w:noVBand="1"/>
      </w:tblPr>
      <w:tblGrid>
        <w:gridCol w:w="1817"/>
        <w:gridCol w:w="1243"/>
        <w:gridCol w:w="1477"/>
        <w:gridCol w:w="923"/>
        <w:gridCol w:w="1243"/>
        <w:gridCol w:w="1477"/>
        <w:gridCol w:w="923"/>
        <w:gridCol w:w="222"/>
        <w:gridCol w:w="222"/>
      </w:tblGrid>
      <w:tr w:rsidR="00CF118F" w:rsidRPr="009D6412" w14:paraId="6C9EE241" w14:textId="77777777" w:rsidTr="00CF0D52">
        <w:trPr>
          <w:trHeight w:val="302"/>
        </w:trPr>
        <w:tc>
          <w:tcPr>
            <w:tcW w:w="9547" w:type="dxa"/>
            <w:gridSpan w:val="9"/>
            <w:tcBorders>
              <w:top w:val="nil"/>
              <w:left w:val="nil"/>
              <w:bottom w:val="nil"/>
              <w:right w:val="nil"/>
            </w:tcBorders>
            <w:shd w:val="clear" w:color="auto" w:fill="auto"/>
            <w:noWrap/>
            <w:vAlign w:val="bottom"/>
            <w:hideMark/>
          </w:tcPr>
          <w:p w14:paraId="64A36D24" w14:textId="234F9874" w:rsidR="00CF118F" w:rsidRPr="009D6412" w:rsidRDefault="00F125F1" w:rsidP="00A638F8">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6</w:t>
            </w:r>
            <w:r w:rsidR="00CF118F" w:rsidRPr="009D6412">
              <w:rPr>
                <w:rFonts w:ascii="Calibri" w:eastAsia="Times New Roman" w:hAnsi="Calibri" w:cs="Calibri"/>
                <w:b/>
                <w:bCs/>
                <w:color w:val="5F735C"/>
                <w:lang w:eastAsia="en-GB"/>
              </w:rPr>
              <w:t>: Country enrolment distribution of offshore enrolments by size category (rounded '000 and %)</w:t>
            </w:r>
          </w:p>
        </w:tc>
      </w:tr>
      <w:tr w:rsidR="00CF118F" w:rsidRPr="009D6412" w14:paraId="210BA383" w14:textId="77777777" w:rsidTr="00CF0D52">
        <w:trPr>
          <w:trHeight w:val="302"/>
        </w:trPr>
        <w:tc>
          <w:tcPr>
            <w:tcW w:w="1817"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265AD233"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 </w:t>
            </w:r>
          </w:p>
        </w:tc>
        <w:tc>
          <w:tcPr>
            <w:tcW w:w="3643" w:type="dxa"/>
            <w:gridSpan w:val="3"/>
            <w:tcBorders>
              <w:top w:val="single" w:sz="4" w:space="0" w:color="FFFFFF"/>
              <w:left w:val="nil"/>
              <w:bottom w:val="single" w:sz="4" w:space="0" w:color="FFFFFF"/>
              <w:right w:val="single" w:sz="4" w:space="0" w:color="FFFFFF"/>
            </w:tcBorders>
            <w:shd w:val="clear" w:color="000000" w:fill="49723B"/>
            <w:noWrap/>
            <w:vAlign w:val="bottom"/>
            <w:hideMark/>
          </w:tcPr>
          <w:p w14:paraId="053EA84D"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2007/08</w:t>
            </w:r>
          </w:p>
        </w:tc>
        <w:tc>
          <w:tcPr>
            <w:tcW w:w="3643" w:type="dxa"/>
            <w:gridSpan w:val="3"/>
            <w:tcBorders>
              <w:top w:val="single" w:sz="4" w:space="0" w:color="FFFFFF"/>
              <w:left w:val="nil"/>
              <w:bottom w:val="single" w:sz="4" w:space="0" w:color="FFFFFF"/>
              <w:right w:val="single" w:sz="4" w:space="0" w:color="FFFFFF"/>
            </w:tcBorders>
            <w:shd w:val="clear" w:color="000000" w:fill="49723B"/>
            <w:noWrap/>
            <w:vAlign w:val="bottom"/>
            <w:hideMark/>
          </w:tcPr>
          <w:p w14:paraId="4FCB472C"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2015/16</w:t>
            </w:r>
          </w:p>
        </w:tc>
        <w:tc>
          <w:tcPr>
            <w:tcW w:w="222" w:type="dxa"/>
            <w:tcBorders>
              <w:top w:val="nil"/>
              <w:left w:val="nil"/>
              <w:bottom w:val="nil"/>
              <w:right w:val="nil"/>
            </w:tcBorders>
            <w:shd w:val="clear" w:color="auto" w:fill="auto"/>
            <w:noWrap/>
            <w:vAlign w:val="bottom"/>
            <w:hideMark/>
          </w:tcPr>
          <w:p w14:paraId="44763B7A"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p>
        </w:tc>
        <w:tc>
          <w:tcPr>
            <w:tcW w:w="222" w:type="dxa"/>
            <w:tcBorders>
              <w:top w:val="nil"/>
              <w:left w:val="nil"/>
              <w:bottom w:val="nil"/>
              <w:right w:val="nil"/>
            </w:tcBorders>
            <w:shd w:val="clear" w:color="auto" w:fill="auto"/>
            <w:noWrap/>
            <w:vAlign w:val="bottom"/>
            <w:hideMark/>
          </w:tcPr>
          <w:p w14:paraId="06D47EA8" w14:textId="77777777" w:rsidR="00CF118F" w:rsidRPr="009D6412" w:rsidRDefault="00CF118F" w:rsidP="00A638F8">
            <w:pPr>
              <w:spacing w:after="0" w:line="240" w:lineRule="auto"/>
              <w:rPr>
                <w:rFonts w:ascii="Times New Roman" w:eastAsia="Times New Roman" w:hAnsi="Times New Roman" w:cs="Times New Roman"/>
                <w:sz w:val="20"/>
                <w:szCs w:val="20"/>
                <w:lang w:eastAsia="en-GB"/>
              </w:rPr>
            </w:pPr>
          </w:p>
        </w:tc>
      </w:tr>
      <w:tr w:rsidR="00CF118F" w:rsidRPr="009D6412" w14:paraId="19264DA1" w14:textId="77777777" w:rsidTr="00CF0D52">
        <w:trPr>
          <w:trHeight w:val="302"/>
        </w:trPr>
        <w:tc>
          <w:tcPr>
            <w:tcW w:w="1817" w:type="dxa"/>
            <w:tcBorders>
              <w:top w:val="nil"/>
              <w:left w:val="single" w:sz="4" w:space="0" w:color="FFFFFF"/>
              <w:bottom w:val="single" w:sz="4" w:space="0" w:color="FFFFFF"/>
              <w:right w:val="single" w:sz="4" w:space="0" w:color="FFFFFF"/>
            </w:tcBorders>
            <w:shd w:val="clear" w:color="000000" w:fill="49723B"/>
            <w:noWrap/>
            <w:vAlign w:val="bottom"/>
            <w:hideMark/>
          </w:tcPr>
          <w:p w14:paraId="568CA012"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 </w:t>
            </w:r>
            <w:r w:rsidR="004D5AEE">
              <w:rPr>
                <w:rFonts w:ascii="Calibri" w:eastAsia="Times New Roman" w:hAnsi="Calibri" w:cs="Calibri"/>
                <w:b/>
                <w:bCs/>
                <w:color w:val="FFFFFF"/>
                <w:lang w:eastAsia="en-GB"/>
              </w:rPr>
              <w:t>Students</w:t>
            </w:r>
          </w:p>
        </w:tc>
        <w:tc>
          <w:tcPr>
            <w:tcW w:w="1243" w:type="dxa"/>
            <w:tcBorders>
              <w:top w:val="nil"/>
              <w:left w:val="nil"/>
              <w:bottom w:val="single" w:sz="4" w:space="0" w:color="FFFFFF"/>
              <w:right w:val="single" w:sz="4" w:space="0" w:color="FFFFFF"/>
            </w:tcBorders>
            <w:shd w:val="clear" w:color="000000" w:fill="49723B"/>
            <w:noWrap/>
            <w:vAlign w:val="bottom"/>
            <w:hideMark/>
          </w:tcPr>
          <w:p w14:paraId="6BE5B751"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Countries</w:t>
            </w:r>
          </w:p>
        </w:tc>
        <w:tc>
          <w:tcPr>
            <w:tcW w:w="1477" w:type="dxa"/>
            <w:tcBorders>
              <w:top w:val="nil"/>
              <w:left w:val="nil"/>
              <w:bottom w:val="single" w:sz="4" w:space="0" w:color="FFFFFF"/>
              <w:right w:val="single" w:sz="4" w:space="0" w:color="FFFFFF"/>
            </w:tcBorders>
            <w:shd w:val="clear" w:color="000000" w:fill="49723B"/>
            <w:noWrap/>
            <w:vAlign w:val="bottom"/>
            <w:hideMark/>
          </w:tcPr>
          <w:p w14:paraId="66B68407"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Enrolments</w:t>
            </w:r>
          </w:p>
        </w:tc>
        <w:tc>
          <w:tcPr>
            <w:tcW w:w="923" w:type="dxa"/>
            <w:tcBorders>
              <w:top w:val="nil"/>
              <w:left w:val="nil"/>
              <w:bottom w:val="single" w:sz="4" w:space="0" w:color="FFFFFF"/>
              <w:right w:val="single" w:sz="4" w:space="0" w:color="FFFFFF"/>
            </w:tcBorders>
            <w:shd w:val="clear" w:color="000000" w:fill="49723B"/>
            <w:noWrap/>
            <w:vAlign w:val="bottom"/>
            <w:hideMark/>
          </w:tcPr>
          <w:p w14:paraId="02F3E613"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 total</w:t>
            </w:r>
          </w:p>
        </w:tc>
        <w:tc>
          <w:tcPr>
            <w:tcW w:w="1243" w:type="dxa"/>
            <w:tcBorders>
              <w:top w:val="nil"/>
              <w:left w:val="nil"/>
              <w:bottom w:val="single" w:sz="4" w:space="0" w:color="FFFFFF"/>
              <w:right w:val="single" w:sz="4" w:space="0" w:color="FFFFFF"/>
            </w:tcBorders>
            <w:shd w:val="clear" w:color="000000" w:fill="49723B"/>
            <w:noWrap/>
            <w:vAlign w:val="bottom"/>
            <w:hideMark/>
          </w:tcPr>
          <w:p w14:paraId="61CE1F19"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Countries</w:t>
            </w:r>
          </w:p>
        </w:tc>
        <w:tc>
          <w:tcPr>
            <w:tcW w:w="1477" w:type="dxa"/>
            <w:tcBorders>
              <w:top w:val="nil"/>
              <w:left w:val="nil"/>
              <w:bottom w:val="single" w:sz="4" w:space="0" w:color="FFFFFF"/>
              <w:right w:val="single" w:sz="4" w:space="0" w:color="FFFFFF"/>
            </w:tcBorders>
            <w:shd w:val="clear" w:color="000000" w:fill="49723B"/>
            <w:noWrap/>
            <w:vAlign w:val="bottom"/>
            <w:hideMark/>
          </w:tcPr>
          <w:p w14:paraId="3B8BE4C4"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Enrolments</w:t>
            </w:r>
          </w:p>
        </w:tc>
        <w:tc>
          <w:tcPr>
            <w:tcW w:w="923" w:type="dxa"/>
            <w:tcBorders>
              <w:top w:val="nil"/>
              <w:left w:val="nil"/>
              <w:bottom w:val="single" w:sz="4" w:space="0" w:color="FFFFFF"/>
              <w:right w:val="single" w:sz="4" w:space="0" w:color="FFFFFF"/>
            </w:tcBorders>
            <w:shd w:val="clear" w:color="000000" w:fill="49723B"/>
            <w:noWrap/>
            <w:vAlign w:val="bottom"/>
            <w:hideMark/>
          </w:tcPr>
          <w:p w14:paraId="00D40627"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 total</w:t>
            </w:r>
          </w:p>
        </w:tc>
        <w:tc>
          <w:tcPr>
            <w:tcW w:w="222" w:type="dxa"/>
            <w:tcBorders>
              <w:top w:val="nil"/>
              <w:left w:val="nil"/>
              <w:bottom w:val="nil"/>
              <w:right w:val="nil"/>
            </w:tcBorders>
            <w:shd w:val="clear" w:color="auto" w:fill="auto"/>
            <w:noWrap/>
            <w:vAlign w:val="bottom"/>
            <w:hideMark/>
          </w:tcPr>
          <w:p w14:paraId="60FCBC90"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p>
        </w:tc>
        <w:tc>
          <w:tcPr>
            <w:tcW w:w="222" w:type="dxa"/>
            <w:tcBorders>
              <w:top w:val="nil"/>
              <w:left w:val="nil"/>
              <w:bottom w:val="nil"/>
              <w:right w:val="nil"/>
            </w:tcBorders>
            <w:shd w:val="clear" w:color="auto" w:fill="auto"/>
            <w:noWrap/>
            <w:vAlign w:val="bottom"/>
            <w:hideMark/>
          </w:tcPr>
          <w:p w14:paraId="5ADADB92" w14:textId="77777777" w:rsidR="00CF118F" w:rsidRPr="009D6412" w:rsidRDefault="00CF118F" w:rsidP="00A638F8">
            <w:pPr>
              <w:spacing w:after="0" w:line="240" w:lineRule="auto"/>
              <w:rPr>
                <w:rFonts w:ascii="Times New Roman" w:eastAsia="Times New Roman" w:hAnsi="Times New Roman" w:cs="Times New Roman"/>
                <w:sz w:val="20"/>
                <w:szCs w:val="20"/>
                <w:lang w:eastAsia="en-GB"/>
              </w:rPr>
            </w:pPr>
          </w:p>
        </w:tc>
      </w:tr>
      <w:tr w:rsidR="00CF118F" w:rsidRPr="009D6412" w14:paraId="1B6DA43F" w14:textId="77777777" w:rsidTr="00CF0D52">
        <w:trPr>
          <w:trHeight w:val="302"/>
        </w:trPr>
        <w:tc>
          <w:tcPr>
            <w:tcW w:w="1817" w:type="dxa"/>
            <w:tcBorders>
              <w:top w:val="nil"/>
              <w:left w:val="single" w:sz="4" w:space="0" w:color="FFFFFF"/>
              <w:bottom w:val="single" w:sz="4" w:space="0" w:color="FFFFFF"/>
              <w:right w:val="single" w:sz="4" w:space="0" w:color="FFFFFF"/>
            </w:tcBorders>
            <w:shd w:val="clear" w:color="000000" w:fill="49723B"/>
            <w:noWrap/>
            <w:vAlign w:val="bottom"/>
            <w:hideMark/>
          </w:tcPr>
          <w:p w14:paraId="6D7CC7F1"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20,000&gt;</w:t>
            </w:r>
          </w:p>
        </w:tc>
        <w:tc>
          <w:tcPr>
            <w:tcW w:w="1243" w:type="dxa"/>
            <w:tcBorders>
              <w:top w:val="nil"/>
              <w:left w:val="nil"/>
              <w:bottom w:val="single" w:sz="4" w:space="0" w:color="FFFFFF"/>
              <w:right w:val="single" w:sz="4" w:space="0" w:color="FFFFFF"/>
            </w:tcBorders>
            <w:shd w:val="clear" w:color="000000" w:fill="EFEAE6"/>
            <w:noWrap/>
            <w:vAlign w:val="bottom"/>
            <w:hideMark/>
          </w:tcPr>
          <w:p w14:paraId="670F5A11"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0</w:t>
            </w:r>
          </w:p>
        </w:tc>
        <w:tc>
          <w:tcPr>
            <w:tcW w:w="1477" w:type="dxa"/>
            <w:tcBorders>
              <w:top w:val="nil"/>
              <w:left w:val="nil"/>
              <w:bottom w:val="single" w:sz="4" w:space="0" w:color="FFFFFF"/>
              <w:right w:val="single" w:sz="4" w:space="0" w:color="FFFFFF"/>
            </w:tcBorders>
            <w:shd w:val="clear" w:color="000000" w:fill="EFEAE6"/>
            <w:noWrap/>
            <w:vAlign w:val="bottom"/>
            <w:hideMark/>
          </w:tcPr>
          <w:p w14:paraId="52FF1F35"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0</w:t>
            </w:r>
          </w:p>
        </w:tc>
        <w:tc>
          <w:tcPr>
            <w:tcW w:w="923" w:type="dxa"/>
            <w:tcBorders>
              <w:top w:val="nil"/>
              <w:left w:val="nil"/>
              <w:bottom w:val="single" w:sz="4" w:space="0" w:color="FFFFFF"/>
              <w:right w:val="single" w:sz="4" w:space="0" w:color="FFFFFF"/>
            </w:tcBorders>
            <w:shd w:val="clear" w:color="000000" w:fill="EFEAE6"/>
            <w:noWrap/>
            <w:vAlign w:val="bottom"/>
            <w:hideMark/>
          </w:tcPr>
          <w:p w14:paraId="205D16B6"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0</w:t>
            </w:r>
          </w:p>
        </w:tc>
        <w:tc>
          <w:tcPr>
            <w:tcW w:w="1243" w:type="dxa"/>
            <w:tcBorders>
              <w:top w:val="nil"/>
              <w:left w:val="nil"/>
              <w:bottom w:val="single" w:sz="4" w:space="0" w:color="FFFFFF"/>
              <w:right w:val="single" w:sz="4" w:space="0" w:color="FFFFFF"/>
            </w:tcBorders>
            <w:shd w:val="clear" w:color="000000" w:fill="EFEAE6"/>
            <w:noWrap/>
            <w:vAlign w:val="bottom"/>
            <w:hideMark/>
          </w:tcPr>
          <w:p w14:paraId="2E3D1185"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4</w:t>
            </w:r>
          </w:p>
        </w:tc>
        <w:tc>
          <w:tcPr>
            <w:tcW w:w="1477" w:type="dxa"/>
            <w:tcBorders>
              <w:top w:val="nil"/>
              <w:left w:val="nil"/>
              <w:bottom w:val="single" w:sz="4" w:space="0" w:color="FFFFFF"/>
              <w:right w:val="single" w:sz="4" w:space="0" w:color="FFFFFF"/>
            </w:tcBorders>
            <w:shd w:val="clear" w:color="000000" w:fill="EFEAE6"/>
            <w:noWrap/>
            <w:vAlign w:val="bottom"/>
            <w:hideMark/>
          </w:tcPr>
          <w:p w14:paraId="77D5E724"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140</w:t>
            </w:r>
          </w:p>
        </w:tc>
        <w:tc>
          <w:tcPr>
            <w:tcW w:w="923" w:type="dxa"/>
            <w:tcBorders>
              <w:top w:val="nil"/>
              <w:left w:val="nil"/>
              <w:bottom w:val="single" w:sz="4" w:space="0" w:color="FFFFFF"/>
              <w:right w:val="single" w:sz="4" w:space="0" w:color="FFFFFF"/>
            </w:tcBorders>
            <w:shd w:val="clear" w:color="000000" w:fill="EFEAE6"/>
            <w:noWrap/>
            <w:vAlign w:val="bottom"/>
            <w:hideMark/>
          </w:tcPr>
          <w:p w14:paraId="64114963"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36</w:t>
            </w:r>
          </w:p>
        </w:tc>
        <w:tc>
          <w:tcPr>
            <w:tcW w:w="222" w:type="dxa"/>
            <w:tcBorders>
              <w:top w:val="nil"/>
              <w:left w:val="nil"/>
              <w:bottom w:val="nil"/>
              <w:right w:val="nil"/>
            </w:tcBorders>
            <w:shd w:val="clear" w:color="auto" w:fill="auto"/>
            <w:noWrap/>
            <w:vAlign w:val="bottom"/>
            <w:hideMark/>
          </w:tcPr>
          <w:p w14:paraId="063937CE" w14:textId="77777777" w:rsidR="00CF118F" w:rsidRPr="009D6412" w:rsidRDefault="00CF118F" w:rsidP="00A638F8">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C1E8F55" w14:textId="77777777" w:rsidR="00CF118F" w:rsidRPr="009D6412" w:rsidRDefault="00CF118F" w:rsidP="00A638F8">
            <w:pPr>
              <w:spacing w:after="0" w:line="240" w:lineRule="auto"/>
              <w:rPr>
                <w:rFonts w:ascii="Times New Roman" w:eastAsia="Times New Roman" w:hAnsi="Times New Roman" w:cs="Times New Roman"/>
                <w:sz w:val="20"/>
                <w:szCs w:val="20"/>
                <w:lang w:eastAsia="en-GB"/>
              </w:rPr>
            </w:pPr>
          </w:p>
        </w:tc>
      </w:tr>
      <w:tr w:rsidR="00CF118F" w:rsidRPr="009D6412" w14:paraId="188B837B" w14:textId="77777777" w:rsidTr="00CF0D52">
        <w:trPr>
          <w:trHeight w:val="302"/>
        </w:trPr>
        <w:tc>
          <w:tcPr>
            <w:tcW w:w="1817" w:type="dxa"/>
            <w:tcBorders>
              <w:top w:val="nil"/>
              <w:left w:val="single" w:sz="4" w:space="0" w:color="FFFFFF"/>
              <w:bottom w:val="single" w:sz="4" w:space="0" w:color="FFFFFF"/>
              <w:right w:val="single" w:sz="4" w:space="0" w:color="FFFFFF"/>
            </w:tcBorders>
            <w:shd w:val="clear" w:color="000000" w:fill="49723B"/>
            <w:noWrap/>
            <w:vAlign w:val="bottom"/>
            <w:hideMark/>
          </w:tcPr>
          <w:p w14:paraId="5842BBBC"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10,000-19,999</w:t>
            </w:r>
          </w:p>
        </w:tc>
        <w:tc>
          <w:tcPr>
            <w:tcW w:w="1243" w:type="dxa"/>
            <w:tcBorders>
              <w:top w:val="nil"/>
              <w:left w:val="nil"/>
              <w:bottom w:val="single" w:sz="4" w:space="0" w:color="FFFFFF"/>
              <w:right w:val="single" w:sz="4" w:space="0" w:color="FFFFFF"/>
            </w:tcBorders>
            <w:shd w:val="clear" w:color="000000" w:fill="EFEAE6"/>
            <w:noWrap/>
            <w:vAlign w:val="bottom"/>
            <w:hideMark/>
          </w:tcPr>
          <w:p w14:paraId="1328F3A4"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4</w:t>
            </w:r>
          </w:p>
        </w:tc>
        <w:tc>
          <w:tcPr>
            <w:tcW w:w="1477" w:type="dxa"/>
            <w:tcBorders>
              <w:top w:val="nil"/>
              <w:left w:val="nil"/>
              <w:bottom w:val="single" w:sz="4" w:space="0" w:color="FFFFFF"/>
              <w:right w:val="single" w:sz="4" w:space="0" w:color="FFFFFF"/>
            </w:tcBorders>
            <w:shd w:val="clear" w:color="000000" w:fill="EFEAE6"/>
            <w:noWrap/>
            <w:vAlign w:val="bottom"/>
            <w:hideMark/>
          </w:tcPr>
          <w:p w14:paraId="251793FA"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73</w:t>
            </w:r>
          </w:p>
        </w:tc>
        <w:tc>
          <w:tcPr>
            <w:tcW w:w="923" w:type="dxa"/>
            <w:tcBorders>
              <w:top w:val="nil"/>
              <w:left w:val="nil"/>
              <w:bottom w:val="single" w:sz="4" w:space="0" w:color="FFFFFF"/>
              <w:right w:val="single" w:sz="4" w:space="0" w:color="FFFFFF"/>
            </w:tcBorders>
            <w:shd w:val="clear" w:color="000000" w:fill="EFEAE6"/>
            <w:noWrap/>
            <w:vAlign w:val="bottom"/>
            <w:hideMark/>
          </w:tcPr>
          <w:p w14:paraId="1494968B"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37</w:t>
            </w:r>
          </w:p>
        </w:tc>
        <w:tc>
          <w:tcPr>
            <w:tcW w:w="1243" w:type="dxa"/>
            <w:tcBorders>
              <w:top w:val="nil"/>
              <w:left w:val="nil"/>
              <w:bottom w:val="single" w:sz="4" w:space="0" w:color="FFFFFF"/>
              <w:right w:val="single" w:sz="4" w:space="0" w:color="FFFFFF"/>
            </w:tcBorders>
            <w:shd w:val="clear" w:color="000000" w:fill="EFEAE6"/>
            <w:noWrap/>
            <w:vAlign w:val="bottom"/>
            <w:hideMark/>
          </w:tcPr>
          <w:p w14:paraId="2360193B"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5</w:t>
            </w:r>
          </w:p>
        </w:tc>
        <w:tc>
          <w:tcPr>
            <w:tcW w:w="1477" w:type="dxa"/>
            <w:tcBorders>
              <w:top w:val="nil"/>
              <w:left w:val="nil"/>
              <w:bottom w:val="single" w:sz="4" w:space="0" w:color="FFFFFF"/>
              <w:right w:val="single" w:sz="4" w:space="0" w:color="FFFFFF"/>
            </w:tcBorders>
            <w:shd w:val="clear" w:color="000000" w:fill="EFEAE6"/>
            <w:noWrap/>
            <w:vAlign w:val="bottom"/>
            <w:hideMark/>
          </w:tcPr>
          <w:p w14:paraId="38B4B1E5"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83</w:t>
            </w:r>
          </w:p>
        </w:tc>
        <w:tc>
          <w:tcPr>
            <w:tcW w:w="923" w:type="dxa"/>
            <w:tcBorders>
              <w:top w:val="nil"/>
              <w:left w:val="nil"/>
              <w:bottom w:val="single" w:sz="4" w:space="0" w:color="FFFFFF"/>
              <w:right w:val="single" w:sz="4" w:space="0" w:color="FFFFFF"/>
            </w:tcBorders>
            <w:shd w:val="clear" w:color="000000" w:fill="EFEAE6"/>
            <w:noWrap/>
            <w:vAlign w:val="bottom"/>
            <w:hideMark/>
          </w:tcPr>
          <w:p w14:paraId="07196048"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21</w:t>
            </w:r>
          </w:p>
        </w:tc>
        <w:tc>
          <w:tcPr>
            <w:tcW w:w="222" w:type="dxa"/>
            <w:tcBorders>
              <w:top w:val="nil"/>
              <w:left w:val="nil"/>
              <w:bottom w:val="nil"/>
              <w:right w:val="nil"/>
            </w:tcBorders>
            <w:shd w:val="clear" w:color="auto" w:fill="auto"/>
            <w:noWrap/>
            <w:vAlign w:val="bottom"/>
            <w:hideMark/>
          </w:tcPr>
          <w:p w14:paraId="738F6592" w14:textId="77777777" w:rsidR="00CF118F" w:rsidRPr="009D6412" w:rsidRDefault="00CF118F" w:rsidP="00A638F8">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F3893D0" w14:textId="77777777" w:rsidR="00CF118F" w:rsidRPr="009D6412" w:rsidRDefault="00CF118F" w:rsidP="00A638F8">
            <w:pPr>
              <w:spacing w:after="0" w:line="240" w:lineRule="auto"/>
              <w:rPr>
                <w:rFonts w:ascii="Times New Roman" w:eastAsia="Times New Roman" w:hAnsi="Times New Roman" w:cs="Times New Roman"/>
                <w:sz w:val="20"/>
                <w:szCs w:val="20"/>
                <w:lang w:eastAsia="en-GB"/>
              </w:rPr>
            </w:pPr>
          </w:p>
        </w:tc>
      </w:tr>
      <w:tr w:rsidR="00CF118F" w:rsidRPr="009D6412" w14:paraId="6DA79C1F" w14:textId="77777777" w:rsidTr="00CF0D52">
        <w:trPr>
          <w:trHeight w:val="302"/>
        </w:trPr>
        <w:tc>
          <w:tcPr>
            <w:tcW w:w="1817" w:type="dxa"/>
            <w:tcBorders>
              <w:top w:val="nil"/>
              <w:left w:val="single" w:sz="4" w:space="0" w:color="FFFFFF"/>
              <w:bottom w:val="single" w:sz="4" w:space="0" w:color="FFFFFF"/>
              <w:right w:val="single" w:sz="4" w:space="0" w:color="FFFFFF"/>
            </w:tcBorders>
            <w:shd w:val="clear" w:color="000000" w:fill="49723B"/>
            <w:noWrap/>
            <w:vAlign w:val="bottom"/>
            <w:hideMark/>
          </w:tcPr>
          <w:p w14:paraId="3B3FD542"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5,000-9,999</w:t>
            </w:r>
          </w:p>
        </w:tc>
        <w:tc>
          <w:tcPr>
            <w:tcW w:w="1243" w:type="dxa"/>
            <w:tcBorders>
              <w:top w:val="nil"/>
              <w:left w:val="nil"/>
              <w:bottom w:val="single" w:sz="4" w:space="0" w:color="FFFFFF"/>
              <w:right w:val="single" w:sz="4" w:space="0" w:color="FFFFFF"/>
            </w:tcBorders>
            <w:shd w:val="clear" w:color="000000" w:fill="EFEAE6"/>
            <w:noWrap/>
            <w:vAlign w:val="bottom"/>
            <w:hideMark/>
          </w:tcPr>
          <w:p w14:paraId="1AE51B12"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6</w:t>
            </w:r>
          </w:p>
        </w:tc>
        <w:tc>
          <w:tcPr>
            <w:tcW w:w="1477" w:type="dxa"/>
            <w:tcBorders>
              <w:top w:val="nil"/>
              <w:left w:val="nil"/>
              <w:bottom w:val="single" w:sz="4" w:space="0" w:color="FFFFFF"/>
              <w:right w:val="single" w:sz="4" w:space="0" w:color="FFFFFF"/>
            </w:tcBorders>
            <w:shd w:val="clear" w:color="000000" w:fill="EFEAE6"/>
            <w:noWrap/>
            <w:vAlign w:val="bottom"/>
            <w:hideMark/>
          </w:tcPr>
          <w:p w14:paraId="624C5010"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48</w:t>
            </w:r>
          </w:p>
        </w:tc>
        <w:tc>
          <w:tcPr>
            <w:tcW w:w="923" w:type="dxa"/>
            <w:tcBorders>
              <w:top w:val="nil"/>
              <w:left w:val="nil"/>
              <w:bottom w:val="single" w:sz="4" w:space="0" w:color="FFFFFF"/>
              <w:right w:val="single" w:sz="4" w:space="0" w:color="FFFFFF"/>
            </w:tcBorders>
            <w:shd w:val="clear" w:color="000000" w:fill="EFEAE6"/>
            <w:noWrap/>
            <w:vAlign w:val="bottom"/>
            <w:hideMark/>
          </w:tcPr>
          <w:p w14:paraId="24A85D71"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25</w:t>
            </w:r>
          </w:p>
        </w:tc>
        <w:tc>
          <w:tcPr>
            <w:tcW w:w="1243" w:type="dxa"/>
            <w:tcBorders>
              <w:top w:val="nil"/>
              <w:left w:val="nil"/>
              <w:bottom w:val="single" w:sz="4" w:space="0" w:color="FFFFFF"/>
              <w:right w:val="single" w:sz="4" w:space="0" w:color="FFFFFF"/>
            </w:tcBorders>
            <w:shd w:val="clear" w:color="000000" w:fill="EFEAE6"/>
            <w:noWrap/>
            <w:vAlign w:val="bottom"/>
            <w:hideMark/>
          </w:tcPr>
          <w:p w14:paraId="6A15738B" w14:textId="77777777" w:rsidR="00CF118F" w:rsidRPr="009D6412" w:rsidRDefault="004D5AEE" w:rsidP="00A638F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1477" w:type="dxa"/>
            <w:tcBorders>
              <w:top w:val="nil"/>
              <w:left w:val="nil"/>
              <w:bottom w:val="single" w:sz="4" w:space="0" w:color="FFFFFF"/>
              <w:right w:val="single" w:sz="4" w:space="0" w:color="FFFFFF"/>
            </w:tcBorders>
            <w:shd w:val="clear" w:color="000000" w:fill="EFEAE6"/>
            <w:noWrap/>
            <w:vAlign w:val="bottom"/>
            <w:hideMark/>
          </w:tcPr>
          <w:p w14:paraId="53FE7DE0"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67</w:t>
            </w:r>
          </w:p>
        </w:tc>
        <w:tc>
          <w:tcPr>
            <w:tcW w:w="923" w:type="dxa"/>
            <w:tcBorders>
              <w:top w:val="nil"/>
              <w:left w:val="nil"/>
              <w:bottom w:val="single" w:sz="4" w:space="0" w:color="FFFFFF"/>
              <w:right w:val="single" w:sz="4" w:space="0" w:color="FFFFFF"/>
            </w:tcBorders>
            <w:shd w:val="clear" w:color="000000" w:fill="EFEAE6"/>
            <w:noWrap/>
            <w:vAlign w:val="bottom"/>
            <w:hideMark/>
          </w:tcPr>
          <w:p w14:paraId="652FE72B"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17</w:t>
            </w:r>
          </w:p>
        </w:tc>
        <w:tc>
          <w:tcPr>
            <w:tcW w:w="222" w:type="dxa"/>
            <w:tcBorders>
              <w:top w:val="nil"/>
              <w:left w:val="nil"/>
              <w:bottom w:val="nil"/>
              <w:right w:val="nil"/>
            </w:tcBorders>
            <w:shd w:val="clear" w:color="auto" w:fill="auto"/>
            <w:noWrap/>
            <w:vAlign w:val="bottom"/>
            <w:hideMark/>
          </w:tcPr>
          <w:p w14:paraId="79C452EE" w14:textId="77777777" w:rsidR="00CF118F" w:rsidRPr="009D6412" w:rsidRDefault="00CF118F" w:rsidP="00A638F8">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7BAE6D64" w14:textId="77777777" w:rsidR="00CF118F" w:rsidRPr="009D6412" w:rsidRDefault="00CF118F" w:rsidP="00A638F8">
            <w:pPr>
              <w:spacing w:after="0" w:line="240" w:lineRule="auto"/>
              <w:rPr>
                <w:rFonts w:ascii="Times New Roman" w:eastAsia="Times New Roman" w:hAnsi="Times New Roman" w:cs="Times New Roman"/>
                <w:sz w:val="20"/>
                <w:szCs w:val="20"/>
                <w:lang w:eastAsia="en-GB"/>
              </w:rPr>
            </w:pPr>
          </w:p>
        </w:tc>
      </w:tr>
      <w:tr w:rsidR="00CF118F" w:rsidRPr="009D6412" w14:paraId="230DE49D" w14:textId="77777777" w:rsidTr="00CF0D52">
        <w:trPr>
          <w:trHeight w:val="302"/>
        </w:trPr>
        <w:tc>
          <w:tcPr>
            <w:tcW w:w="1817" w:type="dxa"/>
            <w:tcBorders>
              <w:top w:val="nil"/>
              <w:left w:val="single" w:sz="4" w:space="0" w:color="FFFFFF"/>
              <w:bottom w:val="single" w:sz="4" w:space="0" w:color="FFFFFF"/>
              <w:right w:val="single" w:sz="4" w:space="0" w:color="FFFFFF"/>
            </w:tcBorders>
            <w:shd w:val="clear" w:color="000000" w:fill="49723B"/>
            <w:noWrap/>
            <w:vAlign w:val="bottom"/>
            <w:hideMark/>
          </w:tcPr>
          <w:p w14:paraId="521D48C6"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2,500-4,999</w:t>
            </w:r>
          </w:p>
        </w:tc>
        <w:tc>
          <w:tcPr>
            <w:tcW w:w="1243" w:type="dxa"/>
            <w:tcBorders>
              <w:top w:val="nil"/>
              <w:left w:val="nil"/>
              <w:bottom w:val="single" w:sz="4" w:space="0" w:color="FFFFFF"/>
              <w:right w:val="single" w:sz="4" w:space="0" w:color="FFFFFF"/>
            </w:tcBorders>
            <w:shd w:val="clear" w:color="000000" w:fill="EFEAE6"/>
            <w:noWrap/>
            <w:vAlign w:val="bottom"/>
            <w:hideMark/>
          </w:tcPr>
          <w:p w14:paraId="487DA2FB"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7</w:t>
            </w:r>
          </w:p>
        </w:tc>
        <w:tc>
          <w:tcPr>
            <w:tcW w:w="1477" w:type="dxa"/>
            <w:tcBorders>
              <w:top w:val="nil"/>
              <w:left w:val="nil"/>
              <w:bottom w:val="single" w:sz="4" w:space="0" w:color="FFFFFF"/>
              <w:right w:val="single" w:sz="4" w:space="0" w:color="FFFFFF"/>
            </w:tcBorders>
            <w:shd w:val="clear" w:color="000000" w:fill="EFEAE6"/>
            <w:noWrap/>
            <w:vAlign w:val="bottom"/>
            <w:hideMark/>
          </w:tcPr>
          <w:p w14:paraId="16E242DD"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30</w:t>
            </w:r>
          </w:p>
        </w:tc>
        <w:tc>
          <w:tcPr>
            <w:tcW w:w="923" w:type="dxa"/>
            <w:tcBorders>
              <w:top w:val="nil"/>
              <w:left w:val="nil"/>
              <w:bottom w:val="single" w:sz="4" w:space="0" w:color="FFFFFF"/>
              <w:right w:val="single" w:sz="4" w:space="0" w:color="FFFFFF"/>
            </w:tcBorders>
            <w:shd w:val="clear" w:color="000000" w:fill="EFEAE6"/>
            <w:noWrap/>
            <w:vAlign w:val="bottom"/>
            <w:hideMark/>
          </w:tcPr>
          <w:p w14:paraId="012BDD4C"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15</w:t>
            </w:r>
          </w:p>
        </w:tc>
        <w:tc>
          <w:tcPr>
            <w:tcW w:w="1243" w:type="dxa"/>
            <w:tcBorders>
              <w:top w:val="nil"/>
              <w:left w:val="nil"/>
              <w:bottom w:val="single" w:sz="4" w:space="0" w:color="FFFFFF"/>
              <w:right w:val="single" w:sz="4" w:space="0" w:color="FFFFFF"/>
            </w:tcBorders>
            <w:shd w:val="clear" w:color="000000" w:fill="EFEAE6"/>
            <w:noWrap/>
            <w:vAlign w:val="bottom"/>
            <w:hideMark/>
          </w:tcPr>
          <w:p w14:paraId="0AD56B41"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10</w:t>
            </w:r>
          </w:p>
        </w:tc>
        <w:tc>
          <w:tcPr>
            <w:tcW w:w="1477" w:type="dxa"/>
            <w:tcBorders>
              <w:top w:val="nil"/>
              <w:left w:val="nil"/>
              <w:bottom w:val="single" w:sz="4" w:space="0" w:color="FFFFFF"/>
              <w:right w:val="single" w:sz="4" w:space="0" w:color="FFFFFF"/>
            </w:tcBorders>
            <w:shd w:val="clear" w:color="000000" w:fill="EFEAE6"/>
            <w:noWrap/>
            <w:vAlign w:val="bottom"/>
            <w:hideMark/>
          </w:tcPr>
          <w:p w14:paraId="38804A65"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34</w:t>
            </w:r>
          </w:p>
        </w:tc>
        <w:tc>
          <w:tcPr>
            <w:tcW w:w="923" w:type="dxa"/>
            <w:tcBorders>
              <w:top w:val="nil"/>
              <w:left w:val="nil"/>
              <w:bottom w:val="single" w:sz="4" w:space="0" w:color="FFFFFF"/>
              <w:right w:val="single" w:sz="4" w:space="0" w:color="FFFFFF"/>
            </w:tcBorders>
            <w:shd w:val="clear" w:color="000000" w:fill="EFEAE6"/>
            <w:noWrap/>
            <w:vAlign w:val="bottom"/>
            <w:hideMark/>
          </w:tcPr>
          <w:p w14:paraId="2CB2E95C"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9</w:t>
            </w:r>
          </w:p>
        </w:tc>
        <w:tc>
          <w:tcPr>
            <w:tcW w:w="222" w:type="dxa"/>
            <w:tcBorders>
              <w:top w:val="nil"/>
              <w:left w:val="nil"/>
              <w:bottom w:val="nil"/>
              <w:right w:val="nil"/>
            </w:tcBorders>
            <w:shd w:val="clear" w:color="auto" w:fill="auto"/>
            <w:noWrap/>
            <w:vAlign w:val="bottom"/>
            <w:hideMark/>
          </w:tcPr>
          <w:p w14:paraId="66AF365A" w14:textId="77777777" w:rsidR="00CF118F" w:rsidRPr="009D6412" w:rsidRDefault="00CF118F" w:rsidP="00A638F8">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6AC502EB" w14:textId="77777777" w:rsidR="00CF118F" w:rsidRPr="009D6412" w:rsidRDefault="00CF118F" w:rsidP="00A638F8">
            <w:pPr>
              <w:spacing w:after="0" w:line="240" w:lineRule="auto"/>
              <w:rPr>
                <w:rFonts w:ascii="Times New Roman" w:eastAsia="Times New Roman" w:hAnsi="Times New Roman" w:cs="Times New Roman"/>
                <w:sz w:val="20"/>
                <w:szCs w:val="20"/>
                <w:lang w:eastAsia="en-GB"/>
              </w:rPr>
            </w:pPr>
          </w:p>
        </w:tc>
      </w:tr>
      <w:tr w:rsidR="00CF118F" w:rsidRPr="009D6412" w14:paraId="363CC5E9" w14:textId="77777777" w:rsidTr="00CF0D52">
        <w:trPr>
          <w:trHeight w:val="302"/>
        </w:trPr>
        <w:tc>
          <w:tcPr>
            <w:tcW w:w="1817" w:type="dxa"/>
            <w:tcBorders>
              <w:top w:val="nil"/>
              <w:left w:val="single" w:sz="4" w:space="0" w:color="FFFFFF"/>
              <w:bottom w:val="single" w:sz="4" w:space="0" w:color="FFFFFF"/>
              <w:right w:val="single" w:sz="4" w:space="0" w:color="FFFFFF"/>
            </w:tcBorders>
            <w:shd w:val="clear" w:color="000000" w:fill="49723B"/>
            <w:noWrap/>
            <w:vAlign w:val="bottom"/>
            <w:hideMark/>
          </w:tcPr>
          <w:p w14:paraId="67081C98"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1,000-2,499</w:t>
            </w:r>
          </w:p>
        </w:tc>
        <w:tc>
          <w:tcPr>
            <w:tcW w:w="1243" w:type="dxa"/>
            <w:tcBorders>
              <w:top w:val="nil"/>
              <w:left w:val="nil"/>
              <w:bottom w:val="single" w:sz="4" w:space="0" w:color="FFFFFF"/>
              <w:right w:val="single" w:sz="4" w:space="0" w:color="FFFFFF"/>
            </w:tcBorders>
            <w:shd w:val="clear" w:color="000000" w:fill="EFEAE6"/>
            <w:noWrap/>
            <w:vAlign w:val="bottom"/>
            <w:hideMark/>
          </w:tcPr>
          <w:p w14:paraId="3D3DF0F3"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15</w:t>
            </w:r>
          </w:p>
        </w:tc>
        <w:tc>
          <w:tcPr>
            <w:tcW w:w="1477" w:type="dxa"/>
            <w:tcBorders>
              <w:top w:val="nil"/>
              <w:left w:val="nil"/>
              <w:bottom w:val="single" w:sz="4" w:space="0" w:color="FFFFFF"/>
              <w:right w:val="single" w:sz="4" w:space="0" w:color="FFFFFF"/>
            </w:tcBorders>
            <w:shd w:val="clear" w:color="000000" w:fill="EFEAE6"/>
            <w:noWrap/>
            <w:vAlign w:val="bottom"/>
            <w:hideMark/>
          </w:tcPr>
          <w:p w14:paraId="0C516C2D"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24</w:t>
            </w:r>
          </w:p>
        </w:tc>
        <w:tc>
          <w:tcPr>
            <w:tcW w:w="923" w:type="dxa"/>
            <w:tcBorders>
              <w:top w:val="nil"/>
              <w:left w:val="nil"/>
              <w:bottom w:val="single" w:sz="4" w:space="0" w:color="FFFFFF"/>
              <w:right w:val="single" w:sz="4" w:space="0" w:color="FFFFFF"/>
            </w:tcBorders>
            <w:shd w:val="clear" w:color="000000" w:fill="EFEAE6"/>
            <w:noWrap/>
            <w:vAlign w:val="bottom"/>
            <w:hideMark/>
          </w:tcPr>
          <w:p w14:paraId="2AAFC248"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12</w:t>
            </w:r>
          </w:p>
        </w:tc>
        <w:tc>
          <w:tcPr>
            <w:tcW w:w="1243" w:type="dxa"/>
            <w:tcBorders>
              <w:top w:val="nil"/>
              <w:left w:val="nil"/>
              <w:bottom w:val="single" w:sz="4" w:space="0" w:color="FFFFFF"/>
              <w:right w:val="single" w:sz="4" w:space="0" w:color="FFFFFF"/>
            </w:tcBorders>
            <w:shd w:val="clear" w:color="000000" w:fill="EFEAE6"/>
            <w:noWrap/>
            <w:vAlign w:val="bottom"/>
            <w:hideMark/>
          </w:tcPr>
          <w:p w14:paraId="33BD0605"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20</w:t>
            </w:r>
          </w:p>
        </w:tc>
        <w:tc>
          <w:tcPr>
            <w:tcW w:w="1477" w:type="dxa"/>
            <w:tcBorders>
              <w:top w:val="nil"/>
              <w:left w:val="nil"/>
              <w:bottom w:val="single" w:sz="4" w:space="0" w:color="FFFFFF"/>
              <w:right w:val="single" w:sz="4" w:space="0" w:color="FFFFFF"/>
            </w:tcBorders>
            <w:shd w:val="clear" w:color="000000" w:fill="EFEAE6"/>
            <w:noWrap/>
            <w:vAlign w:val="bottom"/>
            <w:hideMark/>
          </w:tcPr>
          <w:p w14:paraId="759CBAB1"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36</w:t>
            </w:r>
          </w:p>
        </w:tc>
        <w:tc>
          <w:tcPr>
            <w:tcW w:w="923" w:type="dxa"/>
            <w:tcBorders>
              <w:top w:val="nil"/>
              <w:left w:val="nil"/>
              <w:bottom w:val="single" w:sz="4" w:space="0" w:color="FFFFFF"/>
              <w:right w:val="single" w:sz="4" w:space="0" w:color="FFFFFF"/>
            </w:tcBorders>
            <w:shd w:val="clear" w:color="000000" w:fill="EFEAE6"/>
            <w:noWrap/>
            <w:vAlign w:val="bottom"/>
            <w:hideMark/>
          </w:tcPr>
          <w:p w14:paraId="18B30014"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9</w:t>
            </w:r>
          </w:p>
        </w:tc>
        <w:tc>
          <w:tcPr>
            <w:tcW w:w="222" w:type="dxa"/>
            <w:tcBorders>
              <w:top w:val="nil"/>
              <w:left w:val="nil"/>
              <w:bottom w:val="nil"/>
              <w:right w:val="nil"/>
            </w:tcBorders>
            <w:shd w:val="clear" w:color="auto" w:fill="auto"/>
            <w:noWrap/>
            <w:vAlign w:val="bottom"/>
            <w:hideMark/>
          </w:tcPr>
          <w:p w14:paraId="2616C8C6" w14:textId="77777777" w:rsidR="00CF118F" w:rsidRPr="009D6412" w:rsidRDefault="00CF118F" w:rsidP="00A638F8">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3210EAC" w14:textId="77777777" w:rsidR="00CF118F" w:rsidRPr="009D6412" w:rsidRDefault="00CF118F" w:rsidP="00A638F8">
            <w:pPr>
              <w:spacing w:after="0" w:line="240" w:lineRule="auto"/>
              <w:rPr>
                <w:rFonts w:ascii="Times New Roman" w:eastAsia="Times New Roman" w:hAnsi="Times New Roman" w:cs="Times New Roman"/>
                <w:sz w:val="20"/>
                <w:szCs w:val="20"/>
                <w:lang w:eastAsia="en-GB"/>
              </w:rPr>
            </w:pPr>
          </w:p>
        </w:tc>
      </w:tr>
      <w:tr w:rsidR="00CF118F" w:rsidRPr="009D6412" w14:paraId="3D2EEBD7" w14:textId="77777777" w:rsidTr="00CF0D52">
        <w:trPr>
          <w:trHeight w:val="302"/>
        </w:trPr>
        <w:tc>
          <w:tcPr>
            <w:tcW w:w="1817" w:type="dxa"/>
            <w:tcBorders>
              <w:top w:val="nil"/>
              <w:left w:val="single" w:sz="4" w:space="0" w:color="FFFFFF"/>
              <w:bottom w:val="single" w:sz="4" w:space="0" w:color="FFFFFF"/>
              <w:right w:val="single" w:sz="4" w:space="0" w:color="FFFFFF"/>
            </w:tcBorders>
            <w:shd w:val="clear" w:color="000000" w:fill="49723B"/>
            <w:noWrap/>
            <w:vAlign w:val="bottom"/>
            <w:hideMark/>
          </w:tcPr>
          <w:p w14:paraId="548144EC"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500-999</w:t>
            </w:r>
          </w:p>
        </w:tc>
        <w:tc>
          <w:tcPr>
            <w:tcW w:w="1243" w:type="dxa"/>
            <w:tcBorders>
              <w:top w:val="nil"/>
              <w:left w:val="nil"/>
              <w:bottom w:val="single" w:sz="4" w:space="0" w:color="FFFFFF"/>
              <w:right w:val="single" w:sz="4" w:space="0" w:color="FFFFFF"/>
            </w:tcBorders>
            <w:shd w:val="clear" w:color="000000" w:fill="EFEAE6"/>
            <w:noWrap/>
            <w:vAlign w:val="bottom"/>
            <w:hideMark/>
          </w:tcPr>
          <w:p w14:paraId="7E3E044C"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8</w:t>
            </w:r>
          </w:p>
        </w:tc>
        <w:tc>
          <w:tcPr>
            <w:tcW w:w="1477" w:type="dxa"/>
            <w:tcBorders>
              <w:top w:val="nil"/>
              <w:left w:val="nil"/>
              <w:bottom w:val="single" w:sz="4" w:space="0" w:color="FFFFFF"/>
              <w:right w:val="single" w:sz="4" w:space="0" w:color="FFFFFF"/>
            </w:tcBorders>
            <w:shd w:val="clear" w:color="000000" w:fill="EFEAE6"/>
            <w:noWrap/>
            <w:vAlign w:val="bottom"/>
            <w:hideMark/>
          </w:tcPr>
          <w:p w14:paraId="2C37CD66"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7</w:t>
            </w:r>
          </w:p>
        </w:tc>
        <w:tc>
          <w:tcPr>
            <w:tcW w:w="923" w:type="dxa"/>
            <w:tcBorders>
              <w:top w:val="nil"/>
              <w:left w:val="nil"/>
              <w:bottom w:val="single" w:sz="4" w:space="0" w:color="FFFFFF"/>
              <w:right w:val="single" w:sz="4" w:space="0" w:color="FFFFFF"/>
            </w:tcBorders>
            <w:shd w:val="clear" w:color="000000" w:fill="EFEAE6"/>
            <w:noWrap/>
            <w:vAlign w:val="bottom"/>
            <w:hideMark/>
          </w:tcPr>
          <w:p w14:paraId="73CF8A35"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4</w:t>
            </w:r>
          </w:p>
        </w:tc>
        <w:tc>
          <w:tcPr>
            <w:tcW w:w="1243" w:type="dxa"/>
            <w:tcBorders>
              <w:top w:val="nil"/>
              <w:left w:val="nil"/>
              <w:bottom w:val="single" w:sz="4" w:space="0" w:color="FFFFFF"/>
              <w:right w:val="single" w:sz="4" w:space="0" w:color="FFFFFF"/>
            </w:tcBorders>
            <w:shd w:val="clear" w:color="000000" w:fill="EFEAE6"/>
            <w:noWrap/>
            <w:vAlign w:val="bottom"/>
            <w:hideMark/>
          </w:tcPr>
          <w:p w14:paraId="7BF61061"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17</w:t>
            </w:r>
          </w:p>
        </w:tc>
        <w:tc>
          <w:tcPr>
            <w:tcW w:w="1477" w:type="dxa"/>
            <w:tcBorders>
              <w:top w:val="nil"/>
              <w:left w:val="nil"/>
              <w:bottom w:val="single" w:sz="4" w:space="0" w:color="FFFFFF"/>
              <w:right w:val="single" w:sz="4" w:space="0" w:color="FFFFFF"/>
            </w:tcBorders>
            <w:shd w:val="clear" w:color="000000" w:fill="EFEAE6"/>
            <w:noWrap/>
            <w:vAlign w:val="bottom"/>
            <w:hideMark/>
          </w:tcPr>
          <w:p w14:paraId="29DF66A1"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12</w:t>
            </w:r>
          </w:p>
        </w:tc>
        <w:tc>
          <w:tcPr>
            <w:tcW w:w="923" w:type="dxa"/>
            <w:tcBorders>
              <w:top w:val="nil"/>
              <w:left w:val="nil"/>
              <w:bottom w:val="single" w:sz="4" w:space="0" w:color="FFFFFF"/>
              <w:right w:val="single" w:sz="4" w:space="0" w:color="FFFFFF"/>
            </w:tcBorders>
            <w:shd w:val="clear" w:color="000000" w:fill="EFEAE6"/>
            <w:noWrap/>
            <w:vAlign w:val="bottom"/>
            <w:hideMark/>
          </w:tcPr>
          <w:p w14:paraId="7A70FF08"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3</w:t>
            </w:r>
          </w:p>
        </w:tc>
        <w:tc>
          <w:tcPr>
            <w:tcW w:w="222" w:type="dxa"/>
            <w:tcBorders>
              <w:top w:val="nil"/>
              <w:left w:val="nil"/>
              <w:bottom w:val="nil"/>
              <w:right w:val="nil"/>
            </w:tcBorders>
            <w:shd w:val="clear" w:color="auto" w:fill="auto"/>
            <w:noWrap/>
            <w:vAlign w:val="bottom"/>
            <w:hideMark/>
          </w:tcPr>
          <w:p w14:paraId="5BF4E039" w14:textId="77777777" w:rsidR="00CF118F" w:rsidRPr="009D6412" w:rsidRDefault="00CF118F" w:rsidP="00A638F8">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C4AD088" w14:textId="77777777" w:rsidR="00CF118F" w:rsidRPr="009D6412" w:rsidRDefault="00CF118F" w:rsidP="00A638F8">
            <w:pPr>
              <w:spacing w:after="0" w:line="240" w:lineRule="auto"/>
              <w:rPr>
                <w:rFonts w:ascii="Times New Roman" w:eastAsia="Times New Roman" w:hAnsi="Times New Roman" w:cs="Times New Roman"/>
                <w:sz w:val="20"/>
                <w:szCs w:val="20"/>
                <w:lang w:eastAsia="en-GB"/>
              </w:rPr>
            </w:pPr>
          </w:p>
        </w:tc>
      </w:tr>
      <w:tr w:rsidR="00CF118F" w:rsidRPr="009D6412" w14:paraId="3269B259" w14:textId="77777777" w:rsidTr="00CF0D52">
        <w:trPr>
          <w:trHeight w:val="302"/>
        </w:trPr>
        <w:tc>
          <w:tcPr>
            <w:tcW w:w="1817" w:type="dxa"/>
            <w:tcBorders>
              <w:top w:val="nil"/>
              <w:left w:val="single" w:sz="4" w:space="0" w:color="FFFFFF"/>
              <w:bottom w:val="single" w:sz="4" w:space="0" w:color="FFFFFF"/>
              <w:right w:val="single" w:sz="4" w:space="0" w:color="FFFFFF"/>
            </w:tcBorders>
            <w:shd w:val="clear" w:color="000000" w:fill="49723B"/>
            <w:noWrap/>
            <w:vAlign w:val="bottom"/>
            <w:hideMark/>
          </w:tcPr>
          <w:p w14:paraId="4C1A694D" w14:textId="77777777" w:rsidR="00CF118F" w:rsidRPr="009D6412" w:rsidRDefault="00CF118F" w:rsidP="00A638F8">
            <w:pPr>
              <w:spacing w:after="0" w:line="240" w:lineRule="auto"/>
              <w:jc w:val="center"/>
              <w:rPr>
                <w:rFonts w:ascii="Calibri" w:eastAsia="Times New Roman" w:hAnsi="Calibri" w:cs="Calibri"/>
                <w:b/>
                <w:bCs/>
                <w:color w:val="FFFFFF"/>
                <w:lang w:eastAsia="en-GB"/>
              </w:rPr>
            </w:pPr>
            <w:r w:rsidRPr="009D6412">
              <w:rPr>
                <w:rFonts w:ascii="Calibri" w:eastAsia="Times New Roman" w:hAnsi="Calibri" w:cs="Calibri"/>
                <w:b/>
                <w:bCs/>
                <w:color w:val="FFFFFF"/>
                <w:lang w:eastAsia="en-GB"/>
              </w:rPr>
              <w:t>1-499</w:t>
            </w:r>
          </w:p>
        </w:tc>
        <w:tc>
          <w:tcPr>
            <w:tcW w:w="1243" w:type="dxa"/>
            <w:tcBorders>
              <w:top w:val="nil"/>
              <w:left w:val="nil"/>
              <w:bottom w:val="single" w:sz="4" w:space="0" w:color="FFFFFF"/>
              <w:right w:val="single" w:sz="4" w:space="0" w:color="FFFFFF"/>
            </w:tcBorders>
            <w:shd w:val="clear" w:color="000000" w:fill="EFEAE6"/>
            <w:noWrap/>
            <w:vAlign w:val="bottom"/>
            <w:hideMark/>
          </w:tcPr>
          <w:p w14:paraId="2C4692C7"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155</w:t>
            </w:r>
          </w:p>
        </w:tc>
        <w:tc>
          <w:tcPr>
            <w:tcW w:w="1477" w:type="dxa"/>
            <w:tcBorders>
              <w:top w:val="nil"/>
              <w:left w:val="nil"/>
              <w:bottom w:val="single" w:sz="4" w:space="0" w:color="FFFFFF"/>
              <w:right w:val="single" w:sz="4" w:space="0" w:color="FFFFFF"/>
            </w:tcBorders>
            <w:shd w:val="clear" w:color="000000" w:fill="EFEAE6"/>
            <w:noWrap/>
            <w:vAlign w:val="bottom"/>
            <w:hideMark/>
          </w:tcPr>
          <w:p w14:paraId="2A79B409"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13</w:t>
            </w:r>
          </w:p>
        </w:tc>
        <w:tc>
          <w:tcPr>
            <w:tcW w:w="923" w:type="dxa"/>
            <w:tcBorders>
              <w:top w:val="nil"/>
              <w:left w:val="nil"/>
              <w:bottom w:val="single" w:sz="4" w:space="0" w:color="FFFFFF"/>
              <w:right w:val="single" w:sz="4" w:space="0" w:color="FFFFFF"/>
            </w:tcBorders>
            <w:shd w:val="clear" w:color="000000" w:fill="EFEAE6"/>
            <w:noWrap/>
            <w:vAlign w:val="bottom"/>
            <w:hideMark/>
          </w:tcPr>
          <w:p w14:paraId="19FC8BA6"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7</w:t>
            </w:r>
          </w:p>
        </w:tc>
        <w:tc>
          <w:tcPr>
            <w:tcW w:w="1243" w:type="dxa"/>
            <w:tcBorders>
              <w:top w:val="nil"/>
              <w:left w:val="nil"/>
              <w:bottom w:val="single" w:sz="4" w:space="0" w:color="FFFFFF"/>
              <w:right w:val="single" w:sz="4" w:space="0" w:color="FFFFFF"/>
            </w:tcBorders>
            <w:shd w:val="clear" w:color="000000" w:fill="EFEAE6"/>
            <w:noWrap/>
            <w:vAlign w:val="bottom"/>
            <w:hideMark/>
          </w:tcPr>
          <w:p w14:paraId="088612A2"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61</w:t>
            </w:r>
          </w:p>
        </w:tc>
        <w:tc>
          <w:tcPr>
            <w:tcW w:w="1477" w:type="dxa"/>
            <w:tcBorders>
              <w:top w:val="nil"/>
              <w:left w:val="nil"/>
              <w:bottom w:val="single" w:sz="4" w:space="0" w:color="FFFFFF"/>
              <w:right w:val="single" w:sz="4" w:space="0" w:color="FFFFFF"/>
            </w:tcBorders>
            <w:shd w:val="clear" w:color="000000" w:fill="EFEAE6"/>
            <w:noWrap/>
            <w:vAlign w:val="bottom"/>
            <w:hideMark/>
          </w:tcPr>
          <w:p w14:paraId="1A859497"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15</w:t>
            </w:r>
          </w:p>
        </w:tc>
        <w:tc>
          <w:tcPr>
            <w:tcW w:w="923" w:type="dxa"/>
            <w:tcBorders>
              <w:top w:val="nil"/>
              <w:left w:val="nil"/>
              <w:bottom w:val="single" w:sz="4" w:space="0" w:color="FFFFFF"/>
              <w:right w:val="single" w:sz="4" w:space="0" w:color="FFFFFF"/>
            </w:tcBorders>
            <w:shd w:val="clear" w:color="000000" w:fill="EFEAE6"/>
            <w:noWrap/>
            <w:vAlign w:val="bottom"/>
            <w:hideMark/>
          </w:tcPr>
          <w:p w14:paraId="11A22020" w14:textId="77777777" w:rsidR="00CF118F" w:rsidRPr="009D6412" w:rsidRDefault="00CF118F" w:rsidP="00A638F8">
            <w:pPr>
              <w:spacing w:after="0" w:line="240" w:lineRule="auto"/>
              <w:jc w:val="center"/>
              <w:rPr>
                <w:rFonts w:ascii="Calibri" w:eastAsia="Times New Roman" w:hAnsi="Calibri" w:cs="Calibri"/>
                <w:color w:val="000000"/>
                <w:lang w:eastAsia="en-GB"/>
              </w:rPr>
            </w:pPr>
            <w:r w:rsidRPr="009D6412">
              <w:rPr>
                <w:rFonts w:ascii="Calibri" w:eastAsia="Times New Roman" w:hAnsi="Calibri" w:cs="Calibri"/>
                <w:color w:val="000000"/>
                <w:lang w:eastAsia="en-GB"/>
              </w:rPr>
              <w:t>4</w:t>
            </w:r>
          </w:p>
        </w:tc>
        <w:tc>
          <w:tcPr>
            <w:tcW w:w="222" w:type="dxa"/>
            <w:tcBorders>
              <w:top w:val="nil"/>
              <w:left w:val="nil"/>
              <w:bottom w:val="nil"/>
              <w:right w:val="nil"/>
            </w:tcBorders>
            <w:shd w:val="clear" w:color="auto" w:fill="auto"/>
            <w:noWrap/>
            <w:vAlign w:val="bottom"/>
            <w:hideMark/>
          </w:tcPr>
          <w:p w14:paraId="13B7391B" w14:textId="77777777" w:rsidR="00CF118F" w:rsidRPr="009D6412" w:rsidRDefault="00CF118F" w:rsidP="00A638F8">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77166D3D" w14:textId="77777777" w:rsidR="00CF118F" w:rsidRPr="009D6412" w:rsidRDefault="00CF118F" w:rsidP="00A638F8">
            <w:pPr>
              <w:spacing w:after="0" w:line="240" w:lineRule="auto"/>
              <w:rPr>
                <w:rFonts w:ascii="Times New Roman" w:eastAsia="Times New Roman" w:hAnsi="Times New Roman" w:cs="Times New Roman"/>
                <w:sz w:val="20"/>
                <w:szCs w:val="20"/>
                <w:lang w:eastAsia="en-GB"/>
              </w:rPr>
            </w:pPr>
          </w:p>
        </w:tc>
      </w:tr>
    </w:tbl>
    <w:p w14:paraId="1BEBDD78" w14:textId="77777777" w:rsidR="00CF118F" w:rsidRDefault="00CF118F" w:rsidP="00CF118F">
      <w:pPr>
        <w:jc w:val="both"/>
        <w:rPr>
          <w:rFonts w:cstheme="minorHAnsi"/>
          <w:sz w:val="28"/>
          <w:szCs w:val="28"/>
        </w:rPr>
      </w:pPr>
    </w:p>
    <w:p w14:paraId="429C15F7" w14:textId="4FF42C2B" w:rsidR="00C73BE3" w:rsidRDefault="00733633" w:rsidP="00FD0BA8">
      <w:pPr>
        <w:jc w:val="both"/>
        <w:rPr>
          <w:rFonts w:cstheme="minorHAnsi"/>
          <w:sz w:val="28"/>
          <w:szCs w:val="28"/>
        </w:rPr>
      </w:pPr>
      <w:r w:rsidRPr="00E41C69">
        <w:rPr>
          <w:rFonts w:cstheme="minorHAnsi"/>
          <w:sz w:val="28"/>
          <w:szCs w:val="28"/>
        </w:rPr>
        <w:t xml:space="preserve">At slightly more than one-third of UK universities, over one-half of their offshore </w:t>
      </w:r>
      <w:r w:rsidR="00C73BE3" w:rsidRPr="00E41C69">
        <w:rPr>
          <w:rFonts w:cstheme="minorHAnsi"/>
          <w:sz w:val="28"/>
          <w:szCs w:val="28"/>
        </w:rPr>
        <w:t xml:space="preserve">(FVA) </w:t>
      </w:r>
      <w:r w:rsidRPr="00E41C69">
        <w:rPr>
          <w:rFonts w:cstheme="minorHAnsi"/>
          <w:sz w:val="28"/>
          <w:szCs w:val="28"/>
        </w:rPr>
        <w:t>enrolment</w:t>
      </w:r>
      <w:r w:rsidR="005C6073" w:rsidRPr="00E41C69">
        <w:rPr>
          <w:rFonts w:cstheme="minorHAnsi"/>
          <w:sz w:val="28"/>
          <w:szCs w:val="28"/>
        </w:rPr>
        <w:t>s are</w:t>
      </w:r>
      <w:r w:rsidRPr="00E41C69">
        <w:rPr>
          <w:rFonts w:cstheme="minorHAnsi"/>
          <w:sz w:val="28"/>
          <w:szCs w:val="28"/>
        </w:rPr>
        <w:t xml:space="preserve"> in </w:t>
      </w:r>
      <w:r w:rsidR="008E111A" w:rsidRPr="00E41C69">
        <w:rPr>
          <w:rFonts w:cstheme="minorHAnsi"/>
          <w:sz w:val="28"/>
          <w:szCs w:val="28"/>
        </w:rPr>
        <w:t xml:space="preserve">just </w:t>
      </w:r>
      <w:r w:rsidRPr="00E41C69">
        <w:rPr>
          <w:rFonts w:cstheme="minorHAnsi"/>
          <w:sz w:val="28"/>
          <w:szCs w:val="28"/>
        </w:rPr>
        <w:t xml:space="preserve">one country. These universities </w:t>
      </w:r>
      <w:r w:rsidR="00DF03B0" w:rsidRPr="00E41C69">
        <w:rPr>
          <w:rFonts w:cstheme="minorHAnsi"/>
          <w:sz w:val="28"/>
          <w:szCs w:val="28"/>
        </w:rPr>
        <w:t>account for 45</w:t>
      </w:r>
      <w:r w:rsidRPr="00E41C69">
        <w:rPr>
          <w:rFonts w:cstheme="minorHAnsi"/>
          <w:sz w:val="28"/>
          <w:szCs w:val="28"/>
        </w:rPr>
        <w:t xml:space="preserve">% of total offshore enrolments. </w:t>
      </w:r>
      <w:r w:rsidR="008E111A" w:rsidRPr="00E41C69">
        <w:rPr>
          <w:rFonts w:cstheme="minorHAnsi"/>
          <w:sz w:val="28"/>
          <w:szCs w:val="28"/>
        </w:rPr>
        <w:t xml:space="preserve">Around 20% of universities </w:t>
      </w:r>
      <w:r w:rsidR="00DF03B0" w:rsidRPr="00E41C69">
        <w:rPr>
          <w:rFonts w:cstheme="minorHAnsi"/>
          <w:sz w:val="28"/>
          <w:szCs w:val="28"/>
        </w:rPr>
        <w:t>(accounting for 36</w:t>
      </w:r>
      <w:r w:rsidR="008E111A" w:rsidRPr="00E41C69">
        <w:rPr>
          <w:rFonts w:cstheme="minorHAnsi"/>
          <w:sz w:val="28"/>
          <w:szCs w:val="28"/>
        </w:rPr>
        <w:t xml:space="preserve">% of total offshore students) are equally reliant on </w:t>
      </w:r>
      <w:r w:rsidR="00664724">
        <w:rPr>
          <w:rFonts w:cstheme="minorHAnsi"/>
          <w:sz w:val="28"/>
          <w:szCs w:val="28"/>
        </w:rPr>
        <w:t>enrolments in CHMS</w:t>
      </w:r>
      <w:r w:rsidR="008E111A" w:rsidRPr="00E41C69">
        <w:rPr>
          <w:rFonts w:cstheme="minorHAnsi"/>
          <w:sz w:val="28"/>
          <w:szCs w:val="28"/>
        </w:rPr>
        <w:t>.</w:t>
      </w:r>
    </w:p>
    <w:tbl>
      <w:tblPr>
        <w:tblW w:w="8732" w:type="dxa"/>
        <w:tblInd w:w="91" w:type="dxa"/>
        <w:tblLook w:val="04A0" w:firstRow="1" w:lastRow="0" w:firstColumn="1" w:lastColumn="0" w:noHBand="0" w:noVBand="1"/>
      </w:tblPr>
      <w:tblGrid>
        <w:gridCol w:w="2914"/>
        <w:gridCol w:w="1878"/>
        <w:gridCol w:w="1913"/>
        <w:gridCol w:w="2027"/>
      </w:tblGrid>
      <w:tr w:rsidR="00D2166C" w:rsidRPr="00D2166C" w14:paraId="179CA762" w14:textId="77777777" w:rsidTr="00D2166C">
        <w:trPr>
          <w:trHeight w:val="313"/>
        </w:trPr>
        <w:tc>
          <w:tcPr>
            <w:tcW w:w="8731" w:type="dxa"/>
            <w:gridSpan w:val="4"/>
            <w:tcBorders>
              <w:top w:val="nil"/>
              <w:left w:val="nil"/>
              <w:bottom w:val="nil"/>
              <w:right w:val="nil"/>
            </w:tcBorders>
            <w:shd w:val="clear" w:color="auto" w:fill="auto"/>
            <w:noWrap/>
            <w:vAlign w:val="bottom"/>
            <w:hideMark/>
          </w:tcPr>
          <w:p w14:paraId="7903889B" w14:textId="2A1DC6C1" w:rsidR="00D2166C" w:rsidRPr="00D2166C" w:rsidRDefault="00D2166C" w:rsidP="00F125F1">
            <w:pPr>
              <w:spacing w:after="0" w:line="240" w:lineRule="auto"/>
              <w:rPr>
                <w:rFonts w:ascii="Calibri" w:eastAsia="Times New Roman" w:hAnsi="Calibri" w:cs="Calibri"/>
                <w:b/>
                <w:bCs/>
                <w:color w:val="5F735C"/>
                <w:lang w:eastAsia="en-GB"/>
              </w:rPr>
            </w:pPr>
            <w:r w:rsidRPr="00D2166C">
              <w:rPr>
                <w:rFonts w:ascii="Calibri" w:eastAsia="Times New Roman" w:hAnsi="Calibri" w:cs="Calibri"/>
                <w:b/>
                <w:bCs/>
                <w:color w:val="5F735C"/>
                <w:lang w:eastAsia="en-GB"/>
              </w:rPr>
              <w:t xml:space="preserve">Table </w:t>
            </w:r>
            <w:r w:rsidR="00F125F1">
              <w:rPr>
                <w:rFonts w:ascii="Calibri" w:eastAsia="Times New Roman" w:hAnsi="Calibri" w:cs="Calibri"/>
                <w:b/>
                <w:bCs/>
                <w:color w:val="5F735C"/>
                <w:lang w:eastAsia="en-GB"/>
              </w:rPr>
              <w:t>7</w:t>
            </w:r>
            <w:r w:rsidRPr="00D2166C">
              <w:rPr>
                <w:rFonts w:ascii="Calibri" w:eastAsia="Times New Roman" w:hAnsi="Calibri" w:cs="Calibri"/>
                <w:b/>
                <w:bCs/>
                <w:color w:val="5F735C"/>
                <w:lang w:eastAsia="en-GB"/>
              </w:rPr>
              <w:t>: Countries with more than 2,000 offshore students, 2015/16</w:t>
            </w:r>
            <w:r w:rsidR="00A04E88">
              <w:rPr>
                <w:rFonts w:ascii="Calibri" w:eastAsia="Times New Roman" w:hAnsi="Calibri" w:cs="Calibri"/>
                <w:b/>
                <w:bCs/>
                <w:color w:val="5F735C"/>
                <w:lang w:eastAsia="en-GB"/>
              </w:rPr>
              <w:t xml:space="preserve"> (rounded ‘000 in brackets)</w:t>
            </w:r>
            <w:r w:rsidRPr="00D2166C">
              <w:rPr>
                <w:rFonts w:ascii="Calibri" w:eastAsia="Times New Roman" w:hAnsi="Calibri" w:cs="Calibri"/>
                <w:b/>
                <w:bCs/>
                <w:color w:val="5F735C"/>
                <w:lang w:eastAsia="en-GB"/>
              </w:rPr>
              <w:t xml:space="preserve"> </w:t>
            </w:r>
          </w:p>
        </w:tc>
      </w:tr>
      <w:tr w:rsidR="00D2166C" w:rsidRPr="00D2166C" w14:paraId="37446CFC" w14:textId="77777777" w:rsidTr="00D2166C">
        <w:trPr>
          <w:trHeight w:val="313"/>
        </w:trPr>
        <w:tc>
          <w:tcPr>
            <w:tcW w:w="2914" w:type="dxa"/>
            <w:tcBorders>
              <w:top w:val="single" w:sz="8" w:space="0" w:color="FFFFFF"/>
              <w:left w:val="single" w:sz="8" w:space="0" w:color="FFFFFF"/>
              <w:bottom w:val="single" w:sz="8" w:space="0" w:color="FFFFFF"/>
              <w:right w:val="single" w:sz="8" w:space="0" w:color="FFFFFF"/>
            </w:tcBorders>
            <w:shd w:val="clear" w:color="000000" w:fill="49723B"/>
            <w:noWrap/>
            <w:vAlign w:val="bottom"/>
            <w:hideMark/>
          </w:tcPr>
          <w:p w14:paraId="6FCE24DA"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Region</w:t>
            </w:r>
          </w:p>
        </w:tc>
        <w:tc>
          <w:tcPr>
            <w:tcW w:w="1877" w:type="dxa"/>
            <w:tcBorders>
              <w:top w:val="single" w:sz="8" w:space="0" w:color="FFFFFF"/>
              <w:left w:val="nil"/>
              <w:bottom w:val="single" w:sz="8" w:space="0" w:color="FFFFFF"/>
              <w:right w:val="single" w:sz="8" w:space="0" w:color="FFFFFF"/>
            </w:tcBorders>
            <w:shd w:val="clear" w:color="000000" w:fill="49723B"/>
            <w:noWrap/>
            <w:vAlign w:val="bottom"/>
            <w:hideMark/>
          </w:tcPr>
          <w:p w14:paraId="5268BF9F"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2,000-4,999</w:t>
            </w:r>
          </w:p>
        </w:tc>
        <w:tc>
          <w:tcPr>
            <w:tcW w:w="1913" w:type="dxa"/>
            <w:tcBorders>
              <w:top w:val="single" w:sz="8" w:space="0" w:color="FFFFFF"/>
              <w:left w:val="nil"/>
              <w:bottom w:val="single" w:sz="8" w:space="0" w:color="FFFFFF"/>
              <w:right w:val="single" w:sz="8" w:space="0" w:color="FFFFFF"/>
            </w:tcBorders>
            <w:shd w:val="clear" w:color="000000" w:fill="49723B"/>
            <w:noWrap/>
            <w:vAlign w:val="bottom"/>
            <w:hideMark/>
          </w:tcPr>
          <w:p w14:paraId="178C1D7E"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5,000-9,999</w:t>
            </w:r>
          </w:p>
        </w:tc>
        <w:tc>
          <w:tcPr>
            <w:tcW w:w="2027" w:type="dxa"/>
            <w:tcBorders>
              <w:top w:val="single" w:sz="8" w:space="0" w:color="FFFFFF"/>
              <w:left w:val="nil"/>
              <w:bottom w:val="single" w:sz="8" w:space="0" w:color="FFFFFF"/>
              <w:right w:val="single" w:sz="8" w:space="0" w:color="FFFFFF"/>
            </w:tcBorders>
            <w:shd w:val="clear" w:color="000000" w:fill="49723B"/>
            <w:noWrap/>
            <w:vAlign w:val="bottom"/>
            <w:hideMark/>
          </w:tcPr>
          <w:p w14:paraId="75541F5F" w14:textId="77777777" w:rsidR="00D2166C" w:rsidRPr="00D2166C" w:rsidRDefault="00D2166C" w:rsidP="00D2166C">
            <w:pPr>
              <w:spacing w:after="0" w:line="240" w:lineRule="auto"/>
              <w:jc w:val="center"/>
              <w:rPr>
                <w:rFonts w:ascii="Calibri" w:eastAsia="Times New Roman" w:hAnsi="Calibri" w:cs="Calibri"/>
                <w:b/>
                <w:bCs/>
                <w:color w:val="FFFFFF"/>
                <w:lang w:eastAsia="en-GB"/>
              </w:rPr>
            </w:pPr>
            <w:r w:rsidRPr="00D2166C">
              <w:rPr>
                <w:rFonts w:ascii="Calibri" w:eastAsia="Times New Roman" w:hAnsi="Calibri" w:cs="Calibri"/>
                <w:b/>
                <w:bCs/>
                <w:color w:val="FFFFFF"/>
                <w:lang w:eastAsia="en-GB"/>
              </w:rPr>
              <w:t>10,000&gt;</w:t>
            </w:r>
          </w:p>
        </w:tc>
      </w:tr>
      <w:tr w:rsidR="00D2166C" w:rsidRPr="00D2166C" w14:paraId="6DB8F620"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5715C18F"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Western Europe</w:t>
            </w:r>
          </w:p>
        </w:tc>
        <w:tc>
          <w:tcPr>
            <w:tcW w:w="1877" w:type="dxa"/>
            <w:tcBorders>
              <w:top w:val="nil"/>
              <w:left w:val="nil"/>
              <w:bottom w:val="single" w:sz="8" w:space="0" w:color="FFFFFF"/>
              <w:right w:val="single" w:sz="8" w:space="0" w:color="FFFFFF"/>
            </w:tcBorders>
            <w:shd w:val="clear" w:color="000000" w:fill="EFEAE6"/>
            <w:noWrap/>
            <w:vAlign w:val="bottom"/>
            <w:hideMark/>
          </w:tcPr>
          <w:p w14:paraId="78AF65C2"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Spain (3)</w:t>
            </w:r>
          </w:p>
        </w:tc>
        <w:tc>
          <w:tcPr>
            <w:tcW w:w="1913" w:type="dxa"/>
            <w:tcBorders>
              <w:top w:val="nil"/>
              <w:left w:val="nil"/>
              <w:bottom w:val="single" w:sz="8" w:space="0" w:color="FFFFFF"/>
              <w:right w:val="single" w:sz="8" w:space="0" w:color="FFFFFF"/>
            </w:tcBorders>
            <w:shd w:val="clear" w:color="000000" w:fill="EFEAE6"/>
            <w:noWrap/>
            <w:vAlign w:val="bottom"/>
            <w:hideMark/>
          </w:tcPr>
          <w:p w14:paraId="7BDFC95F"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Germany (6)</w:t>
            </w:r>
          </w:p>
        </w:tc>
        <w:tc>
          <w:tcPr>
            <w:tcW w:w="2027" w:type="dxa"/>
            <w:tcBorders>
              <w:top w:val="nil"/>
              <w:left w:val="nil"/>
              <w:bottom w:val="single" w:sz="8" w:space="0" w:color="FFFFFF"/>
              <w:right w:val="single" w:sz="8" w:space="0" w:color="FFFFFF"/>
            </w:tcBorders>
            <w:shd w:val="clear" w:color="000000" w:fill="EFEAE6"/>
            <w:noWrap/>
            <w:vAlign w:val="bottom"/>
            <w:hideMark/>
          </w:tcPr>
          <w:p w14:paraId="533D3221"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Greece (14)</w:t>
            </w:r>
          </w:p>
        </w:tc>
      </w:tr>
      <w:tr w:rsidR="00D2166C" w:rsidRPr="00D2166C" w14:paraId="46AF5031"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6BC7172B"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4FD0BC0A"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Cyprus (4)</w:t>
            </w:r>
          </w:p>
        </w:tc>
        <w:tc>
          <w:tcPr>
            <w:tcW w:w="1913" w:type="dxa"/>
            <w:tcBorders>
              <w:top w:val="nil"/>
              <w:left w:val="nil"/>
              <w:bottom w:val="single" w:sz="8" w:space="0" w:color="FFFFFF"/>
              <w:right w:val="single" w:sz="8" w:space="0" w:color="FFFFFF"/>
            </w:tcBorders>
            <w:shd w:val="clear" w:color="000000" w:fill="EFEAE6"/>
            <w:noWrap/>
            <w:vAlign w:val="bottom"/>
            <w:hideMark/>
          </w:tcPr>
          <w:p w14:paraId="15CAA95F"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Ireland (5)</w:t>
            </w:r>
          </w:p>
        </w:tc>
        <w:tc>
          <w:tcPr>
            <w:tcW w:w="2027" w:type="dxa"/>
            <w:tcBorders>
              <w:top w:val="nil"/>
              <w:left w:val="nil"/>
              <w:bottom w:val="single" w:sz="8" w:space="0" w:color="FFFFFF"/>
              <w:right w:val="single" w:sz="8" w:space="0" w:color="FFFFFF"/>
            </w:tcBorders>
            <w:shd w:val="clear" w:color="000000" w:fill="EFEAE6"/>
            <w:noWrap/>
            <w:vAlign w:val="bottom"/>
            <w:hideMark/>
          </w:tcPr>
          <w:p w14:paraId="1AD05DE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r>
      <w:tr w:rsidR="00D2166C" w:rsidRPr="00D2166C" w14:paraId="094F3756"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4EA44982"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0FA4D4AD"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913" w:type="dxa"/>
            <w:tcBorders>
              <w:top w:val="nil"/>
              <w:left w:val="nil"/>
              <w:bottom w:val="single" w:sz="8" w:space="0" w:color="FFFFFF"/>
              <w:right w:val="single" w:sz="8" w:space="0" w:color="FFFFFF"/>
            </w:tcBorders>
            <w:shd w:val="clear" w:color="000000" w:fill="EFEAE6"/>
            <w:noWrap/>
            <w:vAlign w:val="bottom"/>
            <w:hideMark/>
          </w:tcPr>
          <w:p w14:paraId="417F9929"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Switzerland (6)</w:t>
            </w:r>
          </w:p>
        </w:tc>
        <w:tc>
          <w:tcPr>
            <w:tcW w:w="2027" w:type="dxa"/>
            <w:tcBorders>
              <w:top w:val="nil"/>
              <w:left w:val="nil"/>
              <w:bottom w:val="single" w:sz="8" w:space="0" w:color="FFFFFF"/>
              <w:right w:val="single" w:sz="8" w:space="0" w:color="FFFFFF"/>
            </w:tcBorders>
            <w:shd w:val="clear" w:color="000000" w:fill="EFEAE6"/>
            <w:noWrap/>
            <w:vAlign w:val="bottom"/>
            <w:hideMark/>
          </w:tcPr>
          <w:p w14:paraId="5723891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r>
      <w:tr w:rsidR="00D2166C" w:rsidRPr="00D2166C" w14:paraId="617E9FAC"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3F0A9B02"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Eastern Europe</w:t>
            </w:r>
          </w:p>
        </w:tc>
        <w:tc>
          <w:tcPr>
            <w:tcW w:w="1877" w:type="dxa"/>
            <w:tcBorders>
              <w:top w:val="nil"/>
              <w:left w:val="nil"/>
              <w:bottom w:val="single" w:sz="8" w:space="0" w:color="FFFFFF"/>
              <w:right w:val="single" w:sz="8" w:space="0" w:color="FFFFFF"/>
            </w:tcBorders>
            <w:shd w:val="clear" w:color="000000" w:fill="EFEAE6"/>
            <w:noWrap/>
            <w:vAlign w:val="bottom"/>
            <w:hideMark/>
          </w:tcPr>
          <w:p w14:paraId="14E9817B"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Russia (3)</w:t>
            </w:r>
          </w:p>
        </w:tc>
        <w:tc>
          <w:tcPr>
            <w:tcW w:w="1913" w:type="dxa"/>
            <w:tcBorders>
              <w:top w:val="nil"/>
              <w:left w:val="nil"/>
              <w:bottom w:val="single" w:sz="8" w:space="0" w:color="FFFFFF"/>
              <w:right w:val="single" w:sz="8" w:space="0" w:color="FFFFFF"/>
            </w:tcBorders>
            <w:shd w:val="clear" w:color="000000" w:fill="EFEAE6"/>
            <w:noWrap/>
            <w:vAlign w:val="bottom"/>
            <w:hideMark/>
          </w:tcPr>
          <w:p w14:paraId="5D1918C9"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2027" w:type="dxa"/>
            <w:tcBorders>
              <w:top w:val="nil"/>
              <w:left w:val="nil"/>
              <w:bottom w:val="single" w:sz="8" w:space="0" w:color="FFFFFF"/>
              <w:right w:val="single" w:sz="8" w:space="0" w:color="FFFFFF"/>
            </w:tcBorders>
            <w:shd w:val="clear" w:color="000000" w:fill="EFEAE6"/>
            <w:noWrap/>
            <w:vAlign w:val="bottom"/>
            <w:hideMark/>
          </w:tcPr>
          <w:p w14:paraId="26D8AD57"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r>
      <w:tr w:rsidR="00D2166C" w:rsidRPr="00D2166C" w14:paraId="202BC68C"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51C064BF"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Americas</w:t>
            </w:r>
          </w:p>
        </w:tc>
        <w:tc>
          <w:tcPr>
            <w:tcW w:w="1877" w:type="dxa"/>
            <w:tcBorders>
              <w:top w:val="nil"/>
              <w:left w:val="nil"/>
              <w:bottom w:val="single" w:sz="8" w:space="0" w:color="FFFFFF"/>
              <w:right w:val="single" w:sz="8" w:space="0" w:color="FFFFFF"/>
            </w:tcBorders>
            <w:shd w:val="clear" w:color="000000" w:fill="EFEAE6"/>
            <w:noWrap/>
            <w:vAlign w:val="bottom"/>
            <w:hideMark/>
          </w:tcPr>
          <w:p w14:paraId="5CE5D65E"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913" w:type="dxa"/>
            <w:tcBorders>
              <w:top w:val="nil"/>
              <w:left w:val="nil"/>
              <w:bottom w:val="single" w:sz="8" w:space="0" w:color="FFFFFF"/>
              <w:right w:val="single" w:sz="8" w:space="0" w:color="FFFFFF"/>
            </w:tcBorders>
            <w:shd w:val="clear" w:color="000000" w:fill="EFEAE6"/>
            <w:noWrap/>
            <w:vAlign w:val="bottom"/>
            <w:hideMark/>
          </w:tcPr>
          <w:p w14:paraId="7122CD98" w14:textId="5F362DB0" w:rsidR="00664724" w:rsidRDefault="00664724" w:rsidP="00D2166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United States (5)</w:t>
            </w:r>
          </w:p>
          <w:p w14:paraId="785DABF6"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Canada (5)</w:t>
            </w:r>
          </w:p>
        </w:tc>
        <w:tc>
          <w:tcPr>
            <w:tcW w:w="2027" w:type="dxa"/>
            <w:tcBorders>
              <w:top w:val="nil"/>
              <w:left w:val="nil"/>
              <w:bottom w:val="single" w:sz="8" w:space="0" w:color="FFFFFF"/>
              <w:right w:val="single" w:sz="8" w:space="0" w:color="FFFFFF"/>
            </w:tcBorders>
            <w:shd w:val="clear" w:color="000000" w:fill="EFEAE6"/>
            <w:noWrap/>
            <w:vAlign w:val="bottom"/>
            <w:hideMark/>
          </w:tcPr>
          <w:p w14:paraId="3C9AF813" w14:textId="481C171A" w:rsidR="00D2166C" w:rsidRPr="00D2166C" w:rsidRDefault="00D2166C" w:rsidP="00D2166C">
            <w:pPr>
              <w:spacing w:after="0" w:line="240" w:lineRule="auto"/>
              <w:jc w:val="center"/>
              <w:rPr>
                <w:rFonts w:ascii="Calibri" w:eastAsia="Times New Roman" w:hAnsi="Calibri" w:cs="Calibri"/>
                <w:color w:val="000000"/>
                <w:lang w:eastAsia="en-GB"/>
              </w:rPr>
            </w:pPr>
          </w:p>
        </w:tc>
      </w:tr>
      <w:tr w:rsidR="00D2166C" w:rsidRPr="00D2166C" w14:paraId="038F8C39"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4A6CB3F0"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473FD82D"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913" w:type="dxa"/>
            <w:tcBorders>
              <w:top w:val="nil"/>
              <w:left w:val="nil"/>
              <w:bottom w:val="single" w:sz="8" w:space="0" w:color="FFFFFF"/>
              <w:right w:val="single" w:sz="8" w:space="0" w:color="FFFFFF"/>
            </w:tcBorders>
            <w:shd w:val="clear" w:color="000000" w:fill="EFEAE6"/>
            <w:noWrap/>
            <w:vAlign w:val="bottom"/>
            <w:hideMark/>
          </w:tcPr>
          <w:p w14:paraId="775515F4" w14:textId="78AF1E1A"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r w:rsidR="00664724">
              <w:rPr>
                <w:rFonts w:ascii="Calibri" w:eastAsia="Times New Roman" w:hAnsi="Calibri" w:cs="Calibri"/>
                <w:color w:val="000000"/>
                <w:lang w:eastAsia="en-GB"/>
              </w:rPr>
              <w:t>Trinidad (7)</w:t>
            </w:r>
          </w:p>
        </w:tc>
        <w:tc>
          <w:tcPr>
            <w:tcW w:w="2027" w:type="dxa"/>
            <w:tcBorders>
              <w:top w:val="nil"/>
              <w:left w:val="nil"/>
              <w:bottom w:val="single" w:sz="8" w:space="0" w:color="FFFFFF"/>
              <w:right w:val="single" w:sz="8" w:space="0" w:color="FFFFFF"/>
            </w:tcBorders>
            <w:shd w:val="clear" w:color="000000" w:fill="EFEAE6"/>
            <w:noWrap/>
            <w:vAlign w:val="bottom"/>
            <w:hideMark/>
          </w:tcPr>
          <w:p w14:paraId="16382927" w14:textId="28529DB0" w:rsidR="00D2166C" w:rsidRPr="00D2166C" w:rsidRDefault="00D2166C" w:rsidP="00D2166C">
            <w:pPr>
              <w:spacing w:after="0" w:line="240" w:lineRule="auto"/>
              <w:jc w:val="center"/>
              <w:rPr>
                <w:rFonts w:ascii="Calibri" w:eastAsia="Times New Roman" w:hAnsi="Calibri" w:cs="Calibri"/>
                <w:color w:val="000000"/>
                <w:lang w:eastAsia="en-GB"/>
              </w:rPr>
            </w:pPr>
          </w:p>
        </w:tc>
      </w:tr>
      <w:tr w:rsidR="00D2166C" w:rsidRPr="00D2166C" w14:paraId="08069755"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35030C06"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Africa</w:t>
            </w:r>
          </w:p>
        </w:tc>
        <w:tc>
          <w:tcPr>
            <w:tcW w:w="1877" w:type="dxa"/>
            <w:tcBorders>
              <w:top w:val="nil"/>
              <w:left w:val="nil"/>
              <w:bottom w:val="single" w:sz="8" w:space="0" w:color="FFFFFF"/>
              <w:right w:val="single" w:sz="8" w:space="0" w:color="FFFFFF"/>
            </w:tcBorders>
            <w:shd w:val="clear" w:color="000000" w:fill="EFEAE6"/>
            <w:noWrap/>
            <w:vAlign w:val="bottom"/>
            <w:hideMark/>
          </w:tcPr>
          <w:p w14:paraId="50F10730"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Botswana (2)</w:t>
            </w:r>
          </w:p>
        </w:tc>
        <w:tc>
          <w:tcPr>
            <w:tcW w:w="1913" w:type="dxa"/>
            <w:tcBorders>
              <w:top w:val="nil"/>
              <w:left w:val="nil"/>
              <w:bottom w:val="single" w:sz="8" w:space="0" w:color="FFFFFF"/>
              <w:right w:val="single" w:sz="8" w:space="0" w:color="FFFFFF"/>
            </w:tcBorders>
            <w:shd w:val="clear" w:color="000000" w:fill="EFEAE6"/>
            <w:noWrap/>
            <w:vAlign w:val="bottom"/>
            <w:hideMark/>
          </w:tcPr>
          <w:p w14:paraId="49ADA171"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Nigeria (7)</w:t>
            </w:r>
          </w:p>
        </w:tc>
        <w:tc>
          <w:tcPr>
            <w:tcW w:w="2027" w:type="dxa"/>
            <w:tcBorders>
              <w:top w:val="nil"/>
              <w:left w:val="nil"/>
              <w:bottom w:val="single" w:sz="8" w:space="0" w:color="FFFFFF"/>
              <w:right w:val="single" w:sz="8" w:space="0" w:color="FFFFFF"/>
            </w:tcBorders>
            <w:shd w:val="clear" w:color="000000" w:fill="EFEAE6"/>
            <w:noWrap/>
            <w:vAlign w:val="bottom"/>
            <w:hideMark/>
          </w:tcPr>
          <w:p w14:paraId="25174032"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r>
      <w:tr w:rsidR="00D2166C" w:rsidRPr="00D2166C" w14:paraId="292D0FC6"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7FE85132"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0E7FE9A5"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Ghana (4)</w:t>
            </w:r>
          </w:p>
        </w:tc>
        <w:tc>
          <w:tcPr>
            <w:tcW w:w="1913" w:type="dxa"/>
            <w:tcBorders>
              <w:top w:val="nil"/>
              <w:left w:val="nil"/>
              <w:bottom w:val="single" w:sz="8" w:space="0" w:color="FFFFFF"/>
              <w:right w:val="single" w:sz="8" w:space="0" w:color="FFFFFF"/>
            </w:tcBorders>
            <w:shd w:val="clear" w:color="000000" w:fill="EFEAE6"/>
            <w:noWrap/>
            <w:vAlign w:val="bottom"/>
            <w:hideMark/>
          </w:tcPr>
          <w:p w14:paraId="5C3329CB"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2027" w:type="dxa"/>
            <w:tcBorders>
              <w:top w:val="nil"/>
              <w:left w:val="nil"/>
              <w:bottom w:val="single" w:sz="8" w:space="0" w:color="FFFFFF"/>
              <w:right w:val="single" w:sz="8" w:space="0" w:color="FFFFFF"/>
            </w:tcBorders>
            <w:shd w:val="clear" w:color="000000" w:fill="EFEAE6"/>
            <w:noWrap/>
            <w:vAlign w:val="bottom"/>
            <w:hideMark/>
          </w:tcPr>
          <w:p w14:paraId="31D73C32"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r>
      <w:tr w:rsidR="00D2166C" w:rsidRPr="00D2166C" w14:paraId="006A7532"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40C2EEF4"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1155E02F"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Mauritius (3)</w:t>
            </w:r>
          </w:p>
        </w:tc>
        <w:tc>
          <w:tcPr>
            <w:tcW w:w="1913" w:type="dxa"/>
            <w:tcBorders>
              <w:top w:val="nil"/>
              <w:left w:val="nil"/>
              <w:bottom w:val="single" w:sz="8" w:space="0" w:color="FFFFFF"/>
              <w:right w:val="single" w:sz="8" w:space="0" w:color="FFFFFF"/>
            </w:tcBorders>
            <w:shd w:val="clear" w:color="000000" w:fill="EFEAE6"/>
            <w:noWrap/>
            <w:vAlign w:val="bottom"/>
            <w:hideMark/>
          </w:tcPr>
          <w:p w14:paraId="268620E0"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2027" w:type="dxa"/>
            <w:tcBorders>
              <w:top w:val="nil"/>
              <w:left w:val="nil"/>
              <w:bottom w:val="single" w:sz="8" w:space="0" w:color="FFFFFF"/>
              <w:right w:val="single" w:sz="8" w:space="0" w:color="FFFFFF"/>
            </w:tcBorders>
            <w:shd w:val="clear" w:color="000000" w:fill="EFEAE6"/>
            <w:noWrap/>
            <w:vAlign w:val="bottom"/>
            <w:hideMark/>
          </w:tcPr>
          <w:p w14:paraId="02A7F4E4"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r>
      <w:tr w:rsidR="00D2166C" w:rsidRPr="00D2166C" w14:paraId="4CC02C32"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0F1EB2A5"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27B82640"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South Africa (4)</w:t>
            </w:r>
          </w:p>
        </w:tc>
        <w:tc>
          <w:tcPr>
            <w:tcW w:w="1913" w:type="dxa"/>
            <w:tcBorders>
              <w:top w:val="nil"/>
              <w:left w:val="nil"/>
              <w:bottom w:val="single" w:sz="8" w:space="0" w:color="FFFFFF"/>
              <w:right w:val="single" w:sz="8" w:space="0" w:color="FFFFFF"/>
            </w:tcBorders>
            <w:shd w:val="clear" w:color="000000" w:fill="EFEAE6"/>
            <w:noWrap/>
            <w:vAlign w:val="bottom"/>
            <w:hideMark/>
          </w:tcPr>
          <w:p w14:paraId="5EA02272"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2027" w:type="dxa"/>
            <w:tcBorders>
              <w:top w:val="nil"/>
              <w:left w:val="nil"/>
              <w:bottom w:val="single" w:sz="8" w:space="0" w:color="FFFFFF"/>
              <w:right w:val="single" w:sz="8" w:space="0" w:color="FFFFFF"/>
            </w:tcBorders>
            <w:shd w:val="clear" w:color="000000" w:fill="EFEAE6"/>
            <w:noWrap/>
            <w:vAlign w:val="bottom"/>
            <w:hideMark/>
          </w:tcPr>
          <w:p w14:paraId="4056607B"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r>
      <w:tr w:rsidR="00D2166C" w:rsidRPr="00D2166C" w14:paraId="75AD8F58"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036C4805"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Middle East</w:t>
            </w:r>
          </w:p>
        </w:tc>
        <w:tc>
          <w:tcPr>
            <w:tcW w:w="1877" w:type="dxa"/>
            <w:tcBorders>
              <w:top w:val="nil"/>
              <w:left w:val="nil"/>
              <w:bottom w:val="single" w:sz="8" w:space="0" w:color="FFFFFF"/>
              <w:right w:val="single" w:sz="8" w:space="0" w:color="FFFFFF"/>
            </w:tcBorders>
            <w:shd w:val="clear" w:color="000000" w:fill="EFEAE6"/>
            <w:noWrap/>
            <w:vAlign w:val="bottom"/>
            <w:hideMark/>
          </w:tcPr>
          <w:p w14:paraId="6C1390BA"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Lebanon (3)</w:t>
            </w:r>
          </w:p>
        </w:tc>
        <w:tc>
          <w:tcPr>
            <w:tcW w:w="1913" w:type="dxa"/>
            <w:tcBorders>
              <w:top w:val="nil"/>
              <w:left w:val="nil"/>
              <w:bottom w:val="single" w:sz="8" w:space="0" w:color="FFFFFF"/>
              <w:right w:val="single" w:sz="8" w:space="0" w:color="FFFFFF"/>
            </w:tcBorders>
            <w:shd w:val="clear" w:color="000000" w:fill="EFEAE6"/>
            <w:noWrap/>
            <w:vAlign w:val="bottom"/>
            <w:hideMark/>
          </w:tcPr>
          <w:p w14:paraId="45A41027"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Kuwait (7)</w:t>
            </w:r>
          </w:p>
        </w:tc>
        <w:tc>
          <w:tcPr>
            <w:tcW w:w="2027" w:type="dxa"/>
            <w:tcBorders>
              <w:top w:val="nil"/>
              <w:left w:val="nil"/>
              <w:bottom w:val="single" w:sz="8" w:space="0" w:color="FFFFFF"/>
              <w:right w:val="single" w:sz="8" w:space="0" w:color="FFFFFF"/>
            </w:tcBorders>
            <w:shd w:val="clear" w:color="000000" w:fill="EFEAE6"/>
            <w:noWrap/>
            <w:vAlign w:val="bottom"/>
            <w:hideMark/>
          </w:tcPr>
          <w:p w14:paraId="420C8741"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Egypt (19)</w:t>
            </w:r>
          </w:p>
        </w:tc>
      </w:tr>
      <w:tr w:rsidR="00D2166C" w:rsidRPr="00D2166C" w14:paraId="16B03575"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1E610ECB"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0C8143E9"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913" w:type="dxa"/>
            <w:tcBorders>
              <w:top w:val="nil"/>
              <w:left w:val="nil"/>
              <w:bottom w:val="single" w:sz="8" w:space="0" w:color="FFFFFF"/>
              <w:right w:val="single" w:sz="8" w:space="0" w:color="FFFFFF"/>
            </w:tcBorders>
            <w:shd w:val="clear" w:color="000000" w:fill="EFEAE6"/>
            <w:noWrap/>
            <w:vAlign w:val="bottom"/>
            <w:hideMark/>
          </w:tcPr>
          <w:p w14:paraId="5617040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Saudi Arabia (8)</w:t>
            </w:r>
          </w:p>
        </w:tc>
        <w:tc>
          <w:tcPr>
            <w:tcW w:w="2027" w:type="dxa"/>
            <w:tcBorders>
              <w:top w:val="nil"/>
              <w:left w:val="nil"/>
              <w:bottom w:val="single" w:sz="8" w:space="0" w:color="FFFFFF"/>
              <w:right w:val="single" w:sz="8" w:space="0" w:color="FFFFFF"/>
            </w:tcBorders>
            <w:shd w:val="clear" w:color="000000" w:fill="EFEAE6"/>
            <w:noWrap/>
            <w:vAlign w:val="bottom"/>
            <w:hideMark/>
          </w:tcPr>
          <w:p w14:paraId="4C027E33"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Oman (19)</w:t>
            </w:r>
          </w:p>
        </w:tc>
      </w:tr>
      <w:tr w:rsidR="00D2166C" w:rsidRPr="00D2166C" w14:paraId="60DE11DC"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00FF958F"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6819506F"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913" w:type="dxa"/>
            <w:tcBorders>
              <w:top w:val="nil"/>
              <w:left w:val="nil"/>
              <w:bottom w:val="single" w:sz="8" w:space="0" w:color="FFFFFF"/>
              <w:right w:val="single" w:sz="8" w:space="0" w:color="FFFFFF"/>
            </w:tcBorders>
            <w:shd w:val="clear" w:color="000000" w:fill="EFEAE6"/>
            <w:noWrap/>
            <w:vAlign w:val="bottom"/>
            <w:hideMark/>
          </w:tcPr>
          <w:p w14:paraId="2E2FA917"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2027" w:type="dxa"/>
            <w:tcBorders>
              <w:top w:val="nil"/>
              <w:left w:val="nil"/>
              <w:bottom w:val="single" w:sz="8" w:space="0" w:color="FFFFFF"/>
              <w:right w:val="single" w:sz="8" w:space="0" w:color="FFFFFF"/>
            </w:tcBorders>
            <w:shd w:val="clear" w:color="000000" w:fill="EFEAE6"/>
            <w:noWrap/>
            <w:vAlign w:val="bottom"/>
            <w:hideMark/>
          </w:tcPr>
          <w:p w14:paraId="75769279"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UAE (13)</w:t>
            </w:r>
          </w:p>
        </w:tc>
      </w:tr>
      <w:tr w:rsidR="00D2166C" w:rsidRPr="00D2166C" w14:paraId="5C2416AC"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425FFFF6"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South &amp; Central Asia</w:t>
            </w:r>
          </w:p>
        </w:tc>
        <w:tc>
          <w:tcPr>
            <w:tcW w:w="1877" w:type="dxa"/>
            <w:tcBorders>
              <w:top w:val="nil"/>
              <w:left w:val="nil"/>
              <w:bottom w:val="single" w:sz="8" w:space="0" w:color="FFFFFF"/>
              <w:right w:val="single" w:sz="8" w:space="0" w:color="FFFFFF"/>
            </w:tcBorders>
            <w:shd w:val="clear" w:color="000000" w:fill="EFEAE6"/>
            <w:noWrap/>
            <w:vAlign w:val="bottom"/>
            <w:hideMark/>
          </w:tcPr>
          <w:p w14:paraId="77EB4E70"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Bangladesh (2)</w:t>
            </w:r>
          </w:p>
        </w:tc>
        <w:tc>
          <w:tcPr>
            <w:tcW w:w="1913" w:type="dxa"/>
            <w:tcBorders>
              <w:top w:val="nil"/>
              <w:left w:val="nil"/>
              <w:bottom w:val="single" w:sz="8" w:space="0" w:color="FFFFFF"/>
              <w:right w:val="single" w:sz="8" w:space="0" w:color="FFFFFF"/>
            </w:tcBorders>
            <w:shd w:val="clear" w:color="000000" w:fill="EFEAE6"/>
            <w:noWrap/>
            <w:vAlign w:val="bottom"/>
            <w:hideMark/>
          </w:tcPr>
          <w:p w14:paraId="192D293C"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India (9)</w:t>
            </w:r>
          </w:p>
        </w:tc>
        <w:tc>
          <w:tcPr>
            <w:tcW w:w="2027" w:type="dxa"/>
            <w:tcBorders>
              <w:top w:val="nil"/>
              <w:left w:val="nil"/>
              <w:bottom w:val="single" w:sz="8" w:space="0" w:color="FFFFFF"/>
              <w:right w:val="single" w:sz="8" w:space="0" w:color="FFFFFF"/>
            </w:tcBorders>
            <w:shd w:val="clear" w:color="000000" w:fill="EFEAE6"/>
            <w:noWrap/>
            <w:vAlign w:val="bottom"/>
            <w:hideMark/>
          </w:tcPr>
          <w:p w14:paraId="749390BA"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Sri Lanka (18)</w:t>
            </w:r>
          </w:p>
        </w:tc>
      </w:tr>
      <w:tr w:rsidR="00D2166C" w:rsidRPr="00D2166C" w14:paraId="1B40DD70"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6F869BEC"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1A18ABF7"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Uzbekistan (4)</w:t>
            </w:r>
          </w:p>
        </w:tc>
        <w:tc>
          <w:tcPr>
            <w:tcW w:w="1913" w:type="dxa"/>
            <w:tcBorders>
              <w:top w:val="nil"/>
              <w:left w:val="nil"/>
              <w:bottom w:val="single" w:sz="8" w:space="0" w:color="FFFFFF"/>
              <w:right w:val="single" w:sz="8" w:space="0" w:color="FFFFFF"/>
            </w:tcBorders>
            <w:shd w:val="clear" w:color="000000" w:fill="EFEAE6"/>
            <w:noWrap/>
            <w:vAlign w:val="bottom"/>
            <w:hideMark/>
          </w:tcPr>
          <w:p w14:paraId="3F89E6B1"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Nepal (2)</w:t>
            </w:r>
          </w:p>
        </w:tc>
        <w:tc>
          <w:tcPr>
            <w:tcW w:w="2027" w:type="dxa"/>
            <w:tcBorders>
              <w:top w:val="nil"/>
              <w:left w:val="nil"/>
              <w:bottom w:val="single" w:sz="8" w:space="0" w:color="FFFFFF"/>
              <w:right w:val="single" w:sz="8" w:space="0" w:color="FFFFFF"/>
            </w:tcBorders>
            <w:shd w:val="clear" w:color="000000" w:fill="EFEAE6"/>
            <w:noWrap/>
            <w:vAlign w:val="bottom"/>
            <w:hideMark/>
          </w:tcPr>
          <w:p w14:paraId="2863E47A"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r>
      <w:tr w:rsidR="00D2166C" w:rsidRPr="00D2166C" w14:paraId="3251C439"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227BBF3F"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00649827"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913" w:type="dxa"/>
            <w:tcBorders>
              <w:top w:val="nil"/>
              <w:left w:val="nil"/>
              <w:bottom w:val="single" w:sz="8" w:space="0" w:color="FFFFFF"/>
              <w:right w:val="single" w:sz="8" w:space="0" w:color="FFFFFF"/>
            </w:tcBorders>
            <w:shd w:val="clear" w:color="000000" w:fill="EFEAE6"/>
            <w:noWrap/>
            <w:vAlign w:val="bottom"/>
            <w:hideMark/>
          </w:tcPr>
          <w:p w14:paraId="2E2DAF7D"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Pakistan (7)</w:t>
            </w:r>
          </w:p>
        </w:tc>
        <w:tc>
          <w:tcPr>
            <w:tcW w:w="2027" w:type="dxa"/>
            <w:tcBorders>
              <w:top w:val="nil"/>
              <w:left w:val="nil"/>
              <w:bottom w:val="single" w:sz="8" w:space="0" w:color="FFFFFF"/>
              <w:right w:val="single" w:sz="8" w:space="0" w:color="FFFFFF"/>
            </w:tcBorders>
            <w:shd w:val="clear" w:color="000000" w:fill="EFEAE6"/>
            <w:noWrap/>
            <w:vAlign w:val="bottom"/>
            <w:hideMark/>
          </w:tcPr>
          <w:p w14:paraId="29B2256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r>
      <w:tr w:rsidR="00D2166C" w:rsidRPr="00D2166C" w14:paraId="6FCA9EA9"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05E19674"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East and South East Asia</w:t>
            </w:r>
          </w:p>
        </w:tc>
        <w:tc>
          <w:tcPr>
            <w:tcW w:w="1877" w:type="dxa"/>
            <w:tcBorders>
              <w:top w:val="nil"/>
              <w:left w:val="nil"/>
              <w:bottom w:val="single" w:sz="8" w:space="0" w:color="FFFFFF"/>
              <w:right w:val="single" w:sz="8" w:space="0" w:color="FFFFFF"/>
            </w:tcBorders>
            <w:shd w:val="clear" w:color="000000" w:fill="EFEAE6"/>
            <w:noWrap/>
            <w:vAlign w:val="bottom"/>
            <w:hideMark/>
          </w:tcPr>
          <w:p w14:paraId="3A558827"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Vietnam (3)</w:t>
            </w:r>
          </w:p>
        </w:tc>
        <w:tc>
          <w:tcPr>
            <w:tcW w:w="1913" w:type="dxa"/>
            <w:tcBorders>
              <w:top w:val="nil"/>
              <w:left w:val="nil"/>
              <w:bottom w:val="single" w:sz="8" w:space="0" w:color="FFFFFF"/>
              <w:right w:val="single" w:sz="8" w:space="0" w:color="FFFFFF"/>
            </w:tcBorders>
            <w:shd w:val="clear" w:color="000000" w:fill="EFEAE6"/>
            <w:noWrap/>
            <w:vAlign w:val="bottom"/>
            <w:hideMark/>
          </w:tcPr>
          <w:p w14:paraId="7E5519DB"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2027" w:type="dxa"/>
            <w:tcBorders>
              <w:top w:val="nil"/>
              <w:left w:val="nil"/>
              <w:bottom w:val="single" w:sz="8" w:space="0" w:color="FFFFFF"/>
              <w:right w:val="single" w:sz="8" w:space="0" w:color="FFFFFF"/>
            </w:tcBorders>
            <w:shd w:val="clear" w:color="000000" w:fill="EFEAE6"/>
            <w:noWrap/>
            <w:vAlign w:val="bottom"/>
            <w:hideMark/>
          </w:tcPr>
          <w:p w14:paraId="21CDD0A9"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China (28)</w:t>
            </w:r>
          </w:p>
        </w:tc>
      </w:tr>
      <w:tr w:rsidR="00D2166C" w:rsidRPr="00D2166C" w14:paraId="3D6B3434"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4B35AD3C"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6543A9BE"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913" w:type="dxa"/>
            <w:tcBorders>
              <w:top w:val="nil"/>
              <w:left w:val="nil"/>
              <w:bottom w:val="single" w:sz="8" w:space="0" w:color="FFFFFF"/>
              <w:right w:val="single" w:sz="8" w:space="0" w:color="FFFFFF"/>
            </w:tcBorders>
            <w:shd w:val="clear" w:color="000000" w:fill="EFEAE6"/>
            <w:noWrap/>
            <w:vAlign w:val="bottom"/>
            <w:hideMark/>
          </w:tcPr>
          <w:p w14:paraId="6FD3BAC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2027" w:type="dxa"/>
            <w:tcBorders>
              <w:top w:val="nil"/>
              <w:left w:val="nil"/>
              <w:bottom w:val="single" w:sz="8" w:space="0" w:color="FFFFFF"/>
              <w:right w:val="single" w:sz="8" w:space="0" w:color="FFFFFF"/>
            </w:tcBorders>
            <w:shd w:val="clear" w:color="000000" w:fill="EFEAE6"/>
            <w:noWrap/>
            <w:vAlign w:val="bottom"/>
            <w:hideMark/>
          </w:tcPr>
          <w:p w14:paraId="28B185EA"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Hong Kong (25)</w:t>
            </w:r>
          </w:p>
        </w:tc>
      </w:tr>
      <w:tr w:rsidR="00D2166C" w:rsidRPr="00D2166C" w14:paraId="67551084" w14:textId="77777777" w:rsidTr="00D2166C">
        <w:trPr>
          <w:trHeight w:val="313"/>
        </w:trPr>
        <w:tc>
          <w:tcPr>
            <w:tcW w:w="2914" w:type="dxa"/>
            <w:tcBorders>
              <w:top w:val="nil"/>
              <w:left w:val="single" w:sz="8" w:space="0" w:color="FFFFFF"/>
              <w:bottom w:val="single" w:sz="8" w:space="0" w:color="FFFFFF"/>
              <w:right w:val="single" w:sz="8" w:space="0" w:color="FFFFFF"/>
            </w:tcBorders>
            <w:shd w:val="clear" w:color="000000" w:fill="EFEAE6"/>
            <w:noWrap/>
            <w:vAlign w:val="bottom"/>
            <w:hideMark/>
          </w:tcPr>
          <w:p w14:paraId="54BE92B2"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8" w:space="0" w:color="FFFFFF"/>
              <w:right w:val="single" w:sz="8" w:space="0" w:color="FFFFFF"/>
            </w:tcBorders>
            <w:shd w:val="clear" w:color="000000" w:fill="EFEAE6"/>
            <w:noWrap/>
            <w:vAlign w:val="bottom"/>
            <w:hideMark/>
          </w:tcPr>
          <w:p w14:paraId="2E0E8E6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913" w:type="dxa"/>
            <w:tcBorders>
              <w:top w:val="nil"/>
              <w:left w:val="nil"/>
              <w:bottom w:val="single" w:sz="8" w:space="0" w:color="FFFFFF"/>
              <w:right w:val="single" w:sz="8" w:space="0" w:color="FFFFFF"/>
            </w:tcBorders>
            <w:shd w:val="clear" w:color="000000" w:fill="EFEAE6"/>
            <w:noWrap/>
            <w:vAlign w:val="bottom"/>
            <w:hideMark/>
          </w:tcPr>
          <w:p w14:paraId="7F79FA27"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2027" w:type="dxa"/>
            <w:tcBorders>
              <w:top w:val="nil"/>
              <w:left w:val="nil"/>
              <w:bottom w:val="single" w:sz="8" w:space="0" w:color="FFFFFF"/>
              <w:right w:val="single" w:sz="8" w:space="0" w:color="FFFFFF"/>
            </w:tcBorders>
            <w:shd w:val="clear" w:color="000000" w:fill="EFEAE6"/>
            <w:noWrap/>
            <w:vAlign w:val="bottom"/>
            <w:hideMark/>
          </w:tcPr>
          <w:p w14:paraId="057EAA39"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Malaysia (55)</w:t>
            </w:r>
          </w:p>
        </w:tc>
      </w:tr>
      <w:tr w:rsidR="00D2166C" w:rsidRPr="00D2166C" w14:paraId="29369E32" w14:textId="77777777" w:rsidTr="00D2166C">
        <w:trPr>
          <w:trHeight w:val="313"/>
        </w:trPr>
        <w:tc>
          <w:tcPr>
            <w:tcW w:w="2914" w:type="dxa"/>
            <w:tcBorders>
              <w:top w:val="nil"/>
              <w:left w:val="single" w:sz="8" w:space="0" w:color="FFFFFF"/>
              <w:bottom w:val="single" w:sz="4" w:space="0" w:color="auto"/>
              <w:right w:val="single" w:sz="8" w:space="0" w:color="FFFFFF"/>
            </w:tcBorders>
            <w:shd w:val="clear" w:color="000000" w:fill="EFEAE6"/>
            <w:noWrap/>
            <w:vAlign w:val="bottom"/>
            <w:hideMark/>
          </w:tcPr>
          <w:p w14:paraId="4567808E"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877" w:type="dxa"/>
            <w:tcBorders>
              <w:top w:val="nil"/>
              <w:left w:val="nil"/>
              <w:bottom w:val="single" w:sz="4" w:space="0" w:color="auto"/>
              <w:right w:val="single" w:sz="8" w:space="0" w:color="FFFFFF"/>
            </w:tcBorders>
            <w:shd w:val="clear" w:color="000000" w:fill="EFEAE6"/>
            <w:noWrap/>
            <w:vAlign w:val="bottom"/>
            <w:hideMark/>
          </w:tcPr>
          <w:p w14:paraId="2EBB90F1"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1913" w:type="dxa"/>
            <w:tcBorders>
              <w:top w:val="nil"/>
              <w:left w:val="nil"/>
              <w:bottom w:val="single" w:sz="4" w:space="0" w:color="auto"/>
              <w:right w:val="single" w:sz="8" w:space="0" w:color="FFFFFF"/>
            </w:tcBorders>
            <w:shd w:val="clear" w:color="000000" w:fill="EFEAE6"/>
            <w:noWrap/>
            <w:vAlign w:val="bottom"/>
            <w:hideMark/>
          </w:tcPr>
          <w:p w14:paraId="6CB440B8"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 </w:t>
            </w:r>
          </w:p>
        </w:tc>
        <w:tc>
          <w:tcPr>
            <w:tcW w:w="2027" w:type="dxa"/>
            <w:tcBorders>
              <w:top w:val="nil"/>
              <w:left w:val="nil"/>
              <w:bottom w:val="single" w:sz="4" w:space="0" w:color="auto"/>
              <w:right w:val="single" w:sz="8" w:space="0" w:color="FFFFFF"/>
            </w:tcBorders>
            <w:shd w:val="clear" w:color="000000" w:fill="EFEAE6"/>
            <w:noWrap/>
            <w:vAlign w:val="bottom"/>
            <w:hideMark/>
          </w:tcPr>
          <w:p w14:paraId="5A23C482" w14:textId="77777777" w:rsidR="00D2166C" w:rsidRPr="00D2166C" w:rsidRDefault="00D2166C" w:rsidP="00D2166C">
            <w:pPr>
              <w:spacing w:after="0" w:line="240" w:lineRule="auto"/>
              <w:jc w:val="center"/>
              <w:rPr>
                <w:rFonts w:ascii="Calibri" w:eastAsia="Times New Roman" w:hAnsi="Calibri" w:cs="Calibri"/>
                <w:color w:val="000000"/>
                <w:lang w:eastAsia="en-GB"/>
              </w:rPr>
            </w:pPr>
            <w:r w:rsidRPr="00D2166C">
              <w:rPr>
                <w:rFonts w:ascii="Calibri" w:eastAsia="Times New Roman" w:hAnsi="Calibri" w:cs="Calibri"/>
                <w:color w:val="000000"/>
                <w:lang w:eastAsia="en-GB"/>
              </w:rPr>
              <w:t>Singapore (31)</w:t>
            </w:r>
          </w:p>
        </w:tc>
      </w:tr>
      <w:tr w:rsidR="00D2166C" w:rsidRPr="00D2166C" w14:paraId="46CD4AA2" w14:textId="77777777" w:rsidTr="00D2166C">
        <w:trPr>
          <w:trHeight w:val="298"/>
        </w:trPr>
        <w:tc>
          <w:tcPr>
            <w:tcW w:w="4792" w:type="dxa"/>
            <w:gridSpan w:val="2"/>
            <w:tcBorders>
              <w:top w:val="nil"/>
              <w:left w:val="nil"/>
              <w:bottom w:val="nil"/>
              <w:right w:val="nil"/>
            </w:tcBorders>
            <w:shd w:val="clear" w:color="auto" w:fill="auto"/>
            <w:noWrap/>
            <w:vAlign w:val="bottom"/>
            <w:hideMark/>
          </w:tcPr>
          <w:p w14:paraId="2F5FBE61" w14:textId="0FFB81F3" w:rsidR="00D2166C" w:rsidRPr="00D2166C" w:rsidRDefault="00D2166C" w:rsidP="00D2166C">
            <w:pPr>
              <w:spacing w:after="0" w:line="240" w:lineRule="auto"/>
              <w:rPr>
                <w:rFonts w:ascii="Calibri" w:eastAsia="Times New Roman" w:hAnsi="Calibri" w:cs="Calibri"/>
                <w:color w:val="000000"/>
                <w:lang w:eastAsia="en-GB"/>
              </w:rPr>
            </w:pPr>
          </w:p>
        </w:tc>
        <w:tc>
          <w:tcPr>
            <w:tcW w:w="1913" w:type="dxa"/>
            <w:tcBorders>
              <w:top w:val="nil"/>
              <w:left w:val="nil"/>
              <w:bottom w:val="nil"/>
              <w:right w:val="nil"/>
            </w:tcBorders>
            <w:shd w:val="clear" w:color="auto" w:fill="auto"/>
            <w:noWrap/>
            <w:vAlign w:val="bottom"/>
            <w:hideMark/>
          </w:tcPr>
          <w:p w14:paraId="07175D64" w14:textId="77777777" w:rsidR="00D2166C" w:rsidRPr="00D2166C" w:rsidRDefault="00D2166C" w:rsidP="00D2166C">
            <w:pPr>
              <w:spacing w:after="0" w:line="240" w:lineRule="auto"/>
              <w:rPr>
                <w:rFonts w:ascii="Calibri" w:eastAsia="Times New Roman" w:hAnsi="Calibri" w:cs="Calibri"/>
                <w:color w:val="000000"/>
                <w:lang w:eastAsia="en-GB"/>
              </w:rPr>
            </w:pPr>
          </w:p>
        </w:tc>
        <w:tc>
          <w:tcPr>
            <w:tcW w:w="2027" w:type="dxa"/>
            <w:tcBorders>
              <w:top w:val="nil"/>
              <w:left w:val="nil"/>
              <w:bottom w:val="nil"/>
              <w:right w:val="nil"/>
            </w:tcBorders>
            <w:shd w:val="clear" w:color="auto" w:fill="auto"/>
            <w:noWrap/>
            <w:vAlign w:val="bottom"/>
            <w:hideMark/>
          </w:tcPr>
          <w:p w14:paraId="26668A1D" w14:textId="77777777" w:rsidR="00D2166C" w:rsidRPr="00D2166C" w:rsidRDefault="00D2166C" w:rsidP="00D2166C">
            <w:pPr>
              <w:spacing w:after="0" w:line="240" w:lineRule="auto"/>
              <w:rPr>
                <w:rFonts w:ascii="Calibri" w:eastAsia="Times New Roman" w:hAnsi="Calibri" w:cs="Calibri"/>
                <w:color w:val="000000"/>
                <w:lang w:eastAsia="en-GB"/>
              </w:rPr>
            </w:pPr>
          </w:p>
        </w:tc>
      </w:tr>
    </w:tbl>
    <w:p w14:paraId="09FE7AB7" w14:textId="09086B1F" w:rsidR="000F6275" w:rsidRDefault="00FD0BA8" w:rsidP="00FD0BA8">
      <w:pPr>
        <w:jc w:val="both"/>
        <w:rPr>
          <w:rFonts w:cstheme="minorHAnsi"/>
          <w:sz w:val="28"/>
          <w:szCs w:val="28"/>
        </w:rPr>
      </w:pPr>
      <w:r w:rsidRPr="00E41C69">
        <w:rPr>
          <w:rFonts w:cstheme="minorHAnsi"/>
          <w:sz w:val="28"/>
          <w:szCs w:val="28"/>
        </w:rPr>
        <w:t>The largest increases in offshore enrolments during the last decade have, in absolute terms, been in Malaysia, China, Hong K</w:t>
      </w:r>
      <w:r w:rsidR="00664724">
        <w:rPr>
          <w:rFonts w:cstheme="minorHAnsi"/>
          <w:sz w:val="28"/>
          <w:szCs w:val="28"/>
        </w:rPr>
        <w:t>ong, Egypt, Sri Lanka, and Oman.</w:t>
      </w:r>
      <w:r w:rsidRPr="00E41C69">
        <w:rPr>
          <w:rFonts w:cstheme="minorHAnsi"/>
          <w:sz w:val="28"/>
          <w:szCs w:val="28"/>
        </w:rPr>
        <w:t xml:space="preserve"> Percentage growth exceeded 500% in Botswana, Lebanon, Qatar, Saudi Arabia, Nepal, Sri Lanka, Uzbekistan and Vietnam. Enrolments have </w:t>
      </w:r>
      <w:r w:rsidR="00E25C17">
        <w:rPr>
          <w:rFonts w:cstheme="minorHAnsi"/>
          <w:sz w:val="28"/>
          <w:szCs w:val="28"/>
        </w:rPr>
        <w:t xml:space="preserve">declined appreciably in </w:t>
      </w:r>
      <w:r w:rsidRPr="00E41C69">
        <w:rPr>
          <w:rFonts w:cstheme="minorHAnsi"/>
          <w:sz w:val="28"/>
          <w:szCs w:val="28"/>
        </w:rPr>
        <w:t xml:space="preserve">Israel, Ireland, Romania, </w:t>
      </w:r>
      <w:r w:rsidR="00E25C17">
        <w:rPr>
          <w:rFonts w:cstheme="minorHAnsi"/>
          <w:sz w:val="28"/>
          <w:szCs w:val="28"/>
        </w:rPr>
        <w:t xml:space="preserve">Russia, </w:t>
      </w:r>
      <w:r w:rsidRPr="00E41C69">
        <w:rPr>
          <w:rFonts w:cstheme="minorHAnsi"/>
          <w:sz w:val="28"/>
          <w:szCs w:val="28"/>
        </w:rPr>
        <w:t>Spain and Trinidad and Tobago.</w:t>
      </w:r>
    </w:p>
    <w:p w14:paraId="2F0A557A" w14:textId="2B88EF61" w:rsidR="00C73BE3" w:rsidRPr="00E41C69" w:rsidRDefault="008D2279" w:rsidP="00FD0BA8">
      <w:pPr>
        <w:jc w:val="both"/>
        <w:rPr>
          <w:rFonts w:cstheme="minorHAnsi"/>
          <w:sz w:val="28"/>
          <w:szCs w:val="28"/>
        </w:rPr>
      </w:pPr>
      <w:r w:rsidRPr="00E41C69">
        <w:rPr>
          <w:rFonts w:cstheme="minorHAnsi"/>
          <w:sz w:val="28"/>
          <w:szCs w:val="28"/>
        </w:rPr>
        <w:t xml:space="preserve">Among those UK universities with FVA courses </w:t>
      </w:r>
      <w:r w:rsidR="007E546A" w:rsidRPr="00E41C69">
        <w:rPr>
          <w:rFonts w:cstheme="minorHAnsi"/>
          <w:sz w:val="28"/>
          <w:szCs w:val="28"/>
        </w:rPr>
        <w:t xml:space="preserve">with overseas partners </w:t>
      </w:r>
      <w:r w:rsidRPr="00E41C69">
        <w:rPr>
          <w:rFonts w:cstheme="minorHAnsi"/>
          <w:sz w:val="28"/>
          <w:szCs w:val="28"/>
        </w:rPr>
        <w:t>in 2015/16, nearly 40% were involved in just one or two countries, another quarter in 3-5 countries, and 37% in more</w:t>
      </w:r>
      <w:r w:rsidR="000F6275">
        <w:rPr>
          <w:rFonts w:cstheme="minorHAnsi"/>
          <w:sz w:val="28"/>
          <w:szCs w:val="28"/>
        </w:rPr>
        <w:t xml:space="preserve"> than five countries</w:t>
      </w:r>
      <w:r w:rsidRPr="00E41C69">
        <w:rPr>
          <w:rFonts w:cstheme="minorHAnsi"/>
          <w:sz w:val="28"/>
          <w:szCs w:val="28"/>
        </w:rPr>
        <w:t xml:space="preserve">.  </w:t>
      </w:r>
    </w:p>
    <w:p w14:paraId="1EEA7A2B" w14:textId="77777777" w:rsidR="001F62C5" w:rsidRDefault="001F62C5" w:rsidP="00FD0BA8">
      <w:pPr>
        <w:jc w:val="both"/>
        <w:rPr>
          <w:rFonts w:cstheme="minorHAnsi"/>
          <w:sz w:val="28"/>
          <w:szCs w:val="28"/>
        </w:rPr>
      </w:pPr>
      <w:r>
        <w:rPr>
          <w:rFonts w:cstheme="minorHAnsi"/>
          <w:b/>
          <w:sz w:val="28"/>
          <w:szCs w:val="28"/>
        </w:rPr>
        <w:t xml:space="preserve">4.2.4 </w:t>
      </w:r>
      <w:r w:rsidR="00C73BE3" w:rsidRPr="00E41C69">
        <w:rPr>
          <w:rFonts w:cstheme="minorHAnsi"/>
          <w:b/>
          <w:sz w:val="28"/>
          <w:szCs w:val="28"/>
        </w:rPr>
        <w:t>Regional profile</w:t>
      </w:r>
    </w:p>
    <w:p w14:paraId="3A7DE604" w14:textId="245D8C3B" w:rsidR="00FD0BA8" w:rsidRDefault="0073331A" w:rsidP="00FD0BA8">
      <w:pPr>
        <w:jc w:val="both"/>
        <w:rPr>
          <w:rFonts w:cstheme="minorHAnsi"/>
          <w:sz w:val="28"/>
          <w:szCs w:val="28"/>
        </w:rPr>
      </w:pPr>
      <w:r w:rsidRPr="00E41C69">
        <w:rPr>
          <w:rFonts w:cstheme="minorHAnsi"/>
          <w:sz w:val="28"/>
          <w:szCs w:val="28"/>
        </w:rPr>
        <w:t xml:space="preserve">Shifts in the regional breakdown </w:t>
      </w:r>
      <w:r w:rsidR="007E546A" w:rsidRPr="00E41C69">
        <w:rPr>
          <w:rFonts w:cstheme="minorHAnsi"/>
          <w:sz w:val="28"/>
          <w:szCs w:val="28"/>
        </w:rPr>
        <w:t xml:space="preserve">of offshore provision </w:t>
      </w:r>
      <w:r w:rsidRPr="00E41C69">
        <w:rPr>
          <w:rFonts w:cstheme="minorHAnsi"/>
          <w:sz w:val="28"/>
          <w:szCs w:val="28"/>
        </w:rPr>
        <w:t>have been marked during the last 20 years</w:t>
      </w:r>
      <w:r w:rsidR="00E9016A">
        <w:rPr>
          <w:rFonts w:cstheme="minorHAnsi"/>
          <w:sz w:val="28"/>
          <w:szCs w:val="28"/>
        </w:rPr>
        <w:t xml:space="preserve"> (see figure 4</w:t>
      </w:r>
      <w:r w:rsidR="000F6275">
        <w:rPr>
          <w:rFonts w:cstheme="minorHAnsi"/>
          <w:sz w:val="28"/>
          <w:szCs w:val="28"/>
        </w:rPr>
        <w:t>)</w:t>
      </w:r>
      <w:r w:rsidRPr="00E41C69">
        <w:rPr>
          <w:rFonts w:cstheme="minorHAnsi"/>
          <w:sz w:val="28"/>
          <w:szCs w:val="28"/>
        </w:rPr>
        <w:t>. The most noticeable of these are:</w:t>
      </w:r>
    </w:p>
    <w:p w14:paraId="00B26E34" w14:textId="77777777" w:rsidR="00E9016A" w:rsidRPr="00E41C69" w:rsidRDefault="00E9016A" w:rsidP="00E9016A">
      <w:pPr>
        <w:pStyle w:val="ListParagraph"/>
        <w:numPr>
          <w:ilvl w:val="0"/>
          <w:numId w:val="13"/>
        </w:numPr>
        <w:jc w:val="both"/>
        <w:rPr>
          <w:rFonts w:cstheme="minorHAnsi"/>
          <w:sz w:val="28"/>
          <w:szCs w:val="28"/>
        </w:rPr>
      </w:pPr>
      <w:r w:rsidRPr="00E41C69">
        <w:rPr>
          <w:rFonts w:cstheme="minorHAnsi"/>
          <w:sz w:val="28"/>
          <w:szCs w:val="28"/>
        </w:rPr>
        <w:t>A significant decline in the share of offshore students in Western Europe. This is probably due to the increase in students from these students studying onshore in the UK coupled with a growing disinclination of European public universities to enter into commercial partnerships with overseas universities.</w:t>
      </w:r>
    </w:p>
    <w:p w14:paraId="583A6155" w14:textId="77777777" w:rsidR="00E9016A" w:rsidRPr="00E41C69" w:rsidRDefault="00E9016A" w:rsidP="00E9016A">
      <w:pPr>
        <w:pStyle w:val="ListParagraph"/>
        <w:numPr>
          <w:ilvl w:val="0"/>
          <w:numId w:val="13"/>
        </w:numPr>
        <w:jc w:val="both"/>
        <w:rPr>
          <w:rFonts w:cstheme="minorHAnsi"/>
          <w:sz w:val="28"/>
          <w:szCs w:val="28"/>
        </w:rPr>
      </w:pPr>
      <w:r w:rsidRPr="00E41C69">
        <w:rPr>
          <w:rFonts w:cstheme="minorHAnsi"/>
          <w:sz w:val="28"/>
          <w:szCs w:val="28"/>
        </w:rPr>
        <w:t xml:space="preserve">The collapse of offshore enrolments in Eastern Europe. Much of this can be attributed to the admittance of the </w:t>
      </w:r>
      <w:r>
        <w:rPr>
          <w:rFonts w:cstheme="minorHAnsi"/>
          <w:sz w:val="28"/>
          <w:szCs w:val="28"/>
        </w:rPr>
        <w:t>nine</w:t>
      </w:r>
      <w:r w:rsidRPr="00E41C69">
        <w:rPr>
          <w:rFonts w:cstheme="minorHAnsi"/>
          <w:sz w:val="28"/>
          <w:szCs w:val="28"/>
        </w:rPr>
        <w:t xml:space="preserve"> former Eastern Bloc countries into the EU which resulted in a surge of students from these countries studying in the UK. </w:t>
      </w:r>
      <w:r>
        <w:rPr>
          <w:rFonts w:cstheme="minorHAnsi"/>
          <w:sz w:val="28"/>
          <w:szCs w:val="28"/>
        </w:rPr>
        <w:t xml:space="preserve"> Visa problems are a major issue in Russia.</w:t>
      </w:r>
    </w:p>
    <w:p w14:paraId="52B4ECAB" w14:textId="39EFD7D1" w:rsidR="008E344A" w:rsidRDefault="00E9016A" w:rsidP="00E9016A">
      <w:pPr>
        <w:pStyle w:val="ListParagraph"/>
        <w:numPr>
          <w:ilvl w:val="0"/>
          <w:numId w:val="13"/>
        </w:numPr>
        <w:jc w:val="both"/>
        <w:rPr>
          <w:rFonts w:cstheme="minorHAnsi"/>
          <w:sz w:val="28"/>
          <w:szCs w:val="28"/>
        </w:rPr>
      </w:pPr>
      <w:r w:rsidRPr="00E41C69">
        <w:rPr>
          <w:rFonts w:cstheme="minorHAnsi"/>
          <w:sz w:val="28"/>
          <w:szCs w:val="28"/>
        </w:rPr>
        <w:t xml:space="preserve">The continued relative insignificance of offshore enrolments in the Americas and Oceania and sub-Saharan Africa.  Language remains the main constraint in South America. The relatively high costs of offshore courses means that demand for these courses in low-income developing countries in Africa and elsewhere will remain limited. </w:t>
      </w:r>
    </w:p>
    <w:p w14:paraId="7D8398E4" w14:textId="77777777" w:rsidR="008E344A" w:rsidRPr="008E344A" w:rsidRDefault="008E344A" w:rsidP="008E344A"/>
    <w:p w14:paraId="13AA8ED3" w14:textId="77777777" w:rsidR="008E344A" w:rsidRPr="008E344A" w:rsidRDefault="008E344A" w:rsidP="008E344A"/>
    <w:p w14:paraId="5BBDEFAB" w14:textId="77777777" w:rsidR="008E344A" w:rsidRPr="008E344A" w:rsidRDefault="008E344A" w:rsidP="008E344A"/>
    <w:p w14:paraId="41374C29" w14:textId="20A0592D" w:rsidR="008E344A" w:rsidRDefault="008E344A" w:rsidP="008E344A"/>
    <w:p w14:paraId="4289D5F6" w14:textId="3CE20433" w:rsidR="00E9016A" w:rsidRPr="008E344A" w:rsidRDefault="008E344A" w:rsidP="008E344A">
      <w:pPr>
        <w:tabs>
          <w:tab w:val="left" w:pos="2772"/>
        </w:tabs>
      </w:pPr>
      <w:r>
        <w:tab/>
      </w:r>
    </w:p>
    <w:p w14:paraId="6624DDE4" w14:textId="77777777" w:rsidR="00C9293A" w:rsidRDefault="00C9293A" w:rsidP="00FD0BA8">
      <w:pPr>
        <w:jc w:val="both"/>
        <w:rPr>
          <w:rFonts w:cstheme="minorHAnsi"/>
          <w:sz w:val="28"/>
          <w:szCs w:val="28"/>
        </w:rPr>
      </w:pPr>
      <w:r>
        <w:rPr>
          <w:noProof/>
          <w:lang w:eastAsia="en-GB"/>
        </w:rPr>
        <w:lastRenderedPageBreak/>
        <w:drawing>
          <wp:inline distT="0" distB="0" distL="0" distR="0" wp14:anchorId="7730C187" wp14:editId="0E14E48A">
            <wp:extent cx="5731510" cy="3744595"/>
            <wp:effectExtent l="0" t="0" r="2540" b="825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3A63A3" w14:textId="77777777" w:rsidR="00506460" w:rsidRPr="00E41C69" w:rsidRDefault="00506460" w:rsidP="00FD0BA8">
      <w:pPr>
        <w:jc w:val="both"/>
        <w:rPr>
          <w:rFonts w:cstheme="minorHAnsi"/>
          <w:sz w:val="28"/>
          <w:szCs w:val="28"/>
        </w:rPr>
      </w:pPr>
    </w:p>
    <w:p w14:paraId="6119E771" w14:textId="3EB50060" w:rsidR="007E65BD" w:rsidRPr="00E41C69" w:rsidRDefault="007E65BD" w:rsidP="007E65BD">
      <w:pPr>
        <w:pStyle w:val="ListParagraph"/>
        <w:numPr>
          <w:ilvl w:val="0"/>
          <w:numId w:val="13"/>
        </w:numPr>
        <w:jc w:val="both"/>
        <w:rPr>
          <w:rFonts w:cstheme="minorHAnsi"/>
          <w:sz w:val="28"/>
          <w:szCs w:val="28"/>
        </w:rPr>
      </w:pPr>
      <w:r w:rsidRPr="00E41C69">
        <w:rPr>
          <w:rFonts w:cstheme="minorHAnsi"/>
          <w:sz w:val="28"/>
          <w:szCs w:val="28"/>
        </w:rPr>
        <w:t>The Middle East has become the second largest regional market for offshore courses driven mainly by the development of regional education hubs in the UAE and the demand for higher education from non</w:t>
      </w:r>
      <w:r w:rsidR="00DB2C5B" w:rsidRPr="00E41C69">
        <w:rPr>
          <w:rFonts w:cstheme="minorHAnsi"/>
          <w:sz w:val="28"/>
          <w:szCs w:val="28"/>
        </w:rPr>
        <w:t xml:space="preserve">-indigenous populations who </w:t>
      </w:r>
      <w:r w:rsidRPr="00E41C69">
        <w:rPr>
          <w:rFonts w:cstheme="minorHAnsi"/>
          <w:sz w:val="28"/>
          <w:szCs w:val="28"/>
        </w:rPr>
        <w:t>ar</w:t>
      </w:r>
      <w:r w:rsidR="00494069" w:rsidRPr="00E41C69">
        <w:rPr>
          <w:rFonts w:cstheme="minorHAnsi"/>
          <w:sz w:val="28"/>
          <w:szCs w:val="28"/>
        </w:rPr>
        <w:t>e</w:t>
      </w:r>
      <w:r w:rsidRPr="00E41C69">
        <w:rPr>
          <w:rFonts w:cstheme="minorHAnsi"/>
          <w:sz w:val="28"/>
          <w:szCs w:val="28"/>
        </w:rPr>
        <w:t xml:space="preserve"> excluded from public education provision. </w:t>
      </w:r>
      <w:r w:rsidR="00494069" w:rsidRPr="00E41C69">
        <w:rPr>
          <w:rFonts w:cstheme="minorHAnsi"/>
          <w:sz w:val="28"/>
          <w:szCs w:val="28"/>
        </w:rPr>
        <w:t>M</w:t>
      </w:r>
      <w:r w:rsidRPr="00E41C69">
        <w:rPr>
          <w:rFonts w:cstheme="minorHAnsi"/>
          <w:sz w:val="28"/>
          <w:szCs w:val="28"/>
        </w:rPr>
        <w:t xml:space="preserve">ega </w:t>
      </w:r>
      <w:r w:rsidR="0005319B">
        <w:rPr>
          <w:rFonts w:cstheme="minorHAnsi"/>
          <w:sz w:val="28"/>
          <w:szCs w:val="28"/>
        </w:rPr>
        <w:t xml:space="preserve">enrolment </w:t>
      </w:r>
      <w:r w:rsidRPr="00E41C69">
        <w:rPr>
          <w:rFonts w:cstheme="minorHAnsi"/>
          <w:sz w:val="28"/>
          <w:szCs w:val="28"/>
        </w:rPr>
        <w:t>offshore courses at two universities have been the main reason for rapid enrolment growth in Egypt.</w:t>
      </w:r>
    </w:p>
    <w:p w14:paraId="39D0C31A" w14:textId="77777777" w:rsidR="007E65BD" w:rsidRPr="00E41C69" w:rsidRDefault="007E65BD" w:rsidP="007E65BD">
      <w:pPr>
        <w:pStyle w:val="ListParagraph"/>
        <w:numPr>
          <w:ilvl w:val="0"/>
          <w:numId w:val="13"/>
        </w:numPr>
        <w:jc w:val="both"/>
        <w:rPr>
          <w:rFonts w:cstheme="minorHAnsi"/>
          <w:sz w:val="28"/>
          <w:szCs w:val="28"/>
        </w:rPr>
      </w:pPr>
      <w:r w:rsidRPr="00E41C69">
        <w:rPr>
          <w:rFonts w:cstheme="minorHAnsi"/>
          <w:sz w:val="28"/>
          <w:szCs w:val="28"/>
        </w:rPr>
        <w:t>Enrolments have grown rapidly in South and Central Asia especially India, Nepal, Pakistan, Sri Lanka</w:t>
      </w:r>
      <w:r w:rsidR="00DB2C5B" w:rsidRPr="00E41C69">
        <w:rPr>
          <w:rFonts w:cstheme="minorHAnsi"/>
          <w:sz w:val="28"/>
          <w:szCs w:val="28"/>
        </w:rPr>
        <w:t xml:space="preserve"> and Uzbekistan which has resulted in an appreciable increase i</w:t>
      </w:r>
      <w:r w:rsidR="007E546A" w:rsidRPr="00E41C69">
        <w:rPr>
          <w:rFonts w:cstheme="minorHAnsi"/>
          <w:sz w:val="28"/>
          <w:szCs w:val="28"/>
        </w:rPr>
        <w:t xml:space="preserve">n its regional enrolment share - </w:t>
      </w:r>
      <w:r w:rsidR="00DB2C5B" w:rsidRPr="00E41C69">
        <w:rPr>
          <w:rFonts w:cstheme="minorHAnsi"/>
          <w:sz w:val="28"/>
          <w:szCs w:val="28"/>
        </w:rPr>
        <w:t>from just 2% in 1996 to 11% in 2015/16.</w:t>
      </w:r>
    </w:p>
    <w:p w14:paraId="18D98940" w14:textId="77777777" w:rsidR="000F6275" w:rsidRPr="00C9293A" w:rsidRDefault="007E65BD" w:rsidP="000F6275">
      <w:pPr>
        <w:pStyle w:val="ListParagraph"/>
        <w:numPr>
          <w:ilvl w:val="0"/>
          <w:numId w:val="13"/>
        </w:numPr>
        <w:jc w:val="both"/>
        <w:rPr>
          <w:rFonts w:cstheme="minorHAnsi"/>
          <w:sz w:val="28"/>
          <w:szCs w:val="28"/>
        </w:rPr>
      </w:pPr>
      <w:r w:rsidRPr="00E41C69">
        <w:rPr>
          <w:rFonts w:cstheme="minorHAnsi"/>
          <w:sz w:val="28"/>
          <w:szCs w:val="28"/>
        </w:rPr>
        <w:t xml:space="preserve">East and South-East Asia remains the dominant region although its share has fallen quite significantly since the mid-1990s. </w:t>
      </w:r>
    </w:p>
    <w:p w14:paraId="6C7316B1" w14:textId="01E84BEB" w:rsidR="007D6DF8" w:rsidRPr="00E41C69" w:rsidRDefault="00045343" w:rsidP="009137B4">
      <w:pPr>
        <w:pStyle w:val="Heading2"/>
      </w:pPr>
      <w:bookmarkStart w:id="14" w:name="_Toc531957310"/>
      <w:r>
        <w:t>4</w:t>
      </w:r>
      <w:r w:rsidR="00A40FB6" w:rsidRPr="00E41C69">
        <w:t>.3 PARTNER PROFILE</w:t>
      </w:r>
      <w:bookmarkEnd w:id="14"/>
    </w:p>
    <w:p w14:paraId="005AD72B" w14:textId="77777777" w:rsidR="001F62C5" w:rsidRDefault="001F62C5" w:rsidP="00E114E2">
      <w:pPr>
        <w:jc w:val="both"/>
        <w:rPr>
          <w:rFonts w:cstheme="minorHAnsi"/>
          <w:sz w:val="28"/>
          <w:szCs w:val="28"/>
        </w:rPr>
      </w:pPr>
      <w:r>
        <w:rPr>
          <w:rFonts w:cstheme="minorHAnsi"/>
          <w:b/>
          <w:sz w:val="28"/>
          <w:szCs w:val="28"/>
        </w:rPr>
        <w:t xml:space="preserve">4.3.1 </w:t>
      </w:r>
      <w:r w:rsidR="007D6DF8" w:rsidRPr="00E41C69">
        <w:rPr>
          <w:rFonts w:cstheme="minorHAnsi"/>
          <w:b/>
          <w:sz w:val="28"/>
          <w:szCs w:val="28"/>
        </w:rPr>
        <w:t>Ownership</w:t>
      </w:r>
    </w:p>
    <w:p w14:paraId="163A7838" w14:textId="37FD46C4" w:rsidR="00850454" w:rsidRPr="00E41C69" w:rsidRDefault="0095194C" w:rsidP="00E114E2">
      <w:pPr>
        <w:jc w:val="both"/>
        <w:rPr>
          <w:rFonts w:cstheme="minorHAnsi"/>
          <w:sz w:val="28"/>
          <w:szCs w:val="28"/>
        </w:rPr>
      </w:pPr>
      <w:r w:rsidRPr="00E41C69">
        <w:rPr>
          <w:rFonts w:cstheme="minorHAnsi"/>
          <w:sz w:val="28"/>
          <w:szCs w:val="28"/>
        </w:rPr>
        <w:t xml:space="preserve">In 1996/97, around three-quarters of </w:t>
      </w:r>
      <w:r w:rsidR="007E546A" w:rsidRPr="00E41C69">
        <w:rPr>
          <w:rFonts w:cstheme="minorHAnsi"/>
          <w:sz w:val="28"/>
          <w:szCs w:val="28"/>
        </w:rPr>
        <w:t xml:space="preserve">overseas </w:t>
      </w:r>
      <w:r w:rsidRPr="00E41C69">
        <w:rPr>
          <w:rFonts w:cstheme="minorHAnsi"/>
          <w:sz w:val="28"/>
          <w:szCs w:val="28"/>
        </w:rPr>
        <w:t xml:space="preserve">partners in Africa, the Middle East and Asia </w:t>
      </w:r>
      <w:r w:rsidR="0005319B">
        <w:rPr>
          <w:rFonts w:cstheme="minorHAnsi"/>
          <w:sz w:val="28"/>
          <w:szCs w:val="28"/>
        </w:rPr>
        <w:t>and around half in Europe were privately owned</w:t>
      </w:r>
      <w:r w:rsidRPr="00E41C69">
        <w:rPr>
          <w:rFonts w:cstheme="minorHAnsi"/>
          <w:sz w:val="28"/>
          <w:szCs w:val="28"/>
        </w:rPr>
        <w:t xml:space="preserve">. </w:t>
      </w:r>
      <w:r w:rsidR="007E3036" w:rsidRPr="00E41C69">
        <w:rPr>
          <w:rFonts w:cstheme="minorHAnsi"/>
          <w:sz w:val="28"/>
          <w:szCs w:val="28"/>
        </w:rPr>
        <w:t>HESA does not</w:t>
      </w:r>
      <w:r w:rsidR="00850454" w:rsidRPr="00E41C69">
        <w:rPr>
          <w:rFonts w:cstheme="minorHAnsi"/>
          <w:sz w:val="28"/>
          <w:szCs w:val="28"/>
        </w:rPr>
        <w:t xml:space="preserve"> </w:t>
      </w:r>
      <w:r w:rsidR="00850454" w:rsidRPr="00E41C69">
        <w:rPr>
          <w:rFonts w:cstheme="minorHAnsi"/>
          <w:sz w:val="28"/>
          <w:szCs w:val="28"/>
        </w:rPr>
        <w:lastRenderedPageBreak/>
        <w:t xml:space="preserve">collect any information on </w:t>
      </w:r>
      <w:r w:rsidR="007E3036" w:rsidRPr="00E41C69">
        <w:rPr>
          <w:rFonts w:cstheme="minorHAnsi"/>
          <w:sz w:val="28"/>
          <w:szCs w:val="28"/>
        </w:rPr>
        <w:t xml:space="preserve">overseas partners. However, this ownership profile </w:t>
      </w:r>
      <w:r w:rsidR="004A5C56" w:rsidRPr="00E41C69">
        <w:rPr>
          <w:rFonts w:cstheme="minorHAnsi"/>
          <w:sz w:val="28"/>
          <w:szCs w:val="28"/>
        </w:rPr>
        <w:t xml:space="preserve">is unlikely to have </w:t>
      </w:r>
      <w:r w:rsidR="007E3036" w:rsidRPr="00E41C69">
        <w:rPr>
          <w:rFonts w:cstheme="minorHAnsi"/>
          <w:sz w:val="28"/>
          <w:szCs w:val="28"/>
        </w:rPr>
        <w:t>changed markedly over the last 20 years.</w:t>
      </w:r>
      <w:r w:rsidR="00850454" w:rsidRPr="00E41C69">
        <w:rPr>
          <w:rFonts w:cstheme="minorHAnsi"/>
          <w:sz w:val="28"/>
          <w:szCs w:val="28"/>
        </w:rPr>
        <w:t xml:space="preserve"> </w:t>
      </w:r>
      <w:r w:rsidR="004A5C56" w:rsidRPr="00E41C69">
        <w:rPr>
          <w:rFonts w:cstheme="minorHAnsi"/>
          <w:sz w:val="28"/>
          <w:szCs w:val="28"/>
        </w:rPr>
        <w:t>This is principally because w</w:t>
      </w:r>
      <w:r w:rsidR="0061208D" w:rsidRPr="00E41C69">
        <w:rPr>
          <w:rFonts w:cstheme="minorHAnsi"/>
          <w:sz w:val="28"/>
          <w:szCs w:val="28"/>
        </w:rPr>
        <w:t>hile p</w:t>
      </w:r>
      <w:r w:rsidR="00850454" w:rsidRPr="00E41C69">
        <w:rPr>
          <w:rFonts w:cstheme="minorHAnsi"/>
          <w:sz w:val="28"/>
          <w:szCs w:val="28"/>
        </w:rPr>
        <w:t>rivate higher education providers have strong incentive</w:t>
      </w:r>
      <w:r w:rsidR="004A5C56" w:rsidRPr="00E41C69">
        <w:rPr>
          <w:rFonts w:cstheme="minorHAnsi"/>
          <w:sz w:val="28"/>
          <w:szCs w:val="28"/>
        </w:rPr>
        <w:t>s</w:t>
      </w:r>
      <w:r w:rsidR="00850454" w:rsidRPr="00E41C69">
        <w:rPr>
          <w:rFonts w:cstheme="minorHAnsi"/>
          <w:sz w:val="28"/>
          <w:szCs w:val="28"/>
        </w:rPr>
        <w:t xml:space="preserve"> to partner with UK and other foreign universities</w:t>
      </w:r>
      <w:r w:rsidR="0061208D" w:rsidRPr="00E41C69">
        <w:rPr>
          <w:rFonts w:cstheme="minorHAnsi"/>
          <w:sz w:val="28"/>
          <w:szCs w:val="28"/>
        </w:rPr>
        <w:t xml:space="preserve">, public universities </w:t>
      </w:r>
      <w:r w:rsidR="00E25C17">
        <w:rPr>
          <w:rFonts w:cstheme="minorHAnsi"/>
          <w:sz w:val="28"/>
          <w:szCs w:val="28"/>
        </w:rPr>
        <w:t xml:space="preserve">in most overseas countries </w:t>
      </w:r>
      <w:r w:rsidR="0061208D" w:rsidRPr="00E41C69">
        <w:rPr>
          <w:rFonts w:cstheme="minorHAnsi"/>
          <w:sz w:val="28"/>
          <w:szCs w:val="28"/>
        </w:rPr>
        <w:t>generally do not</w:t>
      </w:r>
      <w:r w:rsidR="00850454" w:rsidRPr="00E41C69">
        <w:rPr>
          <w:rFonts w:cstheme="minorHAnsi"/>
          <w:sz w:val="28"/>
          <w:szCs w:val="28"/>
        </w:rPr>
        <w:t xml:space="preserve">. </w:t>
      </w:r>
      <w:r w:rsidR="0061208D" w:rsidRPr="00E41C69">
        <w:rPr>
          <w:rFonts w:cstheme="minorHAnsi"/>
          <w:sz w:val="28"/>
          <w:szCs w:val="28"/>
        </w:rPr>
        <w:t xml:space="preserve">There are </w:t>
      </w:r>
      <w:r w:rsidR="004A5C56" w:rsidRPr="00E41C69">
        <w:rPr>
          <w:rFonts w:cstheme="minorHAnsi"/>
          <w:sz w:val="28"/>
          <w:szCs w:val="28"/>
        </w:rPr>
        <w:t xml:space="preserve">three </w:t>
      </w:r>
      <w:r w:rsidR="0061208D" w:rsidRPr="00E41C69">
        <w:rPr>
          <w:rFonts w:cstheme="minorHAnsi"/>
          <w:sz w:val="28"/>
          <w:szCs w:val="28"/>
        </w:rPr>
        <w:t xml:space="preserve">main incentives for private providers. </w:t>
      </w:r>
      <w:r w:rsidR="00850454" w:rsidRPr="00E41C69">
        <w:rPr>
          <w:rFonts w:cstheme="minorHAnsi"/>
          <w:sz w:val="28"/>
          <w:szCs w:val="28"/>
        </w:rPr>
        <w:t>First</w:t>
      </w:r>
      <w:r w:rsidR="0061208D" w:rsidRPr="00E41C69">
        <w:rPr>
          <w:rFonts w:cstheme="minorHAnsi"/>
          <w:sz w:val="28"/>
          <w:szCs w:val="28"/>
        </w:rPr>
        <w:t>ly</w:t>
      </w:r>
      <w:r w:rsidR="00850454" w:rsidRPr="00E41C69">
        <w:rPr>
          <w:rFonts w:cstheme="minorHAnsi"/>
          <w:sz w:val="28"/>
          <w:szCs w:val="28"/>
        </w:rPr>
        <w:t xml:space="preserve">, they do not have commit resources to developing their own qualifications. Secondly, it avoids what can be a very long and contorted process of getting their own degrees accredited by the relevant national </w:t>
      </w:r>
      <w:r w:rsidR="00E25C17">
        <w:rPr>
          <w:rFonts w:cstheme="minorHAnsi"/>
          <w:sz w:val="28"/>
          <w:szCs w:val="28"/>
        </w:rPr>
        <w:t xml:space="preserve">accreditation </w:t>
      </w:r>
      <w:r w:rsidR="00850454" w:rsidRPr="00E41C69">
        <w:rPr>
          <w:rFonts w:cstheme="minorHAnsi"/>
          <w:sz w:val="28"/>
          <w:szCs w:val="28"/>
        </w:rPr>
        <w:t>body. And thirdly, it improves their competitiveness vis-à-vi</w:t>
      </w:r>
      <w:r w:rsidR="007E546A" w:rsidRPr="00E41C69">
        <w:rPr>
          <w:rFonts w:cstheme="minorHAnsi"/>
          <w:sz w:val="28"/>
          <w:szCs w:val="28"/>
        </w:rPr>
        <w:t xml:space="preserve">s public universities (which </w:t>
      </w:r>
      <w:r w:rsidR="00E25C17">
        <w:rPr>
          <w:rFonts w:cstheme="minorHAnsi"/>
          <w:sz w:val="28"/>
          <w:szCs w:val="28"/>
        </w:rPr>
        <w:t xml:space="preserve">usually </w:t>
      </w:r>
      <w:r w:rsidR="007E546A" w:rsidRPr="00E41C69">
        <w:rPr>
          <w:rFonts w:cstheme="minorHAnsi"/>
          <w:sz w:val="28"/>
          <w:szCs w:val="28"/>
        </w:rPr>
        <w:t>only</w:t>
      </w:r>
      <w:r w:rsidR="00850454" w:rsidRPr="00E41C69">
        <w:rPr>
          <w:rFonts w:cstheme="minorHAnsi"/>
          <w:sz w:val="28"/>
          <w:szCs w:val="28"/>
        </w:rPr>
        <w:t xml:space="preserve"> offer local qualifications) since</w:t>
      </w:r>
      <w:r w:rsidR="007E546A" w:rsidRPr="00E41C69">
        <w:rPr>
          <w:rFonts w:cstheme="minorHAnsi"/>
          <w:sz w:val="28"/>
          <w:szCs w:val="28"/>
        </w:rPr>
        <w:t xml:space="preserve"> their q</w:t>
      </w:r>
      <w:r w:rsidR="00850454" w:rsidRPr="00E41C69">
        <w:rPr>
          <w:rFonts w:cstheme="minorHAnsi"/>
          <w:sz w:val="28"/>
          <w:szCs w:val="28"/>
        </w:rPr>
        <w:t xml:space="preserve">ualifications are </w:t>
      </w:r>
      <w:r w:rsidR="0061208D" w:rsidRPr="00E41C69">
        <w:rPr>
          <w:rFonts w:cstheme="minorHAnsi"/>
          <w:sz w:val="28"/>
          <w:szCs w:val="28"/>
        </w:rPr>
        <w:t xml:space="preserve">delivered in English and are </w:t>
      </w:r>
      <w:r w:rsidR="00850454" w:rsidRPr="00E41C69">
        <w:rPr>
          <w:rFonts w:cstheme="minorHAnsi"/>
          <w:sz w:val="28"/>
          <w:szCs w:val="28"/>
        </w:rPr>
        <w:t xml:space="preserve">internationally recognised </w:t>
      </w:r>
      <w:r w:rsidR="0061208D" w:rsidRPr="00E41C69">
        <w:rPr>
          <w:rFonts w:cstheme="minorHAnsi"/>
          <w:sz w:val="28"/>
          <w:szCs w:val="28"/>
        </w:rPr>
        <w:t xml:space="preserve">which can significantly </w:t>
      </w:r>
      <w:r w:rsidR="00850454" w:rsidRPr="00E41C69">
        <w:rPr>
          <w:rFonts w:cstheme="minorHAnsi"/>
          <w:sz w:val="28"/>
          <w:szCs w:val="28"/>
        </w:rPr>
        <w:t xml:space="preserve">improve the marketability of graduates, not just locally but also overseas. </w:t>
      </w:r>
      <w:r w:rsidR="0026435A" w:rsidRPr="00E41C69">
        <w:rPr>
          <w:rFonts w:cstheme="minorHAnsi"/>
          <w:sz w:val="28"/>
          <w:szCs w:val="28"/>
        </w:rPr>
        <w:t>By partnering with private commercial organisations, UK universities avoid getting involved in the political and bureaucratic challenges of working with public</w:t>
      </w:r>
      <w:r w:rsidR="0061208D" w:rsidRPr="00E41C69">
        <w:rPr>
          <w:rFonts w:cstheme="minorHAnsi"/>
          <w:sz w:val="28"/>
          <w:szCs w:val="28"/>
        </w:rPr>
        <w:t xml:space="preserve"> universities</w:t>
      </w:r>
      <w:r w:rsidR="00E25C17">
        <w:rPr>
          <w:rFonts w:cstheme="minorHAnsi"/>
          <w:sz w:val="28"/>
          <w:szCs w:val="28"/>
        </w:rPr>
        <w:t xml:space="preserve"> in many countries</w:t>
      </w:r>
      <w:r w:rsidR="0061208D" w:rsidRPr="00E41C69">
        <w:rPr>
          <w:rFonts w:cstheme="minorHAnsi"/>
          <w:sz w:val="28"/>
          <w:szCs w:val="28"/>
        </w:rPr>
        <w:t xml:space="preserve">. </w:t>
      </w:r>
      <w:r w:rsidR="004A5C56" w:rsidRPr="00E41C69">
        <w:rPr>
          <w:rFonts w:cstheme="minorHAnsi"/>
          <w:sz w:val="28"/>
          <w:szCs w:val="28"/>
        </w:rPr>
        <w:t>By contrast, m</w:t>
      </w:r>
      <w:r w:rsidR="0061208D" w:rsidRPr="00E41C69">
        <w:rPr>
          <w:rFonts w:cstheme="minorHAnsi"/>
          <w:sz w:val="28"/>
          <w:szCs w:val="28"/>
        </w:rPr>
        <w:t xml:space="preserve">ost public universities enjoy high status and usually have assured intakes of the best performing school leavers. They are </w:t>
      </w:r>
      <w:r w:rsidR="007E546A" w:rsidRPr="00E41C69">
        <w:rPr>
          <w:rFonts w:cstheme="minorHAnsi"/>
          <w:sz w:val="28"/>
          <w:szCs w:val="28"/>
        </w:rPr>
        <w:t xml:space="preserve">generally very </w:t>
      </w:r>
      <w:r w:rsidR="0061208D" w:rsidRPr="00E41C69">
        <w:rPr>
          <w:rFonts w:cstheme="minorHAnsi"/>
          <w:sz w:val="28"/>
          <w:szCs w:val="28"/>
        </w:rPr>
        <w:t xml:space="preserve">protective of their own nationally accredited qualifications which they rate highly against foreign qualifications especially with respect to local language delivery and curriculum relevance. </w:t>
      </w:r>
      <w:r w:rsidR="004A5C56" w:rsidRPr="00E41C69">
        <w:rPr>
          <w:rFonts w:cstheme="minorHAnsi"/>
          <w:sz w:val="28"/>
          <w:szCs w:val="28"/>
        </w:rPr>
        <w:t xml:space="preserve">Public university education is </w:t>
      </w:r>
      <w:r w:rsidR="00036FBF" w:rsidRPr="00E41C69">
        <w:rPr>
          <w:rFonts w:cstheme="minorHAnsi"/>
          <w:sz w:val="28"/>
          <w:szCs w:val="28"/>
        </w:rPr>
        <w:t xml:space="preserve">also </w:t>
      </w:r>
      <w:r w:rsidR="004A5C56" w:rsidRPr="00E41C69">
        <w:rPr>
          <w:rFonts w:cstheme="minorHAnsi"/>
          <w:sz w:val="28"/>
          <w:szCs w:val="28"/>
        </w:rPr>
        <w:t xml:space="preserve">heavily subsidised so universities have little incentive to get involved in institutional-level income generation activities. </w:t>
      </w:r>
      <w:r w:rsidR="00036FBF" w:rsidRPr="00E41C69">
        <w:rPr>
          <w:rFonts w:cstheme="minorHAnsi"/>
          <w:sz w:val="28"/>
          <w:szCs w:val="28"/>
        </w:rPr>
        <w:t>And, in many</w:t>
      </w:r>
      <w:r w:rsidR="0061208D" w:rsidRPr="00E41C69">
        <w:rPr>
          <w:rFonts w:cstheme="minorHAnsi"/>
          <w:sz w:val="28"/>
          <w:szCs w:val="28"/>
        </w:rPr>
        <w:t xml:space="preserve"> countries, public universities are forbidden from entering into commercial partnerships with third parties.</w:t>
      </w:r>
      <w:r w:rsidR="00036FBF" w:rsidRPr="00E41C69">
        <w:rPr>
          <w:rFonts w:cstheme="minorHAnsi"/>
          <w:sz w:val="28"/>
          <w:szCs w:val="28"/>
        </w:rPr>
        <w:t xml:space="preserve"> </w:t>
      </w:r>
      <w:r w:rsidR="004A5C56" w:rsidRPr="00E41C69">
        <w:rPr>
          <w:rFonts w:cstheme="minorHAnsi"/>
          <w:sz w:val="28"/>
          <w:szCs w:val="28"/>
        </w:rPr>
        <w:t xml:space="preserve">The major exception is in China where the government has embarked on an ambitious strategy to develop 50 </w:t>
      </w:r>
      <w:r w:rsidR="0005319B">
        <w:rPr>
          <w:rFonts w:cstheme="minorHAnsi"/>
          <w:sz w:val="28"/>
          <w:szCs w:val="28"/>
        </w:rPr>
        <w:t>‘</w:t>
      </w:r>
      <w:r w:rsidR="004A5C56" w:rsidRPr="00E41C69">
        <w:rPr>
          <w:rFonts w:cstheme="minorHAnsi"/>
          <w:sz w:val="28"/>
          <w:szCs w:val="28"/>
        </w:rPr>
        <w:t>world class</w:t>
      </w:r>
      <w:r w:rsidR="0005319B">
        <w:rPr>
          <w:rFonts w:cstheme="minorHAnsi"/>
          <w:sz w:val="28"/>
          <w:szCs w:val="28"/>
        </w:rPr>
        <w:t>’</w:t>
      </w:r>
      <w:r w:rsidR="004A5C56" w:rsidRPr="00E41C69">
        <w:rPr>
          <w:rFonts w:cstheme="minorHAnsi"/>
          <w:sz w:val="28"/>
          <w:szCs w:val="28"/>
        </w:rPr>
        <w:t xml:space="preserve"> </w:t>
      </w:r>
      <w:r w:rsidR="007D6DF8" w:rsidRPr="00E41C69">
        <w:rPr>
          <w:rFonts w:cstheme="minorHAnsi"/>
          <w:sz w:val="28"/>
          <w:szCs w:val="28"/>
        </w:rPr>
        <w:t xml:space="preserve">public </w:t>
      </w:r>
      <w:r w:rsidR="004A5C56" w:rsidRPr="00E41C69">
        <w:rPr>
          <w:rFonts w:cstheme="minorHAnsi"/>
          <w:sz w:val="28"/>
          <w:szCs w:val="28"/>
        </w:rPr>
        <w:t xml:space="preserve">universities by entering to joint venture partnerships with </w:t>
      </w:r>
      <w:r w:rsidR="0005319B">
        <w:rPr>
          <w:rFonts w:cstheme="minorHAnsi"/>
          <w:sz w:val="28"/>
          <w:szCs w:val="28"/>
        </w:rPr>
        <w:t>high status</w:t>
      </w:r>
      <w:r w:rsidR="004A5C56" w:rsidRPr="00E41C69">
        <w:rPr>
          <w:rFonts w:cstheme="minorHAnsi"/>
          <w:sz w:val="28"/>
          <w:szCs w:val="28"/>
        </w:rPr>
        <w:t xml:space="preserve"> foreign universities. </w:t>
      </w:r>
    </w:p>
    <w:p w14:paraId="5C22AFD1" w14:textId="77777777" w:rsidR="00D27CE6" w:rsidRPr="00E41C69" w:rsidRDefault="00D27CE6" w:rsidP="00D27CE6">
      <w:pPr>
        <w:jc w:val="both"/>
        <w:rPr>
          <w:rFonts w:cstheme="minorHAnsi"/>
          <w:sz w:val="28"/>
          <w:szCs w:val="28"/>
        </w:rPr>
      </w:pPr>
      <w:r w:rsidRPr="00E41C69">
        <w:rPr>
          <w:rFonts w:cstheme="minorHAnsi"/>
          <w:sz w:val="28"/>
          <w:szCs w:val="28"/>
        </w:rPr>
        <w:t xml:space="preserve">As private sector institutions, profit-maximisation is the primary objective </w:t>
      </w:r>
      <w:r w:rsidR="00036FBF" w:rsidRPr="00E41C69">
        <w:rPr>
          <w:rFonts w:cstheme="minorHAnsi"/>
          <w:sz w:val="28"/>
          <w:szCs w:val="28"/>
        </w:rPr>
        <w:t xml:space="preserve">of overseas offshore partners </w:t>
      </w:r>
      <w:r w:rsidRPr="00E41C69">
        <w:rPr>
          <w:rFonts w:cstheme="minorHAnsi"/>
          <w:sz w:val="28"/>
          <w:szCs w:val="28"/>
        </w:rPr>
        <w:t>which is in marked contrast to most of their UK university partners who tend to be primarily motivated by maximising student enrolments and thus partnership revenue (see section</w:t>
      </w:r>
      <w:r w:rsidR="00036FBF" w:rsidRPr="00E41C69">
        <w:rPr>
          <w:rFonts w:cstheme="minorHAnsi"/>
          <w:sz w:val="28"/>
          <w:szCs w:val="28"/>
        </w:rPr>
        <w:t xml:space="preserve"> 7</w:t>
      </w:r>
      <w:r w:rsidRPr="00E41C69">
        <w:rPr>
          <w:rFonts w:cstheme="minorHAnsi"/>
          <w:sz w:val="28"/>
          <w:szCs w:val="28"/>
        </w:rPr>
        <w:t>). Moreover, most have little or no interest and capacity to undertake high-quality academic research. Consequently, for most of the h</w:t>
      </w:r>
      <w:r w:rsidR="00A52EB0" w:rsidRPr="00E41C69">
        <w:rPr>
          <w:rFonts w:cstheme="minorHAnsi"/>
          <w:sz w:val="28"/>
          <w:szCs w:val="28"/>
        </w:rPr>
        <w:t>igher status, strongly research-</w:t>
      </w:r>
      <w:r w:rsidRPr="00E41C69">
        <w:rPr>
          <w:rFonts w:cstheme="minorHAnsi"/>
          <w:sz w:val="28"/>
          <w:szCs w:val="28"/>
        </w:rPr>
        <w:t>oriented UK universities, there is little incentive to partner with these type</w:t>
      </w:r>
      <w:r w:rsidR="00036FBF" w:rsidRPr="00E41C69">
        <w:rPr>
          <w:rFonts w:cstheme="minorHAnsi"/>
          <w:sz w:val="28"/>
          <w:szCs w:val="28"/>
        </w:rPr>
        <w:t>s</w:t>
      </w:r>
      <w:r w:rsidRPr="00E41C69">
        <w:rPr>
          <w:rFonts w:cstheme="minorHAnsi"/>
          <w:sz w:val="28"/>
          <w:szCs w:val="28"/>
        </w:rPr>
        <w:t xml:space="preserve"> of organisations. </w:t>
      </w:r>
    </w:p>
    <w:p w14:paraId="6377EF47" w14:textId="77777777" w:rsidR="001F62C5" w:rsidRDefault="001F62C5">
      <w:pPr>
        <w:rPr>
          <w:rFonts w:cstheme="minorHAnsi"/>
          <w:b/>
          <w:sz w:val="28"/>
          <w:szCs w:val="28"/>
        </w:rPr>
      </w:pPr>
      <w:r>
        <w:rPr>
          <w:rFonts w:cstheme="minorHAnsi"/>
          <w:b/>
          <w:sz w:val="28"/>
          <w:szCs w:val="28"/>
        </w:rPr>
        <w:br w:type="page"/>
      </w:r>
    </w:p>
    <w:p w14:paraId="707DCD4D" w14:textId="3CAA11C1" w:rsidR="001F62C5" w:rsidRDefault="001F62C5" w:rsidP="00E114E2">
      <w:pPr>
        <w:jc w:val="both"/>
        <w:rPr>
          <w:rFonts w:cstheme="minorHAnsi"/>
          <w:sz w:val="28"/>
          <w:szCs w:val="28"/>
        </w:rPr>
      </w:pPr>
      <w:r>
        <w:rPr>
          <w:rFonts w:cstheme="minorHAnsi"/>
          <w:b/>
          <w:sz w:val="28"/>
          <w:szCs w:val="28"/>
        </w:rPr>
        <w:lastRenderedPageBreak/>
        <w:t xml:space="preserve">4.3.2 </w:t>
      </w:r>
      <w:r w:rsidR="007D6DF8" w:rsidRPr="00E41C69">
        <w:rPr>
          <w:rFonts w:cstheme="minorHAnsi"/>
          <w:b/>
          <w:sz w:val="28"/>
          <w:szCs w:val="28"/>
        </w:rPr>
        <w:t>Number of partners</w:t>
      </w:r>
    </w:p>
    <w:p w14:paraId="39BFDCF6" w14:textId="2539FCF5" w:rsidR="00850454" w:rsidRDefault="007D6DF8" w:rsidP="00E114E2">
      <w:pPr>
        <w:jc w:val="both"/>
        <w:rPr>
          <w:rFonts w:cstheme="minorHAnsi"/>
          <w:sz w:val="28"/>
          <w:szCs w:val="28"/>
        </w:rPr>
      </w:pPr>
      <w:r w:rsidRPr="00E41C69">
        <w:rPr>
          <w:rFonts w:cstheme="minorHAnsi"/>
          <w:sz w:val="28"/>
          <w:szCs w:val="28"/>
        </w:rPr>
        <w:t>Th</w:t>
      </w:r>
      <w:r w:rsidR="00036FBF" w:rsidRPr="00E41C69">
        <w:rPr>
          <w:rFonts w:cstheme="minorHAnsi"/>
          <w:sz w:val="28"/>
          <w:szCs w:val="28"/>
        </w:rPr>
        <w:t>e</w:t>
      </w:r>
      <w:r w:rsidR="00233130" w:rsidRPr="00E41C69">
        <w:rPr>
          <w:rFonts w:cstheme="minorHAnsi"/>
          <w:sz w:val="28"/>
          <w:szCs w:val="28"/>
        </w:rPr>
        <w:t xml:space="preserve"> m</w:t>
      </w:r>
      <w:r w:rsidRPr="00E41C69">
        <w:rPr>
          <w:rFonts w:cstheme="minorHAnsi"/>
          <w:sz w:val="28"/>
          <w:szCs w:val="28"/>
        </w:rPr>
        <w:t xml:space="preserve">ain source of </w:t>
      </w:r>
      <w:r w:rsidR="00036FBF" w:rsidRPr="00E41C69">
        <w:rPr>
          <w:rFonts w:cstheme="minorHAnsi"/>
          <w:sz w:val="28"/>
          <w:szCs w:val="28"/>
        </w:rPr>
        <w:t xml:space="preserve">secondary </w:t>
      </w:r>
      <w:r w:rsidRPr="00E41C69">
        <w:rPr>
          <w:rFonts w:cstheme="minorHAnsi"/>
          <w:sz w:val="28"/>
          <w:szCs w:val="28"/>
        </w:rPr>
        <w:t>information on university overseas partners is the Collaborative Partnership Register which all universities are obliged (by the Q</w:t>
      </w:r>
      <w:r w:rsidR="00036FBF" w:rsidRPr="00E41C69">
        <w:rPr>
          <w:rFonts w:cstheme="minorHAnsi"/>
          <w:sz w:val="28"/>
          <w:szCs w:val="28"/>
        </w:rPr>
        <w:t xml:space="preserve">uality </w:t>
      </w:r>
      <w:r w:rsidRPr="00E41C69">
        <w:rPr>
          <w:rFonts w:cstheme="minorHAnsi"/>
          <w:sz w:val="28"/>
          <w:szCs w:val="28"/>
        </w:rPr>
        <w:t>A</w:t>
      </w:r>
      <w:r w:rsidR="00036FBF" w:rsidRPr="00E41C69">
        <w:rPr>
          <w:rFonts w:cstheme="minorHAnsi"/>
          <w:sz w:val="28"/>
          <w:szCs w:val="28"/>
        </w:rPr>
        <w:t xml:space="preserve">ssurance </w:t>
      </w:r>
      <w:r w:rsidRPr="00E41C69">
        <w:rPr>
          <w:rFonts w:cstheme="minorHAnsi"/>
          <w:sz w:val="28"/>
          <w:szCs w:val="28"/>
        </w:rPr>
        <w:t>A</w:t>
      </w:r>
      <w:r w:rsidR="00036FBF" w:rsidRPr="00E41C69">
        <w:rPr>
          <w:rFonts w:cstheme="minorHAnsi"/>
          <w:sz w:val="28"/>
          <w:szCs w:val="28"/>
        </w:rPr>
        <w:t>gency</w:t>
      </w:r>
      <w:r w:rsidRPr="00E41C69">
        <w:rPr>
          <w:rFonts w:cstheme="minorHAnsi"/>
          <w:sz w:val="28"/>
          <w:szCs w:val="28"/>
        </w:rPr>
        <w:t xml:space="preserve">) to keep.  A total of 100 Registers could be scrutinised. 55% universities with 10 or less partners accounted for just 17% of the 1,395 listed partnerships while the 12 universities with more than 30 overseas partnerships </w:t>
      </w:r>
      <w:r w:rsidR="005B07AD" w:rsidRPr="00E41C69">
        <w:rPr>
          <w:rFonts w:cstheme="minorHAnsi"/>
          <w:sz w:val="28"/>
          <w:szCs w:val="28"/>
        </w:rPr>
        <w:t xml:space="preserve">had 612 listed partnerships, 44% of the total (see table </w:t>
      </w:r>
      <w:r w:rsidR="00E9016A">
        <w:rPr>
          <w:rFonts w:cstheme="minorHAnsi"/>
          <w:sz w:val="28"/>
          <w:szCs w:val="28"/>
        </w:rPr>
        <w:t>8</w:t>
      </w:r>
      <w:r w:rsidR="005B07AD" w:rsidRPr="00E41C69">
        <w:rPr>
          <w:rFonts w:cstheme="minorHAnsi"/>
          <w:sz w:val="28"/>
          <w:szCs w:val="28"/>
        </w:rPr>
        <w:t xml:space="preserve">). </w:t>
      </w:r>
    </w:p>
    <w:tbl>
      <w:tblPr>
        <w:tblW w:w="8975" w:type="dxa"/>
        <w:tblLook w:val="04A0" w:firstRow="1" w:lastRow="0" w:firstColumn="1" w:lastColumn="0" w:noHBand="0" w:noVBand="1"/>
      </w:tblPr>
      <w:tblGrid>
        <w:gridCol w:w="1525"/>
        <w:gridCol w:w="2051"/>
        <w:gridCol w:w="1525"/>
        <w:gridCol w:w="2051"/>
        <w:gridCol w:w="1525"/>
        <w:gridCol w:w="298"/>
      </w:tblGrid>
      <w:tr w:rsidR="00E45F6E" w:rsidRPr="00E45F6E" w14:paraId="7E4CBAB3" w14:textId="77777777" w:rsidTr="00E25B46">
        <w:trPr>
          <w:trHeight w:val="307"/>
        </w:trPr>
        <w:tc>
          <w:tcPr>
            <w:tcW w:w="8974" w:type="dxa"/>
            <w:gridSpan w:val="6"/>
            <w:tcBorders>
              <w:top w:val="nil"/>
              <w:left w:val="nil"/>
              <w:bottom w:val="nil"/>
              <w:right w:val="nil"/>
            </w:tcBorders>
            <w:shd w:val="clear" w:color="auto" w:fill="auto"/>
            <w:noWrap/>
            <w:vAlign w:val="bottom"/>
            <w:hideMark/>
          </w:tcPr>
          <w:p w14:paraId="108CA2C3" w14:textId="11F85BD2" w:rsidR="00E45F6E" w:rsidRPr="00E45F6E" w:rsidRDefault="00E9016A" w:rsidP="00E45F6E">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8</w:t>
            </w:r>
            <w:r w:rsidR="00E45F6E" w:rsidRPr="00E45F6E">
              <w:rPr>
                <w:rFonts w:ascii="Calibri" w:eastAsia="Times New Roman" w:hAnsi="Calibri" w:cs="Calibri"/>
                <w:b/>
                <w:bCs/>
                <w:color w:val="5F735C"/>
                <w:lang w:eastAsia="en-GB"/>
              </w:rPr>
              <w:t>: Overseas partners listed in university Overseas Collaborative</w:t>
            </w:r>
          </w:p>
        </w:tc>
      </w:tr>
      <w:tr w:rsidR="00E45F6E" w:rsidRPr="00E45F6E" w14:paraId="1650D1AD" w14:textId="77777777" w:rsidTr="00E25B46">
        <w:trPr>
          <w:trHeight w:val="307"/>
        </w:trPr>
        <w:tc>
          <w:tcPr>
            <w:tcW w:w="7152" w:type="dxa"/>
            <w:gridSpan w:val="4"/>
            <w:tcBorders>
              <w:top w:val="nil"/>
              <w:left w:val="nil"/>
              <w:bottom w:val="nil"/>
              <w:right w:val="nil"/>
            </w:tcBorders>
            <w:shd w:val="clear" w:color="auto" w:fill="auto"/>
            <w:noWrap/>
            <w:vAlign w:val="bottom"/>
            <w:hideMark/>
          </w:tcPr>
          <w:p w14:paraId="60A35724" w14:textId="77777777" w:rsidR="00E45F6E" w:rsidRPr="00E45F6E" w:rsidRDefault="00E45F6E" w:rsidP="00E45F6E">
            <w:pPr>
              <w:spacing w:after="0" w:line="240" w:lineRule="auto"/>
              <w:rPr>
                <w:rFonts w:ascii="Calibri" w:eastAsia="Times New Roman" w:hAnsi="Calibri" w:cs="Calibri"/>
                <w:b/>
                <w:bCs/>
                <w:color w:val="5F735C"/>
                <w:lang w:eastAsia="en-GB"/>
              </w:rPr>
            </w:pPr>
            <w:r w:rsidRPr="00E45F6E">
              <w:rPr>
                <w:rFonts w:ascii="Calibri" w:eastAsia="Times New Roman" w:hAnsi="Calibri" w:cs="Calibri"/>
                <w:b/>
                <w:bCs/>
                <w:color w:val="5F735C"/>
                <w:lang w:eastAsia="en-GB"/>
              </w:rPr>
              <w:t>Partnership Registers, 2018 (rounded %)</w:t>
            </w:r>
          </w:p>
        </w:tc>
        <w:tc>
          <w:tcPr>
            <w:tcW w:w="1525" w:type="dxa"/>
            <w:tcBorders>
              <w:top w:val="nil"/>
              <w:left w:val="nil"/>
              <w:bottom w:val="nil"/>
              <w:right w:val="nil"/>
            </w:tcBorders>
            <w:shd w:val="clear" w:color="auto" w:fill="auto"/>
            <w:noWrap/>
            <w:vAlign w:val="bottom"/>
            <w:hideMark/>
          </w:tcPr>
          <w:p w14:paraId="7552F27E" w14:textId="77777777" w:rsidR="00E45F6E" w:rsidRPr="00E45F6E" w:rsidRDefault="00E45F6E" w:rsidP="00E45F6E">
            <w:pPr>
              <w:spacing w:after="0" w:line="240" w:lineRule="auto"/>
              <w:rPr>
                <w:rFonts w:ascii="Calibri" w:eastAsia="Times New Roman" w:hAnsi="Calibri" w:cs="Calibri"/>
                <w:b/>
                <w:bCs/>
                <w:color w:val="5F735C"/>
                <w:lang w:eastAsia="en-GB"/>
              </w:rPr>
            </w:pPr>
          </w:p>
        </w:tc>
        <w:tc>
          <w:tcPr>
            <w:tcW w:w="298" w:type="dxa"/>
            <w:tcBorders>
              <w:top w:val="nil"/>
              <w:left w:val="nil"/>
              <w:bottom w:val="nil"/>
              <w:right w:val="nil"/>
            </w:tcBorders>
            <w:shd w:val="clear" w:color="auto" w:fill="auto"/>
            <w:noWrap/>
            <w:vAlign w:val="bottom"/>
            <w:hideMark/>
          </w:tcPr>
          <w:p w14:paraId="0A2DB3A1" w14:textId="77777777" w:rsidR="00E45F6E" w:rsidRPr="00E45F6E" w:rsidRDefault="00E45F6E" w:rsidP="00E45F6E">
            <w:pPr>
              <w:spacing w:after="0" w:line="240" w:lineRule="auto"/>
              <w:rPr>
                <w:rFonts w:ascii="Times New Roman" w:eastAsia="Times New Roman" w:hAnsi="Times New Roman" w:cs="Times New Roman"/>
                <w:sz w:val="20"/>
                <w:szCs w:val="20"/>
                <w:lang w:eastAsia="en-GB"/>
              </w:rPr>
            </w:pPr>
          </w:p>
        </w:tc>
      </w:tr>
      <w:tr w:rsidR="00E45F6E" w:rsidRPr="00E45F6E" w14:paraId="510C9A34" w14:textId="77777777" w:rsidTr="00E25B46">
        <w:trPr>
          <w:trHeight w:val="307"/>
        </w:trPr>
        <w:tc>
          <w:tcPr>
            <w:tcW w:w="1525"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35889771"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Number</w:t>
            </w:r>
          </w:p>
        </w:tc>
        <w:tc>
          <w:tcPr>
            <w:tcW w:w="2051" w:type="dxa"/>
            <w:tcBorders>
              <w:top w:val="single" w:sz="4" w:space="0" w:color="FFFFFF"/>
              <w:left w:val="nil"/>
              <w:bottom w:val="single" w:sz="4" w:space="0" w:color="FFFFFF"/>
              <w:right w:val="single" w:sz="4" w:space="0" w:color="FFFFFF"/>
            </w:tcBorders>
            <w:shd w:val="clear" w:color="000000" w:fill="49723B"/>
            <w:noWrap/>
            <w:vAlign w:val="bottom"/>
            <w:hideMark/>
          </w:tcPr>
          <w:p w14:paraId="5426895D"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Number</w:t>
            </w:r>
          </w:p>
        </w:tc>
        <w:tc>
          <w:tcPr>
            <w:tcW w:w="1525" w:type="dxa"/>
            <w:tcBorders>
              <w:top w:val="single" w:sz="4" w:space="0" w:color="FFFFFF"/>
              <w:left w:val="nil"/>
              <w:bottom w:val="single" w:sz="4" w:space="0" w:color="FFFFFF"/>
              <w:right w:val="single" w:sz="4" w:space="0" w:color="FFFFFF"/>
            </w:tcBorders>
            <w:shd w:val="clear" w:color="000000" w:fill="49723B"/>
            <w:noWrap/>
            <w:vAlign w:val="bottom"/>
            <w:hideMark/>
          </w:tcPr>
          <w:p w14:paraId="6570A148"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Total</w:t>
            </w:r>
          </w:p>
        </w:tc>
        <w:tc>
          <w:tcPr>
            <w:tcW w:w="2051" w:type="dxa"/>
            <w:tcBorders>
              <w:top w:val="single" w:sz="4" w:space="0" w:color="FFFFFF"/>
              <w:left w:val="nil"/>
              <w:bottom w:val="single" w:sz="4" w:space="0" w:color="FFFFFF"/>
              <w:right w:val="single" w:sz="4" w:space="0" w:color="FFFFFF"/>
            </w:tcBorders>
            <w:shd w:val="clear" w:color="000000" w:fill="49723B"/>
            <w:noWrap/>
            <w:vAlign w:val="bottom"/>
            <w:hideMark/>
          </w:tcPr>
          <w:p w14:paraId="2CE82199"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w:t>
            </w:r>
          </w:p>
        </w:tc>
        <w:tc>
          <w:tcPr>
            <w:tcW w:w="1525" w:type="dxa"/>
            <w:tcBorders>
              <w:top w:val="single" w:sz="4" w:space="0" w:color="FFFFFF"/>
              <w:left w:val="nil"/>
              <w:bottom w:val="single" w:sz="4" w:space="0" w:color="FFFFFF"/>
              <w:right w:val="single" w:sz="4" w:space="0" w:color="FFFFFF"/>
            </w:tcBorders>
            <w:shd w:val="clear" w:color="000000" w:fill="49723B"/>
            <w:noWrap/>
            <w:vAlign w:val="bottom"/>
            <w:hideMark/>
          </w:tcPr>
          <w:p w14:paraId="605DA746"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w:t>
            </w:r>
          </w:p>
        </w:tc>
        <w:tc>
          <w:tcPr>
            <w:tcW w:w="298" w:type="dxa"/>
            <w:tcBorders>
              <w:top w:val="nil"/>
              <w:left w:val="nil"/>
              <w:bottom w:val="nil"/>
              <w:right w:val="nil"/>
            </w:tcBorders>
            <w:shd w:val="clear" w:color="auto" w:fill="auto"/>
            <w:noWrap/>
            <w:vAlign w:val="bottom"/>
            <w:hideMark/>
          </w:tcPr>
          <w:p w14:paraId="03E70738"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p>
        </w:tc>
      </w:tr>
      <w:tr w:rsidR="00E45F6E" w:rsidRPr="00E45F6E" w14:paraId="466F5737" w14:textId="77777777" w:rsidTr="00E25B46">
        <w:trPr>
          <w:trHeight w:val="307"/>
        </w:trPr>
        <w:tc>
          <w:tcPr>
            <w:tcW w:w="1525" w:type="dxa"/>
            <w:tcBorders>
              <w:top w:val="nil"/>
              <w:left w:val="single" w:sz="4" w:space="0" w:color="FFFFFF"/>
              <w:bottom w:val="single" w:sz="4" w:space="0" w:color="FFFFFF"/>
              <w:right w:val="single" w:sz="4" w:space="0" w:color="FFFFFF"/>
            </w:tcBorders>
            <w:shd w:val="clear" w:color="000000" w:fill="49723B"/>
            <w:noWrap/>
            <w:vAlign w:val="bottom"/>
            <w:hideMark/>
          </w:tcPr>
          <w:p w14:paraId="6B8492D5"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 xml:space="preserve">partners </w:t>
            </w:r>
          </w:p>
        </w:tc>
        <w:tc>
          <w:tcPr>
            <w:tcW w:w="2051" w:type="dxa"/>
            <w:tcBorders>
              <w:top w:val="nil"/>
              <w:left w:val="nil"/>
              <w:bottom w:val="single" w:sz="4" w:space="0" w:color="FFFFFF"/>
              <w:right w:val="single" w:sz="4" w:space="0" w:color="FFFFFF"/>
            </w:tcBorders>
            <w:shd w:val="clear" w:color="000000" w:fill="49723B"/>
            <w:noWrap/>
            <w:vAlign w:val="bottom"/>
            <w:hideMark/>
          </w:tcPr>
          <w:p w14:paraId="5801DC54"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Universities</w:t>
            </w:r>
          </w:p>
        </w:tc>
        <w:tc>
          <w:tcPr>
            <w:tcW w:w="1525" w:type="dxa"/>
            <w:tcBorders>
              <w:top w:val="nil"/>
              <w:left w:val="nil"/>
              <w:bottom w:val="single" w:sz="4" w:space="0" w:color="FFFFFF"/>
              <w:right w:val="single" w:sz="4" w:space="0" w:color="FFFFFF"/>
            </w:tcBorders>
            <w:shd w:val="clear" w:color="000000" w:fill="49723B"/>
            <w:noWrap/>
            <w:vAlign w:val="bottom"/>
            <w:hideMark/>
          </w:tcPr>
          <w:p w14:paraId="5A6E7288"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partners</w:t>
            </w:r>
          </w:p>
        </w:tc>
        <w:tc>
          <w:tcPr>
            <w:tcW w:w="2051" w:type="dxa"/>
            <w:tcBorders>
              <w:top w:val="nil"/>
              <w:left w:val="nil"/>
              <w:bottom w:val="single" w:sz="4" w:space="0" w:color="FFFFFF"/>
              <w:right w:val="single" w:sz="4" w:space="0" w:color="FFFFFF"/>
            </w:tcBorders>
            <w:shd w:val="clear" w:color="000000" w:fill="49723B"/>
            <w:noWrap/>
            <w:vAlign w:val="bottom"/>
            <w:hideMark/>
          </w:tcPr>
          <w:p w14:paraId="5A2CBA73"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universities</w:t>
            </w:r>
          </w:p>
        </w:tc>
        <w:tc>
          <w:tcPr>
            <w:tcW w:w="1525" w:type="dxa"/>
            <w:tcBorders>
              <w:top w:val="nil"/>
              <w:left w:val="nil"/>
              <w:bottom w:val="single" w:sz="4" w:space="0" w:color="FFFFFF"/>
              <w:right w:val="single" w:sz="4" w:space="0" w:color="FFFFFF"/>
            </w:tcBorders>
            <w:shd w:val="clear" w:color="000000" w:fill="49723B"/>
            <w:noWrap/>
            <w:vAlign w:val="bottom"/>
            <w:hideMark/>
          </w:tcPr>
          <w:p w14:paraId="00F9AEF7" w14:textId="77777777" w:rsidR="00E45F6E" w:rsidRPr="00E45F6E" w:rsidRDefault="00C9293A"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P</w:t>
            </w:r>
            <w:r w:rsidR="00E45F6E" w:rsidRPr="00E45F6E">
              <w:rPr>
                <w:rFonts w:ascii="Calibri" w:eastAsia="Times New Roman" w:hAnsi="Calibri" w:cs="Calibri"/>
                <w:b/>
                <w:bCs/>
                <w:color w:val="FFFFFF"/>
                <w:lang w:eastAsia="en-GB"/>
              </w:rPr>
              <w:t>artners</w:t>
            </w:r>
          </w:p>
        </w:tc>
        <w:tc>
          <w:tcPr>
            <w:tcW w:w="298" w:type="dxa"/>
            <w:tcBorders>
              <w:top w:val="nil"/>
              <w:left w:val="nil"/>
              <w:bottom w:val="nil"/>
              <w:right w:val="nil"/>
            </w:tcBorders>
            <w:shd w:val="clear" w:color="auto" w:fill="auto"/>
            <w:noWrap/>
            <w:vAlign w:val="bottom"/>
            <w:hideMark/>
          </w:tcPr>
          <w:p w14:paraId="05B9DD66"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p>
        </w:tc>
      </w:tr>
      <w:tr w:rsidR="00E45F6E" w:rsidRPr="00E45F6E" w14:paraId="76B82E51" w14:textId="77777777" w:rsidTr="00E25B46">
        <w:trPr>
          <w:trHeight w:val="307"/>
        </w:trPr>
        <w:tc>
          <w:tcPr>
            <w:tcW w:w="1525" w:type="dxa"/>
            <w:tcBorders>
              <w:top w:val="nil"/>
              <w:left w:val="single" w:sz="4" w:space="0" w:color="FFFFFF"/>
              <w:bottom w:val="single" w:sz="4" w:space="0" w:color="FFFFFF"/>
              <w:right w:val="single" w:sz="4" w:space="0" w:color="FFFFFF"/>
            </w:tcBorders>
            <w:shd w:val="clear" w:color="000000" w:fill="49723B"/>
            <w:noWrap/>
            <w:vAlign w:val="bottom"/>
            <w:hideMark/>
          </w:tcPr>
          <w:p w14:paraId="3871B10E"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1 to 5</w:t>
            </w:r>
          </w:p>
        </w:tc>
        <w:tc>
          <w:tcPr>
            <w:tcW w:w="2051" w:type="dxa"/>
            <w:tcBorders>
              <w:top w:val="nil"/>
              <w:left w:val="nil"/>
              <w:bottom w:val="single" w:sz="4" w:space="0" w:color="FFFFFF"/>
              <w:right w:val="single" w:sz="4" w:space="0" w:color="FFFFFF"/>
            </w:tcBorders>
            <w:shd w:val="clear" w:color="000000" w:fill="EFEAE6"/>
            <w:noWrap/>
            <w:vAlign w:val="bottom"/>
            <w:hideMark/>
          </w:tcPr>
          <w:p w14:paraId="7CA23907"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38</w:t>
            </w:r>
          </w:p>
        </w:tc>
        <w:tc>
          <w:tcPr>
            <w:tcW w:w="1525" w:type="dxa"/>
            <w:tcBorders>
              <w:top w:val="nil"/>
              <w:left w:val="nil"/>
              <w:bottom w:val="single" w:sz="4" w:space="0" w:color="FFFFFF"/>
              <w:right w:val="single" w:sz="4" w:space="0" w:color="FFFFFF"/>
            </w:tcBorders>
            <w:shd w:val="clear" w:color="000000" w:fill="EFEAE6"/>
            <w:noWrap/>
            <w:vAlign w:val="bottom"/>
            <w:hideMark/>
          </w:tcPr>
          <w:p w14:paraId="7672C4AA"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108</w:t>
            </w:r>
          </w:p>
        </w:tc>
        <w:tc>
          <w:tcPr>
            <w:tcW w:w="2051" w:type="dxa"/>
            <w:tcBorders>
              <w:top w:val="nil"/>
              <w:left w:val="nil"/>
              <w:bottom w:val="single" w:sz="4" w:space="0" w:color="FFFFFF"/>
              <w:right w:val="single" w:sz="4" w:space="0" w:color="FFFFFF"/>
            </w:tcBorders>
            <w:shd w:val="clear" w:color="000000" w:fill="EFEAE6"/>
            <w:noWrap/>
            <w:vAlign w:val="bottom"/>
            <w:hideMark/>
          </w:tcPr>
          <w:p w14:paraId="2BEFA92B"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38</w:t>
            </w:r>
          </w:p>
        </w:tc>
        <w:tc>
          <w:tcPr>
            <w:tcW w:w="1525" w:type="dxa"/>
            <w:tcBorders>
              <w:top w:val="nil"/>
              <w:left w:val="nil"/>
              <w:bottom w:val="single" w:sz="4" w:space="0" w:color="FFFFFF"/>
              <w:right w:val="single" w:sz="4" w:space="0" w:color="FFFFFF"/>
            </w:tcBorders>
            <w:shd w:val="clear" w:color="000000" w:fill="EFEAE6"/>
            <w:noWrap/>
            <w:vAlign w:val="bottom"/>
            <w:hideMark/>
          </w:tcPr>
          <w:p w14:paraId="24399065"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8</w:t>
            </w:r>
          </w:p>
        </w:tc>
        <w:tc>
          <w:tcPr>
            <w:tcW w:w="298" w:type="dxa"/>
            <w:tcBorders>
              <w:top w:val="nil"/>
              <w:left w:val="nil"/>
              <w:bottom w:val="nil"/>
              <w:right w:val="nil"/>
            </w:tcBorders>
            <w:shd w:val="clear" w:color="auto" w:fill="auto"/>
            <w:noWrap/>
            <w:vAlign w:val="bottom"/>
            <w:hideMark/>
          </w:tcPr>
          <w:p w14:paraId="4F6527E4" w14:textId="77777777" w:rsidR="00E45F6E" w:rsidRPr="00E45F6E" w:rsidRDefault="00E45F6E" w:rsidP="00E45F6E">
            <w:pPr>
              <w:spacing w:after="0" w:line="240" w:lineRule="auto"/>
              <w:jc w:val="center"/>
              <w:rPr>
                <w:rFonts w:ascii="Calibri" w:eastAsia="Times New Roman" w:hAnsi="Calibri" w:cs="Calibri"/>
                <w:color w:val="000000"/>
                <w:lang w:eastAsia="en-GB"/>
              </w:rPr>
            </w:pPr>
          </w:p>
        </w:tc>
      </w:tr>
      <w:tr w:rsidR="00E45F6E" w:rsidRPr="00E45F6E" w14:paraId="5F27B2D1" w14:textId="77777777" w:rsidTr="00E25B46">
        <w:trPr>
          <w:trHeight w:val="307"/>
        </w:trPr>
        <w:tc>
          <w:tcPr>
            <w:tcW w:w="1525" w:type="dxa"/>
            <w:tcBorders>
              <w:top w:val="nil"/>
              <w:left w:val="single" w:sz="4" w:space="0" w:color="FFFFFF"/>
              <w:bottom w:val="single" w:sz="4" w:space="0" w:color="FFFFFF"/>
              <w:right w:val="single" w:sz="4" w:space="0" w:color="FFFFFF"/>
            </w:tcBorders>
            <w:shd w:val="clear" w:color="000000" w:fill="49723B"/>
            <w:noWrap/>
            <w:vAlign w:val="bottom"/>
            <w:hideMark/>
          </w:tcPr>
          <w:p w14:paraId="12D5C720"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6 to 10</w:t>
            </w:r>
          </w:p>
        </w:tc>
        <w:tc>
          <w:tcPr>
            <w:tcW w:w="2051" w:type="dxa"/>
            <w:tcBorders>
              <w:top w:val="nil"/>
              <w:left w:val="nil"/>
              <w:bottom w:val="single" w:sz="4" w:space="0" w:color="FFFFFF"/>
              <w:right w:val="single" w:sz="4" w:space="0" w:color="FFFFFF"/>
            </w:tcBorders>
            <w:shd w:val="clear" w:color="000000" w:fill="EFEAE6"/>
            <w:noWrap/>
            <w:vAlign w:val="bottom"/>
            <w:hideMark/>
          </w:tcPr>
          <w:p w14:paraId="2E44C71B"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17</w:t>
            </w:r>
          </w:p>
        </w:tc>
        <w:tc>
          <w:tcPr>
            <w:tcW w:w="1525" w:type="dxa"/>
            <w:tcBorders>
              <w:top w:val="nil"/>
              <w:left w:val="nil"/>
              <w:bottom w:val="single" w:sz="4" w:space="0" w:color="FFFFFF"/>
              <w:right w:val="single" w:sz="4" w:space="0" w:color="FFFFFF"/>
            </w:tcBorders>
            <w:shd w:val="clear" w:color="000000" w:fill="EFEAE6"/>
            <w:noWrap/>
            <w:vAlign w:val="bottom"/>
            <w:hideMark/>
          </w:tcPr>
          <w:p w14:paraId="1F971E4B"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129</w:t>
            </w:r>
          </w:p>
        </w:tc>
        <w:tc>
          <w:tcPr>
            <w:tcW w:w="2051" w:type="dxa"/>
            <w:tcBorders>
              <w:top w:val="nil"/>
              <w:left w:val="nil"/>
              <w:bottom w:val="single" w:sz="4" w:space="0" w:color="FFFFFF"/>
              <w:right w:val="single" w:sz="4" w:space="0" w:color="FFFFFF"/>
            </w:tcBorders>
            <w:shd w:val="clear" w:color="000000" w:fill="EFEAE6"/>
            <w:noWrap/>
            <w:vAlign w:val="bottom"/>
            <w:hideMark/>
          </w:tcPr>
          <w:p w14:paraId="0371E1AA"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17</w:t>
            </w:r>
          </w:p>
        </w:tc>
        <w:tc>
          <w:tcPr>
            <w:tcW w:w="1525" w:type="dxa"/>
            <w:tcBorders>
              <w:top w:val="nil"/>
              <w:left w:val="nil"/>
              <w:bottom w:val="single" w:sz="4" w:space="0" w:color="FFFFFF"/>
              <w:right w:val="single" w:sz="4" w:space="0" w:color="FFFFFF"/>
            </w:tcBorders>
            <w:shd w:val="clear" w:color="000000" w:fill="EFEAE6"/>
            <w:noWrap/>
            <w:vAlign w:val="bottom"/>
            <w:hideMark/>
          </w:tcPr>
          <w:p w14:paraId="42EAF5FF"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9</w:t>
            </w:r>
          </w:p>
        </w:tc>
        <w:tc>
          <w:tcPr>
            <w:tcW w:w="298" w:type="dxa"/>
            <w:tcBorders>
              <w:top w:val="nil"/>
              <w:left w:val="nil"/>
              <w:bottom w:val="nil"/>
              <w:right w:val="nil"/>
            </w:tcBorders>
            <w:shd w:val="clear" w:color="auto" w:fill="auto"/>
            <w:noWrap/>
            <w:vAlign w:val="bottom"/>
            <w:hideMark/>
          </w:tcPr>
          <w:p w14:paraId="4AEC1D2A" w14:textId="77777777" w:rsidR="00E45F6E" w:rsidRPr="00E45F6E" w:rsidRDefault="00E45F6E" w:rsidP="00E45F6E">
            <w:pPr>
              <w:spacing w:after="0" w:line="240" w:lineRule="auto"/>
              <w:jc w:val="center"/>
              <w:rPr>
                <w:rFonts w:ascii="Calibri" w:eastAsia="Times New Roman" w:hAnsi="Calibri" w:cs="Calibri"/>
                <w:color w:val="000000"/>
                <w:lang w:eastAsia="en-GB"/>
              </w:rPr>
            </w:pPr>
          </w:p>
        </w:tc>
      </w:tr>
      <w:tr w:rsidR="00E45F6E" w:rsidRPr="00E45F6E" w14:paraId="6D46BA9C" w14:textId="77777777" w:rsidTr="00E25B46">
        <w:trPr>
          <w:trHeight w:val="307"/>
        </w:trPr>
        <w:tc>
          <w:tcPr>
            <w:tcW w:w="1525" w:type="dxa"/>
            <w:tcBorders>
              <w:top w:val="nil"/>
              <w:left w:val="single" w:sz="4" w:space="0" w:color="FFFFFF"/>
              <w:bottom w:val="single" w:sz="4" w:space="0" w:color="FFFFFF"/>
              <w:right w:val="single" w:sz="4" w:space="0" w:color="FFFFFF"/>
            </w:tcBorders>
            <w:shd w:val="clear" w:color="000000" w:fill="49723B"/>
            <w:noWrap/>
            <w:vAlign w:val="bottom"/>
            <w:hideMark/>
          </w:tcPr>
          <w:p w14:paraId="1103DE9C"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11 to 15</w:t>
            </w:r>
          </w:p>
        </w:tc>
        <w:tc>
          <w:tcPr>
            <w:tcW w:w="2051" w:type="dxa"/>
            <w:tcBorders>
              <w:top w:val="nil"/>
              <w:left w:val="nil"/>
              <w:bottom w:val="single" w:sz="4" w:space="0" w:color="FFFFFF"/>
              <w:right w:val="single" w:sz="4" w:space="0" w:color="FFFFFF"/>
            </w:tcBorders>
            <w:shd w:val="clear" w:color="000000" w:fill="EFEAE6"/>
            <w:noWrap/>
            <w:vAlign w:val="bottom"/>
            <w:hideMark/>
          </w:tcPr>
          <w:p w14:paraId="5C7FC29D"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17</w:t>
            </w:r>
          </w:p>
        </w:tc>
        <w:tc>
          <w:tcPr>
            <w:tcW w:w="1525" w:type="dxa"/>
            <w:tcBorders>
              <w:top w:val="nil"/>
              <w:left w:val="nil"/>
              <w:bottom w:val="single" w:sz="4" w:space="0" w:color="FFFFFF"/>
              <w:right w:val="single" w:sz="4" w:space="0" w:color="FFFFFF"/>
            </w:tcBorders>
            <w:shd w:val="clear" w:color="000000" w:fill="EFEAE6"/>
            <w:noWrap/>
            <w:vAlign w:val="bottom"/>
            <w:hideMark/>
          </w:tcPr>
          <w:p w14:paraId="2C59E6DD"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198</w:t>
            </w:r>
          </w:p>
        </w:tc>
        <w:tc>
          <w:tcPr>
            <w:tcW w:w="2051" w:type="dxa"/>
            <w:tcBorders>
              <w:top w:val="nil"/>
              <w:left w:val="nil"/>
              <w:bottom w:val="single" w:sz="4" w:space="0" w:color="FFFFFF"/>
              <w:right w:val="single" w:sz="4" w:space="0" w:color="FFFFFF"/>
            </w:tcBorders>
            <w:shd w:val="clear" w:color="000000" w:fill="EFEAE6"/>
            <w:noWrap/>
            <w:vAlign w:val="bottom"/>
            <w:hideMark/>
          </w:tcPr>
          <w:p w14:paraId="0FFA805C"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17</w:t>
            </w:r>
          </w:p>
        </w:tc>
        <w:tc>
          <w:tcPr>
            <w:tcW w:w="1525" w:type="dxa"/>
            <w:tcBorders>
              <w:top w:val="nil"/>
              <w:left w:val="nil"/>
              <w:bottom w:val="single" w:sz="4" w:space="0" w:color="FFFFFF"/>
              <w:right w:val="single" w:sz="4" w:space="0" w:color="FFFFFF"/>
            </w:tcBorders>
            <w:shd w:val="clear" w:color="000000" w:fill="EFEAE6"/>
            <w:noWrap/>
            <w:vAlign w:val="bottom"/>
            <w:hideMark/>
          </w:tcPr>
          <w:p w14:paraId="181AF542"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14</w:t>
            </w:r>
          </w:p>
        </w:tc>
        <w:tc>
          <w:tcPr>
            <w:tcW w:w="298" w:type="dxa"/>
            <w:tcBorders>
              <w:top w:val="nil"/>
              <w:left w:val="nil"/>
              <w:bottom w:val="nil"/>
              <w:right w:val="nil"/>
            </w:tcBorders>
            <w:shd w:val="clear" w:color="auto" w:fill="auto"/>
            <w:noWrap/>
            <w:vAlign w:val="bottom"/>
            <w:hideMark/>
          </w:tcPr>
          <w:p w14:paraId="5D3FA26B" w14:textId="77777777" w:rsidR="00E45F6E" w:rsidRPr="00E45F6E" w:rsidRDefault="00E45F6E" w:rsidP="00E45F6E">
            <w:pPr>
              <w:spacing w:after="0" w:line="240" w:lineRule="auto"/>
              <w:jc w:val="center"/>
              <w:rPr>
                <w:rFonts w:ascii="Calibri" w:eastAsia="Times New Roman" w:hAnsi="Calibri" w:cs="Calibri"/>
                <w:color w:val="000000"/>
                <w:lang w:eastAsia="en-GB"/>
              </w:rPr>
            </w:pPr>
          </w:p>
        </w:tc>
      </w:tr>
      <w:tr w:rsidR="00E45F6E" w:rsidRPr="00E45F6E" w14:paraId="6F58B80F" w14:textId="77777777" w:rsidTr="00E25B46">
        <w:trPr>
          <w:trHeight w:val="307"/>
        </w:trPr>
        <w:tc>
          <w:tcPr>
            <w:tcW w:w="1525" w:type="dxa"/>
            <w:tcBorders>
              <w:top w:val="nil"/>
              <w:left w:val="single" w:sz="4" w:space="0" w:color="FFFFFF"/>
              <w:bottom w:val="single" w:sz="4" w:space="0" w:color="FFFFFF"/>
              <w:right w:val="single" w:sz="4" w:space="0" w:color="FFFFFF"/>
            </w:tcBorders>
            <w:shd w:val="clear" w:color="000000" w:fill="49723B"/>
            <w:noWrap/>
            <w:vAlign w:val="bottom"/>
            <w:hideMark/>
          </w:tcPr>
          <w:p w14:paraId="4D71E769"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16 to 20</w:t>
            </w:r>
          </w:p>
        </w:tc>
        <w:tc>
          <w:tcPr>
            <w:tcW w:w="2051" w:type="dxa"/>
            <w:tcBorders>
              <w:top w:val="nil"/>
              <w:left w:val="nil"/>
              <w:bottom w:val="single" w:sz="4" w:space="0" w:color="FFFFFF"/>
              <w:right w:val="single" w:sz="4" w:space="0" w:color="FFFFFF"/>
            </w:tcBorders>
            <w:shd w:val="clear" w:color="000000" w:fill="EFEAE6"/>
            <w:noWrap/>
            <w:vAlign w:val="bottom"/>
            <w:hideMark/>
          </w:tcPr>
          <w:p w14:paraId="25C780FC"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7</w:t>
            </w:r>
          </w:p>
        </w:tc>
        <w:tc>
          <w:tcPr>
            <w:tcW w:w="1525" w:type="dxa"/>
            <w:tcBorders>
              <w:top w:val="nil"/>
              <w:left w:val="nil"/>
              <w:bottom w:val="single" w:sz="4" w:space="0" w:color="FFFFFF"/>
              <w:right w:val="single" w:sz="4" w:space="0" w:color="FFFFFF"/>
            </w:tcBorders>
            <w:shd w:val="clear" w:color="000000" w:fill="EFEAE6"/>
            <w:noWrap/>
            <w:vAlign w:val="bottom"/>
            <w:hideMark/>
          </w:tcPr>
          <w:p w14:paraId="71AC1537"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122</w:t>
            </w:r>
          </w:p>
        </w:tc>
        <w:tc>
          <w:tcPr>
            <w:tcW w:w="2051" w:type="dxa"/>
            <w:tcBorders>
              <w:top w:val="nil"/>
              <w:left w:val="nil"/>
              <w:bottom w:val="single" w:sz="4" w:space="0" w:color="FFFFFF"/>
              <w:right w:val="single" w:sz="4" w:space="0" w:color="FFFFFF"/>
            </w:tcBorders>
            <w:shd w:val="clear" w:color="000000" w:fill="EFEAE6"/>
            <w:noWrap/>
            <w:vAlign w:val="bottom"/>
            <w:hideMark/>
          </w:tcPr>
          <w:p w14:paraId="71B6DEBB"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7</w:t>
            </w:r>
          </w:p>
        </w:tc>
        <w:tc>
          <w:tcPr>
            <w:tcW w:w="1525" w:type="dxa"/>
            <w:tcBorders>
              <w:top w:val="nil"/>
              <w:left w:val="nil"/>
              <w:bottom w:val="single" w:sz="4" w:space="0" w:color="FFFFFF"/>
              <w:right w:val="single" w:sz="4" w:space="0" w:color="FFFFFF"/>
            </w:tcBorders>
            <w:shd w:val="clear" w:color="000000" w:fill="EFEAE6"/>
            <w:noWrap/>
            <w:vAlign w:val="bottom"/>
            <w:hideMark/>
          </w:tcPr>
          <w:p w14:paraId="0F8BA09A"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9</w:t>
            </w:r>
          </w:p>
        </w:tc>
        <w:tc>
          <w:tcPr>
            <w:tcW w:w="298" w:type="dxa"/>
            <w:tcBorders>
              <w:top w:val="nil"/>
              <w:left w:val="nil"/>
              <w:bottom w:val="nil"/>
              <w:right w:val="nil"/>
            </w:tcBorders>
            <w:shd w:val="clear" w:color="auto" w:fill="auto"/>
            <w:noWrap/>
            <w:vAlign w:val="bottom"/>
            <w:hideMark/>
          </w:tcPr>
          <w:p w14:paraId="7A9CE060" w14:textId="77777777" w:rsidR="00E45F6E" w:rsidRPr="00E45F6E" w:rsidRDefault="00E45F6E" w:rsidP="00E45F6E">
            <w:pPr>
              <w:spacing w:after="0" w:line="240" w:lineRule="auto"/>
              <w:jc w:val="center"/>
              <w:rPr>
                <w:rFonts w:ascii="Calibri" w:eastAsia="Times New Roman" w:hAnsi="Calibri" w:cs="Calibri"/>
                <w:color w:val="000000"/>
                <w:lang w:eastAsia="en-GB"/>
              </w:rPr>
            </w:pPr>
          </w:p>
        </w:tc>
      </w:tr>
      <w:tr w:rsidR="00E45F6E" w:rsidRPr="00E45F6E" w14:paraId="4CD15142" w14:textId="77777777" w:rsidTr="00E25B46">
        <w:trPr>
          <w:trHeight w:val="307"/>
        </w:trPr>
        <w:tc>
          <w:tcPr>
            <w:tcW w:w="1525" w:type="dxa"/>
            <w:tcBorders>
              <w:top w:val="nil"/>
              <w:left w:val="single" w:sz="4" w:space="0" w:color="FFFFFF"/>
              <w:bottom w:val="single" w:sz="4" w:space="0" w:color="FFFFFF"/>
              <w:right w:val="single" w:sz="4" w:space="0" w:color="FFFFFF"/>
            </w:tcBorders>
            <w:shd w:val="clear" w:color="000000" w:fill="49723B"/>
            <w:noWrap/>
            <w:vAlign w:val="bottom"/>
            <w:hideMark/>
          </w:tcPr>
          <w:p w14:paraId="399A1AF3"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21 to 30</w:t>
            </w:r>
          </w:p>
        </w:tc>
        <w:tc>
          <w:tcPr>
            <w:tcW w:w="2051" w:type="dxa"/>
            <w:tcBorders>
              <w:top w:val="nil"/>
              <w:left w:val="nil"/>
              <w:bottom w:val="single" w:sz="4" w:space="0" w:color="FFFFFF"/>
              <w:right w:val="single" w:sz="4" w:space="0" w:color="FFFFFF"/>
            </w:tcBorders>
            <w:shd w:val="clear" w:color="000000" w:fill="EFEAE6"/>
            <w:noWrap/>
            <w:vAlign w:val="bottom"/>
            <w:hideMark/>
          </w:tcPr>
          <w:p w14:paraId="6808ADB9"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9</w:t>
            </w:r>
          </w:p>
        </w:tc>
        <w:tc>
          <w:tcPr>
            <w:tcW w:w="1525" w:type="dxa"/>
            <w:tcBorders>
              <w:top w:val="nil"/>
              <w:left w:val="nil"/>
              <w:bottom w:val="single" w:sz="4" w:space="0" w:color="FFFFFF"/>
              <w:right w:val="single" w:sz="4" w:space="0" w:color="FFFFFF"/>
            </w:tcBorders>
            <w:shd w:val="clear" w:color="000000" w:fill="EFEAE6"/>
            <w:noWrap/>
            <w:vAlign w:val="bottom"/>
            <w:hideMark/>
          </w:tcPr>
          <w:p w14:paraId="2FFD7D0E"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226</w:t>
            </w:r>
          </w:p>
        </w:tc>
        <w:tc>
          <w:tcPr>
            <w:tcW w:w="2051" w:type="dxa"/>
            <w:tcBorders>
              <w:top w:val="nil"/>
              <w:left w:val="nil"/>
              <w:bottom w:val="single" w:sz="4" w:space="0" w:color="FFFFFF"/>
              <w:right w:val="single" w:sz="4" w:space="0" w:color="FFFFFF"/>
            </w:tcBorders>
            <w:shd w:val="clear" w:color="000000" w:fill="EFEAE6"/>
            <w:noWrap/>
            <w:vAlign w:val="bottom"/>
            <w:hideMark/>
          </w:tcPr>
          <w:p w14:paraId="2AB35CAD"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9</w:t>
            </w:r>
          </w:p>
        </w:tc>
        <w:tc>
          <w:tcPr>
            <w:tcW w:w="1525" w:type="dxa"/>
            <w:tcBorders>
              <w:top w:val="nil"/>
              <w:left w:val="nil"/>
              <w:bottom w:val="single" w:sz="4" w:space="0" w:color="FFFFFF"/>
              <w:right w:val="single" w:sz="4" w:space="0" w:color="FFFFFF"/>
            </w:tcBorders>
            <w:shd w:val="clear" w:color="000000" w:fill="EFEAE6"/>
            <w:noWrap/>
            <w:vAlign w:val="bottom"/>
            <w:hideMark/>
          </w:tcPr>
          <w:p w14:paraId="3DF7237A"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16</w:t>
            </w:r>
          </w:p>
        </w:tc>
        <w:tc>
          <w:tcPr>
            <w:tcW w:w="298" w:type="dxa"/>
            <w:tcBorders>
              <w:top w:val="nil"/>
              <w:left w:val="nil"/>
              <w:bottom w:val="nil"/>
              <w:right w:val="nil"/>
            </w:tcBorders>
            <w:shd w:val="clear" w:color="auto" w:fill="auto"/>
            <w:noWrap/>
            <w:vAlign w:val="bottom"/>
            <w:hideMark/>
          </w:tcPr>
          <w:p w14:paraId="4D18D5DD" w14:textId="77777777" w:rsidR="00E45F6E" w:rsidRPr="00E45F6E" w:rsidRDefault="00E45F6E" w:rsidP="00E45F6E">
            <w:pPr>
              <w:spacing w:after="0" w:line="240" w:lineRule="auto"/>
              <w:jc w:val="center"/>
              <w:rPr>
                <w:rFonts w:ascii="Calibri" w:eastAsia="Times New Roman" w:hAnsi="Calibri" w:cs="Calibri"/>
                <w:color w:val="000000"/>
                <w:lang w:eastAsia="en-GB"/>
              </w:rPr>
            </w:pPr>
          </w:p>
        </w:tc>
      </w:tr>
      <w:tr w:rsidR="00E45F6E" w:rsidRPr="00E45F6E" w14:paraId="04BC43E4" w14:textId="77777777" w:rsidTr="00E25B46">
        <w:trPr>
          <w:trHeight w:val="307"/>
        </w:trPr>
        <w:tc>
          <w:tcPr>
            <w:tcW w:w="1525" w:type="dxa"/>
            <w:tcBorders>
              <w:top w:val="nil"/>
              <w:left w:val="single" w:sz="4" w:space="0" w:color="FFFFFF"/>
              <w:bottom w:val="single" w:sz="4" w:space="0" w:color="FFFFFF"/>
              <w:right w:val="single" w:sz="4" w:space="0" w:color="FFFFFF"/>
            </w:tcBorders>
            <w:shd w:val="clear" w:color="000000" w:fill="49723B"/>
            <w:noWrap/>
            <w:vAlign w:val="bottom"/>
            <w:hideMark/>
          </w:tcPr>
          <w:p w14:paraId="15271FE1" w14:textId="77777777" w:rsidR="00E45F6E" w:rsidRPr="00E45F6E" w:rsidRDefault="00E45F6E" w:rsidP="00E45F6E">
            <w:pPr>
              <w:spacing w:after="0" w:line="240" w:lineRule="auto"/>
              <w:jc w:val="center"/>
              <w:rPr>
                <w:rFonts w:ascii="Calibri" w:eastAsia="Times New Roman" w:hAnsi="Calibri" w:cs="Calibri"/>
                <w:b/>
                <w:bCs/>
                <w:color w:val="FFFFFF"/>
                <w:lang w:eastAsia="en-GB"/>
              </w:rPr>
            </w:pPr>
            <w:r w:rsidRPr="00E45F6E">
              <w:rPr>
                <w:rFonts w:ascii="Calibri" w:eastAsia="Times New Roman" w:hAnsi="Calibri" w:cs="Calibri"/>
                <w:b/>
                <w:bCs/>
                <w:color w:val="FFFFFF"/>
                <w:lang w:eastAsia="en-GB"/>
              </w:rPr>
              <w:t>30&gt;</w:t>
            </w:r>
          </w:p>
        </w:tc>
        <w:tc>
          <w:tcPr>
            <w:tcW w:w="2051" w:type="dxa"/>
            <w:tcBorders>
              <w:top w:val="nil"/>
              <w:left w:val="nil"/>
              <w:bottom w:val="single" w:sz="4" w:space="0" w:color="FFFFFF"/>
              <w:right w:val="single" w:sz="4" w:space="0" w:color="FFFFFF"/>
            </w:tcBorders>
            <w:shd w:val="clear" w:color="000000" w:fill="EFEAE6"/>
            <w:noWrap/>
            <w:vAlign w:val="bottom"/>
            <w:hideMark/>
          </w:tcPr>
          <w:p w14:paraId="18FEB87B"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12</w:t>
            </w:r>
          </w:p>
        </w:tc>
        <w:tc>
          <w:tcPr>
            <w:tcW w:w="1525" w:type="dxa"/>
            <w:tcBorders>
              <w:top w:val="nil"/>
              <w:left w:val="nil"/>
              <w:bottom w:val="single" w:sz="4" w:space="0" w:color="FFFFFF"/>
              <w:right w:val="single" w:sz="4" w:space="0" w:color="FFFFFF"/>
            </w:tcBorders>
            <w:shd w:val="clear" w:color="000000" w:fill="EFEAE6"/>
            <w:noWrap/>
            <w:vAlign w:val="bottom"/>
            <w:hideMark/>
          </w:tcPr>
          <w:p w14:paraId="7EF813EE"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612</w:t>
            </w:r>
          </w:p>
        </w:tc>
        <w:tc>
          <w:tcPr>
            <w:tcW w:w="2051" w:type="dxa"/>
            <w:tcBorders>
              <w:top w:val="nil"/>
              <w:left w:val="nil"/>
              <w:bottom w:val="single" w:sz="4" w:space="0" w:color="FFFFFF"/>
              <w:right w:val="single" w:sz="4" w:space="0" w:color="FFFFFF"/>
            </w:tcBorders>
            <w:shd w:val="clear" w:color="000000" w:fill="EFEAE6"/>
            <w:noWrap/>
            <w:vAlign w:val="bottom"/>
            <w:hideMark/>
          </w:tcPr>
          <w:p w14:paraId="0E219C15"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12</w:t>
            </w:r>
          </w:p>
        </w:tc>
        <w:tc>
          <w:tcPr>
            <w:tcW w:w="1525" w:type="dxa"/>
            <w:tcBorders>
              <w:top w:val="nil"/>
              <w:left w:val="nil"/>
              <w:bottom w:val="single" w:sz="4" w:space="0" w:color="FFFFFF"/>
              <w:right w:val="single" w:sz="4" w:space="0" w:color="FFFFFF"/>
            </w:tcBorders>
            <w:shd w:val="clear" w:color="000000" w:fill="EFEAE6"/>
            <w:noWrap/>
            <w:vAlign w:val="bottom"/>
            <w:hideMark/>
          </w:tcPr>
          <w:p w14:paraId="3A6D869B" w14:textId="77777777" w:rsidR="00E45F6E" w:rsidRPr="00E45F6E" w:rsidRDefault="00E45F6E" w:rsidP="00E45F6E">
            <w:pPr>
              <w:spacing w:after="0" w:line="240" w:lineRule="auto"/>
              <w:jc w:val="center"/>
              <w:rPr>
                <w:rFonts w:ascii="Calibri" w:eastAsia="Times New Roman" w:hAnsi="Calibri" w:cs="Calibri"/>
                <w:color w:val="000000"/>
                <w:lang w:eastAsia="en-GB"/>
              </w:rPr>
            </w:pPr>
            <w:r w:rsidRPr="00E45F6E">
              <w:rPr>
                <w:rFonts w:ascii="Calibri" w:eastAsia="Times New Roman" w:hAnsi="Calibri" w:cs="Calibri"/>
                <w:color w:val="000000"/>
                <w:lang w:eastAsia="en-GB"/>
              </w:rPr>
              <w:t>44</w:t>
            </w:r>
          </w:p>
        </w:tc>
        <w:tc>
          <w:tcPr>
            <w:tcW w:w="298" w:type="dxa"/>
            <w:tcBorders>
              <w:top w:val="nil"/>
              <w:left w:val="nil"/>
              <w:bottom w:val="nil"/>
              <w:right w:val="nil"/>
            </w:tcBorders>
            <w:shd w:val="clear" w:color="auto" w:fill="auto"/>
            <w:noWrap/>
            <w:vAlign w:val="bottom"/>
            <w:hideMark/>
          </w:tcPr>
          <w:p w14:paraId="16D1ABE6" w14:textId="77777777" w:rsidR="00E45F6E" w:rsidRPr="00E45F6E" w:rsidRDefault="00E45F6E" w:rsidP="00E45F6E">
            <w:pPr>
              <w:spacing w:after="0" w:line="240" w:lineRule="auto"/>
              <w:jc w:val="center"/>
              <w:rPr>
                <w:rFonts w:ascii="Calibri" w:eastAsia="Times New Roman" w:hAnsi="Calibri" w:cs="Calibri"/>
                <w:color w:val="000000"/>
                <w:lang w:eastAsia="en-GB"/>
              </w:rPr>
            </w:pPr>
          </w:p>
        </w:tc>
      </w:tr>
    </w:tbl>
    <w:p w14:paraId="4585312F" w14:textId="77777777" w:rsidR="00E45F6E" w:rsidRPr="00E41C69" w:rsidRDefault="00E45F6E" w:rsidP="00E114E2">
      <w:pPr>
        <w:jc w:val="both"/>
        <w:rPr>
          <w:rFonts w:cstheme="minorHAnsi"/>
          <w:sz w:val="28"/>
          <w:szCs w:val="28"/>
        </w:rPr>
      </w:pPr>
    </w:p>
    <w:p w14:paraId="0BB89AD3" w14:textId="77777777" w:rsidR="001F62C5" w:rsidRDefault="001F62C5" w:rsidP="00E114E2">
      <w:pPr>
        <w:jc w:val="both"/>
        <w:rPr>
          <w:rFonts w:cstheme="minorHAnsi"/>
          <w:sz w:val="28"/>
          <w:szCs w:val="28"/>
        </w:rPr>
      </w:pPr>
      <w:r>
        <w:rPr>
          <w:rFonts w:cstheme="minorHAnsi"/>
          <w:b/>
          <w:sz w:val="28"/>
          <w:szCs w:val="28"/>
        </w:rPr>
        <w:t xml:space="preserve">4.3.3 </w:t>
      </w:r>
      <w:r w:rsidR="005B07AD" w:rsidRPr="00E41C69">
        <w:rPr>
          <w:rFonts w:cstheme="minorHAnsi"/>
          <w:b/>
          <w:sz w:val="28"/>
          <w:szCs w:val="28"/>
        </w:rPr>
        <w:t>Partner enrolment size</w:t>
      </w:r>
    </w:p>
    <w:p w14:paraId="2EB8F016" w14:textId="4418427B" w:rsidR="007E725A" w:rsidRPr="00E41C69" w:rsidRDefault="007B3195" w:rsidP="00E114E2">
      <w:pPr>
        <w:jc w:val="both"/>
        <w:rPr>
          <w:rFonts w:cstheme="minorHAnsi"/>
          <w:sz w:val="28"/>
          <w:szCs w:val="28"/>
        </w:rPr>
      </w:pPr>
      <w:r w:rsidRPr="00E41C69">
        <w:rPr>
          <w:rFonts w:cstheme="minorHAnsi"/>
          <w:sz w:val="28"/>
          <w:szCs w:val="28"/>
        </w:rPr>
        <w:t>In the mid-</w:t>
      </w:r>
      <w:r w:rsidR="005B07AD" w:rsidRPr="00E41C69">
        <w:rPr>
          <w:rFonts w:cstheme="minorHAnsi"/>
          <w:sz w:val="28"/>
          <w:szCs w:val="28"/>
        </w:rPr>
        <w:t>1990s, enrolments at overseas partner institutions w</w:t>
      </w:r>
      <w:r w:rsidR="00272DB8" w:rsidRPr="00E41C69">
        <w:rPr>
          <w:rFonts w:cstheme="minorHAnsi"/>
          <w:sz w:val="28"/>
          <w:szCs w:val="28"/>
        </w:rPr>
        <w:t>ere generally small (less than 10</w:t>
      </w:r>
      <w:r w:rsidR="005B07AD" w:rsidRPr="00E41C69">
        <w:rPr>
          <w:rFonts w:cstheme="minorHAnsi"/>
          <w:sz w:val="28"/>
          <w:szCs w:val="28"/>
        </w:rPr>
        <w:t>0 students) and only 26 partnerships out of a total of 445 recorded ha</w:t>
      </w:r>
      <w:r w:rsidR="00272DB8" w:rsidRPr="00E41C69">
        <w:rPr>
          <w:rFonts w:cstheme="minorHAnsi"/>
          <w:sz w:val="28"/>
          <w:szCs w:val="28"/>
        </w:rPr>
        <w:t>d</w:t>
      </w:r>
      <w:r w:rsidR="005B07AD" w:rsidRPr="00E41C69">
        <w:rPr>
          <w:rFonts w:cstheme="minorHAnsi"/>
          <w:sz w:val="28"/>
          <w:szCs w:val="28"/>
        </w:rPr>
        <w:t xml:space="preserve"> more than 500 students. By 2015/16, around 65 large</w:t>
      </w:r>
      <w:r w:rsidR="00A91C31">
        <w:rPr>
          <w:rFonts w:cstheme="minorHAnsi"/>
          <w:sz w:val="28"/>
          <w:szCs w:val="28"/>
        </w:rPr>
        <w:t xml:space="preserve"> overseas </w:t>
      </w:r>
      <w:r w:rsidR="005B07AD" w:rsidRPr="00E41C69">
        <w:rPr>
          <w:rFonts w:cstheme="minorHAnsi"/>
          <w:sz w:val="28"/>
          <w:szCs w:val="28"/>
        </w:rPr>
        <w:t xml:space="preserve">partnerships </w:t>
      </w:r>
      <w:r w:rsidR="00A91C31">
        <w:rPr>
          <w:rFonts w:cstheme="minorHAnsi"/>
          <w:sz w:val="28"/>
          <w:szCs w:val="28"/>
        </w:rPr>
        <w:t xml:space="preserve">with more than 500 students </w:t>
      </w:r>
      <w:r w:rsidR="005B07AD" w:rsidRPr="00E41C69">
        <w:rPr>
          <w:rFonts w:cstheme="minorHAnsi"/>
          <w:sz w:val="28"/>
          <w:szCs w:val="28"/>
        </w:rPr>
        <w:t>accounted for almost two-thirds of total FVA e</w:t>
      </w:r>
      <w:r w:rsidR="00272DB8" w:rsidRPr="00E41C69">
        <w:rPr>
          <w:rFonts w:cstheme="minorHAnsi"/>
          <w:sz w:val="28"/>
          <w:szCs w:val="28"/>
        </w:rPr>
        <w:t>nrolments</w:t>
      </w:r>
      <w:r w:rsidR="007E725A" w:rsidRPr="00E41C69">
        <w:rPr>
          <w:rFonts w:cstheme="minorHAnsi"/>
          <w:sz w:val="28"/>
          <w:szCs w:val="28"/>
        </w:rPr>
        <w:t xml:space="preserve"> -</w:t>
      </w:r>
      <w:r w:rsidR="00A91C31">
        <w:rPr>
          <w:rFonts w:cstheme="minorHAnsi"/>
          <w:sz w:val="28"/>
          <w:szCs w:val="28"/>
        </w:rPr>
        <w:t xml:space="preserve"> </w:t>
      </w:r>
      <w:r w:rsidR="006263EB" w:rsidRPr="00E41C69">
        <w:rPr>
          <w:rFonts w:cstheme="minorHAnsi"/>
          <w:sz w:val="28"/>
          <w:szCs w:val="28"/>
        </w:rPr>
        <w:t>157,00</w:t>
      </w:r>
      <w:r w:rsidRPr="00E41C69">
        <w:rPr>
          <w:rFonts w:cstheme="minorHAnsi"/>
          <w:sz w:val="28"/>
          <w:szCs w:val="28"/>
        </w:rPr>
        <w:t>0</w:t>
      </w:r>
      <w:r w:rsidR="006263EB" w:rsidRPr="00E41C69">
        <w:rPr>
          <w:rFonts w:cstheme="minorHAnsi"/>
          <w:sz w:val="28"/>
          <w:szCs w:val="28"/>
        </w:rPr>
        <w:t xml:space="preserve"> out of 240,000 </w:t>
      </w:r>
      <w:r w:rsidR="00272DB8" w:rsidRPr="00E41C69">
        <w:rPr>
          <w:rFonts w:cstheme="minorHAnsi"/>
          <w:sz w:val="28"/>
          <w:szCs w:val="28"/>
        </w:rPr>
        <w:t>and the overall percentage of very small partnershi</w:t>
      </w:r>
      <w:r w:rsidR="0016790C">
        <w:rPr>
          <w:rFonts w:cstheme="minorHAnsi"/>
          <w:sz w:val="28"/>
          <w:szCs w:val="28"/>
        </w:rPr>
        <w:t>ps</w:t>
      </w:r>
      <w:r w:rsidR="009312C1">
        <w:rPr>
          <w:rFonts w:cstheme="minorHAnsi"/>
          <w:sz w:val="28"/>
          <w:szCs w:val="28"/>
        </w:rPr>
        <w:t xml:space="preserve"> </w:t>
      </w:r>
      <w:r w:rsidR="009312C1" w:rsidRPr="00E41C69">
        <w:rPr>
          <w:rFonts w:cstheme="minorHAnsi"/>
          <w:sz w:val="28"/>
          <w:szCs w:val="28"/>
        </w:rPr>
        <w:t xml:space="preserve"> </w:t>
      </w:r>
      <w:r w:rsidR="00272DB8" w:rsidRPr="00E41C69">
        <w:rPr>
          <w:rFonts w:cstheme="minorHAnsi"/>
          <w:sz w:val="28"/>
          <w:szCs w:val="28"/>
        </w:rPr>
        <w:t xml:space="preserve">(with less than 50 students) declined from 67% </w:t>
      </w:r>
      <w:r w:rsidRPr="00E41C69">
        <w:rPr>
          <w:rFonts w:cstheme="minorHAnsi"/>
          <w:sz w:val="28"/>
          <w:szCs w:val="28"/>
        </w:rPr>
        <w:t xml:space="preserve">in 1996/97 </w:t>
      </w:r>
      <w:r w:rsidR="00272DB8" w:rsidRPr="00E41C69">
        <w:rPr>
          <w:rFonts w:cstheme="minorHAnsi"/>
          <w:sz w:val="28"/>
          <w:szCs w:val="28"/>
        </w:rPr>
        <w:t xml:space="preserve">to around 20%. Not only, therefore, are FVA </w:t>
      </w:r>
      <w:r w:rsidR="00036FBF" w:rsidRPr="00E41C69">
        <w:rPr>
          <w:rFonts w:cstheme="minorHAnsi"/>
          <w:sz w:val="28"/>
          <w:szCs w:val="28"/>
        </w:rPr>
        <w:t xml:space="preserve">offshore </w:t>
      </w:r>
      <w:r w:rsidR="00272DB8" w:rsidRPr="00E41C69">
        <w:rPr>
          <w:rFonts w:cstheme="minorHAnsi"/>
          <w:sz w:val="28"/>
          <w:szCs w:val="28"/>
        </w:rPr>
        <w:t xml:space="preserve">enrolments heavily concentrated among a </w:t>
      </w:r>
      <w:r w:rsidR="006263EB" w:rsidRPr="00E41C69">
        <w:rPr>
          <w:rFonts w:cstheme="minorHAnsi"/>
          <w:sz w:val="28"/>
          <w:szCs w:val="28"/>
        </w:rPr>
        <w:t xml:space="preserve">relatively </w:t>
      </w:r>
      <w:r w:rsidR="00272DB8" w:rsidRPr="00E41C69">
        <w:rPr>
          <w:rFonts w:cstheme="minorHAnsi"/>
          <w:sz w:val="28"/>
          <w:szCs w:val="28"/>
        </w:rPr>
        <w:t xml:space="preserve">small group of UK universities, but </w:t>
      </w:r>
      <w:r w:rsidR="00233130" w:rsidRPr="00E41C69">
        <w:rPr>
          <w:rFonts w:cstheme="minorHAnsi"/>
          <w:sz w:val="28"/>
          <w:szCs w:val="28"/>
        </w:rPr>
        <w:t xml:space="preserve">relatively </w:t>
      </w:r>
      <w:r w:rsidR="00272DB8" w:rsidRPr="00E41C69">
        <w:rPr>
          <w:rFonts w:cstheme="minorHAnsi"/>
          <w:sz w:val="28"/>
          <w:szCs w:val="28"/>
        </w:rPr>
        <w:t xml:space="preserve">large overseas partners are themselves </w:t>
      </w:r>
      <w:r w:rsidRPr="00E41C69">
        <w:rPr>
          <w:rFonts w:cstheme="minorHAnsi"/>
          <w:sz w:val="28"/>
          <w:szCs w:val="28"/>
        </w:rPr>
        <w:t xml:space="preserve">becoming increasingly dominant </w:t>
      </w:r>
      <w:r w:rsidR="00272DB8" w:rsidRPr="00E41C69">
        <w:rPr>
          <w:rFonts w:cstheme="minorHAnsi"/>
          <w:sz w:val="28"/>
          <w:szCs w:val="28"/>
        </w:rPr>
        <w:t xml:space="preserve">players. </w:t>
      </w:r>
      <w:r w:rsidR="006263EB" w:rsidRPr="00E41C69">
        <w:rPr>
          <w:rFonts w:cstheme="minorHAnsi"/>
          <w:sz w:val="28"/>
          <w:szCs w:val="28"/>
        </w:rPr>
        <w:t>The</w:t>
      </w:r>
      <w:r w:rsidR="00233130" w:rsidRPr="00E41C69">
        <w:rPr>
          <w:rFonts w:cstheme="minorHAnsi"/>
          <w:sz w:val="28"/>
          <w:szCs w:val="28"/>
        </w:rPr>
        <w:t xml:space="preserve"> majority of these organisations</w:t>
      </w:r>
      <w:r w:rsidR="00EA6AE7" w:rsidRPr="00E41C69">
        <w:rPr>
          <w:rFonts w:cstheme="minorHAnsi"/>
          <w:sz w:val="28"/>
          <w:szCs w:val="28"/>
        </w:rPr>
        <w:t>,</w:t>
      </w:r>
      <w:r w:rsidR="00233130" w:rsidRPr="00E41C69">
        <w:rPr>
          <w:rFonts w:cstheme="minorHAnsi"/>
          <w:sz w:val="28"/>
          <w:szCs w:val="28"/>
        </w:rPr>
        <w:t xml:space="preserve"> especially in the longer established </w:t>
      </w:r>
      <w:r w:rsidR="00EA6AE7" w:rsidRPr="00E41C69">
        <w:rPr>
          <w:rFonts w:cstheme="minorHAnsi"/>
          <w:sz w:val="28"/>
          <w:szCs w:val="28"/>
        </w:rPr>
        <w:t xml:space="preserve">FVA </w:t>
      </w:r>
      <w:r w:rsidR="00036FBF" w:rsidRPr="00E41C69">
        <w:rPr>
          <w:rFonts w:cstheme="minorHAnsi"/>
          <w:sz w:val="28"/>
          <w:szCs w:val="28"/>
        </w:rPr>
        <w:t xml:space="preserve">offshore </w:t>
      </w:r>
      <w:r w:rsidR="00233130" w:rsidRPr="00E41C69">
        <w:rPr>
          <w:rFonts w:cstheme="minorHAnsi"/>
          <w:sz w:val="28"/>
          <w:szCs w:val="28"/>
        </w:rPr>
        <w:t xml:space="preserve">countries </w:t>
      </w:r>
      <w:r w:rsidR="00EA6AE7" w:rsidRPr="00E41C69">
        <w:rPr>
          <w:rFonts w:cstheme="minorHAnsi"/>
          <w:sz w:val="28"/>
          <w:szCs w:val="28"/>
        </w:rPr>
        <w:t xml:space="preserve">of </w:t>
      </w:r>
      <w:r w:rsidR="00233130" w:rsidRPr="00E41C69">
        <w:rPr>
          <w:rFonts w:cstheme="minorHAnsi"/>
          <w:sz w:val="28"/>
          <w:szCs w:val="28"/>
        </w:rPr>
        <w:t>Hong Kong, Malaysia and Singapore,</w:t>
      </w:r>
      <w:r w:rsidR="006263EB" w:rsidRPr="00E41C69">
        <w:rPr>
          <w:rFonts w:cstheme="minorHAnsi"/>
          <w:sz w:val="28"/>
          <w:szCs w:val="28"/>
        </w:rPr>
        <w:t xml:space="preserve"> have </w:t>
      </w:r>
      <w:r w:rsidR="00EA6AE7" w:rsidRPr="00E41C69">
        <w:rPr>
          <w:rFonts w:cstheme="minorHAnsi"/>
          <w:sz w:val="28"/>
          <w:szCs w:val="28"/>
        </w:rPr>
        <w:t xml:space="preserve">(i) </w:t>
      </w:r>
      <w:r w:rsidR="006263EB" w:rsidRPr="00E41C69">
        <w:rPr>
          <w:rFonts w:cstheme="minorHAnsi"/>
          <w:sz w:val="28"/>
          <w:szCs w:val="28"/>
        </w:rPr>
        <w:t>a relatively long history of dealing with UK and other foreign universities</w:t>
      </w:r>
      <w:r w:rsidR="00B92359" w:rsidRPr="00E41C69">
        <w:rPr>
          <w:rFonts w:cstheme="minorHAnsi"/>
          <w:sz w:val="28"/>
          <w:szCs w:val="28"/>
        </w:rPr>
        <w:t xml:space="preserve">, </w:t>
      </w:r>
      <w:r w:rsidRPr="00E41C69">
        <w:rPr>
          <w:rFonts w:cstheme="minorHAnsi"/>
          <w:sz w:val="28"/>
          <w:szCs w:val="28"/>
        </w:rPr>
        <w:t xml:space="preserve">which considerably reduces </w:t>
      </w:r>
      <w:r w:rsidR="00EA6AE7" w:rsidRPr="00E41C69">
        <w:rPr>
          <w:rFonts w:cstheme="minorHAnsi"/>
          <w:sz w:val="28"/>
          <w:szCs w:val="28"/>
        </w:rPr>
        <w:t xml:space="preserve">the </w:t>
      </w:r>
      <w:r w:rsidRPr="00E41C69">
        <w:rPr>
          <w:rFonts w:cstheme="minorHAnsi"/>
          <w:sz w:val="28"/>
          <w:szCs w:val="28"/>
        </w:rPr>
        <w:t>transaction costs</w:t>
      </w:r>
      <w:r w:rsidR="00EA6AE7" w:rsidRPr="00E41C69">
        <w:rPr>
          <w:rFonts w:cstheme="minorHAnsi"/>
          <w:sz w:val="28"/>
          <w:szCs w:val="28"/>
        </w:rPr>
        <w:t xml:space="preserve"> entailed in course development and operational management and helps to build up high levels of trust based on close personal relationships and consistently high partner performance on both sides;</w:t>
      </w:r>
      <w:r w:rsidR="006263EB" w:rsidRPr="00E41C69">
        <w:rPr>
          <w:rFonts w:cstheme="minorHAnsi"/>
          <w:sz w:val="28"/>
          <w:szCs w:val="28"/>
        </w:rPr>
        <w:t xml:space="preserve"> </w:t>
      </w:r>
      <w:r w:rsidR="00EA6AE7" w:rsidRPr="00E41C69">
        <w:rPr>
          <w:rFonts w:cstheme="minorHAnsi"/>
          <w:sz w:val="28"/>
          <w:szCs w:val="28"/>
        </w:rPr>
        <w:t xml:space="preserve">(ii) </w:t>
      </w:r>
      <w:r w:rsidR="006263EB" w:rsidRPr="00E41C69">
        <w:rPr>
          <w:rFonts w:cstheme="minorHAnsi"/>
          <w:sz w:val="28"/>
          <w:szCs w:val="28"/>
        </w:rPr>
        <w:t xml:space="preserve">have </w:t>
      </w:r>
      <w:r w:rsidR="00240DAE" w:rsidRPr="00E41C69">
        <w:rPr>
          <w:rFonts w:cstheme="minorHAnsi"/>
          <w:sz w:val="28"/>
          <w:szCs w:val="28"/>
        </w:rPr>
        <w:t xml:space="preserve">established </w:t>
      </w:r>
      <w:r w:rsidR="006263EB" w:rsidRPr="00E41C69">
        <w:rPr>
          <w:rFonts w:cstheme="minorHAnsi"/>
          <w:sz w:val="28"/>
          <w:szCs w:val="28"/>
        </w:rPr>
        <w:t xml:space="preserve">strong reputations in national </w:t>
      </w:r>
      <w:r w:rsidR="006263EB" w:rsidRPr="00E41C69">
        <w:rPr>
          <w:rFonts w:cstheme="minorHAnsi"/>
          <w:sz w:val="28"/>
          <w:szCs w:val="28"/>
        </w:rPr>
        <w:lastRenderedPageBreak/>
        <w:t>higher education markets</w:t>
      </w:r>
      <w:r w:rsidR="00EA6AE7" w:rsidRPr="00E41C69">
        <w:rPr>
          <w:rFonts w:cstheme="minorHAnsi"/>
          <w:sz w:val="28"/>
          <w:szCs w:val="28"/>
        </w:rPr>
        <w:t>;</w:t>
      </w:r>
      <w:r w:rsidR="006263EB" w:rsidRPr="00E41C69">
        <w:rPr>
          <w:rFonts w:cstheme="minorHAnsi"/>
          <w:sz w:val="28"/>
          <w:szCs w:val="28"/>
        </w:rPr>
        <w:t xml:space="preserve"> and </w:t>
      </w:r>
      <w:r w:rsidR="00EA6AE7" w:rsidRPr="00E41C69">
        <w:rPr>
          <w:rFonts w:cstheme="minorHAnsi"/>
          <w:sz w:val="28"/>
          <w:szCs w:val="28"/>
        </w:rPr>
        <w:t xml:space="preserve">(iii) </w:t>
      </w:r>
      <w:r w:rsidR="006263EB" w:rsidRPr="00E41C69">
        <w:rPr>
          <w:rFonts w:cstheme="minorHAnsi"/>
          <w:sz w:val="28"/>
          <w:szCs w:val="28"/>
        </w:rPr>
        <w:t xml:space="preserve">a few (most notably APIIT, MDSI, Raffles,) are themselves </w:t>
      </w:r>
      <w:r w:rsidR="00CC18EF" w:rsidRPr="00E41C69">
        <w:rPr>
          <w:rFonts w:cstheme="minorHAnsi"/>
          <w:sz w:val="28"/>
          <w:szCs w:val="28"/>
        </w:rPr>
        <w:t xml:space="preserve">beginning to </w:t>
      </w:r>
      <w:r w:rsidR="006263EB" w:rsidRPr="00E41C69">
        <w:rPr>
          <w:rFonts w:cstheme="minorHAnsi"/>
          <w:sz w:val="28"/>
          <w:szCs w:val="28"/>
        </w:rPr>
        <w:t>p</w:t>
      </w:r>
      <w:r w:rsidR="00CC18EF" w:rsidRPr="00E41C69">
        <w:rPr>
          <w:rFonts w:cstheme="minorHAnsi"/>
          <w:sz w:val="28"/>
          <w:szCs w:val="28"/>
        </w:rPr>
        <w:t>artner</w:t>
      </w:r>
      <w:r w:rsidR="00240DAE" w:rsidRPr="00E41C69">
        <w:rPr>
          <w:rFonts w:cstheme="minorHAnsi"/>
          <w:sz w:val="28"/>
          <w:szCs w:val="28"/>
        </w:rPr>
        <w:t xml:space="preserve"> with overseas education providers</w:t>
      </w:r>
      <w:r w:rsidR="00CC18EF" w:rsidRPr="00E41C69">
        <w:rPr>
          <w:rFonts w:cstheme="minorHAnsi"/>
          <w:sz w:val="28"/>
          <w:szCs w:val="28"/>
        </w:rPr>
        <w:t xml:space="preserve"> (for example, in India, Sri Lanka, and Uzbekistan)</w:t>
      </w:r>
      <w:r w:rsidR="006263EB" w:rsidRPr="00E41C69">
        <w:rPr>
          <w:rFonts w:cstheme="minorHAnsi"/>
          <w:sz w:val="28"/>
          <w:szCs w:val="28"/>
        </w:rPr>
        <w:t xml:space="preserve">. </w:t>
      </w:r>
      <w:r w:rsidR="00240DAE" w:rsidRPr="00E41C69">
        <w:rPr>
          <w:rFonts w:cstheme="minorHAnsi"/>
          <w:sz w:val="28"/>
          <w:szCs w:val="28"/>
        </w:rPr>
        <w:t>The growing involvement of major multinational education service corporations such as Kaplan is also noticeable.</w:t>
      </w:r>
    </w:p>
    <w:p w14:paraId="496D3E02" w14:textId="677C7513" w:rsidR="00DE33A6" w:rsidRPr="00E41C69" w:rsidRDefault="00036FBF" w:rsidP="00E114E2">
      <w:pPr>
        <w:jc w:val="both"/>
        <w:rPr>
          <w:rFonts w:cstheme="minorHAnsi"/>
          <w:sz w:val="28"/>
          <w:szCs w:val="28"/>
        </w:rPr>
      </w:pPr>
      <w:r w:rsidRPr="00E41C69">
        <w:rPr>
          <w:rFonts w:cstheme="minorHAnsi"/>
          <w:sz w:val="28"/>
          <w:szCs w:val="28"/>
        </w:rPr>
        <w:t xml:space="preserve">While there are clear </w:t>
      </w:r>
      <w:r w:rsidR="00DE33A6" w:rsidRPr="00E41C69">
        <w:rPr>
          <w:rFonts w:cstheme="minorHAnsi"/>
          <w:sz w:val="28"/>
          <w:szCs w:val="28"/>
        </w:rPr>
        <w:t>advantages for UK universities in only having to deal with a relatively few large, well organised overseas partners, the downside is that this is likely to put (at least some) of these overseas partners in a strong bargaining</w:t>
      </w:r>
      <w:r w:rsidR="00D27CE6" w:rsidRPr="00E41C69">
        <w:rPr>
          <w:rFonts w:cstheme="minorHAnsi"/>
          <w:sz w:val="28"/>
          <w:szCs w:val="28"/>
        </w:rPr>
        <w:t>/monopsonistic</w:t>
      </w:r>
      <w:r w:rsidR="00DE33A6" w:rsidRPr="00E41C69">
        <w:rPr>
          <w:rFonts w:cstheme="minorHAnsi"/>
          <w:sz w:val="28"/>
          <w:szCs w:val="28"/>
        </w:rPr>
        <w:t xml:space="preserve"> </w:t>
      </w:r>
      <w:r w:rsidR="00EA6AE7" w:rsidRPr="00E41C69">
        <w:rPr>
          <w:rFonts w:cstheme="minorHAnsi"/>
          <w:sz w:val="28"/>
          <w:szCs w:val="28"/>
        </w:rPr>
        <w:t xml:space="preserve">market </w:t>
      </w:r>
      <w:r w:rsidR="00DE33A6" w:rsidRPr="00E41C69">
        <w:rPr>
          <w:rFonts w:cstheme="minorHAnsi"/>
          <w:sz w:val="28"/>
          <w:szCs w:val="28"/>
        </w:rPr>
        <w:t>position when negotiati</w:t>
      </w:r>
      <w:r w:rsidR="00EA6AE7" w:rsidRPr="00E41C69">
        <w:rPr>
          <w:rFonts w:cstheme="minorHAnsi"/>
          <w:sz w:val="28"/>
          <w:szCs w:val="28"/>
        </w:rPr>
        <w:t xml:space="preserve">ng </w:t>
      </w:r>
      <w:r w:rsidR="00DE33A6" w:rsidRPr="00E41C69">
        <w:rPr>
          <w:rFonts w:cstheme="minorHAnsi"/>
          <w:sz w:val="28"/>
          <w:szCs w:val="28"/>
        </w:rPr>
        <w:t>over UK university inputs and franchise and</w:t>
      </w:r>
      <w:r w:rsidR="00E9016A">
        <w:rPr>
          <w:rFonts w:cstheme="minorHAnsi"/>
          <w:sz w:val="28"/>
          <w:szCs w:val="28"/>
        </w:rPr>
        <w:t xml:space="preserve"> validation fees</w:t>
      </w:r>
      <w:r w:rsidR="00DE33A6" w:rsidRPr="00E41C69">
        <w:rPr>
          <w:rFonts w:cstheme="minorHAnsi"/>
          <w:sz w:val="28"/>
          <w:szCs w:val="28"/>
        </w:rPr>
        <w:t xml:space="preserve">. </w:t>
      </w:r>
    </w:p>
    <w:p w14:paraId="0A8473DD" w14:textId="77777777" w:rsidR="001F62C5" w:rsidRDefault="001F62C5" w:rsidP="00E114E2">
      <w:pPr>
        <w:jc w:val="both"/>
        <w:rPr>
          <w:rFonts w:cstheme="minorHAnsi"/>
          <w:sz w:val="28"/>
          <w:szCs w:val="28"/>
        </w:rPr>
      </w:pPr>
      <w:r>
        <w:rPr>
          <w:rFonts w:cstheme="minorHAnsi"/>
          <w:b/>
          <w:sz w:val="28"/>
          <w:szCs w:val="28"/>
        </w:rPr>
        <w:t xml:space="preserve">4.3.4 </w:t>
      </w:r>
      <w:r w:rsidR="00CC18EF" w:rsidRPr="00E41C69">
        <w:rPr>
          <w:rFonts w:cstheme="minorHAnsi"/>
          <w:b/>
          <w:sz w:val="28"/>
          <w:szCs w:val="28"/>
        </w:rPr>
        <w:t>Partner turnover</w:t>
      </w:r>
    </w:p>
    <w:p w14:paraId="7EF0A7C4" w14:textId="165D9265" w:rsidR="00DE33A6" w:rsidRPr="00E41C69" w:rsidRDefault="00D27CE6" w:rsidP="00E114E2">
      <w:pPr>
        <w:jc w:val="both"/>
        <w:rPr>
          <w:rFonts w:cstheme="minorHAnsi"/>
          <w:sz w:val="28"/>
          <w:szCs w:val="28"/>
        </w:rPr>
      </w:pPr>
      <w:r w:rsidRPr="00E41C69">
        <w:rPr>
          <w:rFonts w:cstheme="minorHAnsi"/>
          <w:sz w:val="28"/>
          <w:szCs w:val="28"/>
        </w:rPr>
        <w:t>Only around 2</w:t>
      </w:r>
      <w:r w:rsidR="00CC18EF" w:rsidRPr="00E41C69">
        <w:rPr>
          <w:rFonts w:cstheme="minorHAnsi"/>
          <w:sz w:val="28"/>
          <w:szCs w:val="28"/>
        </w:rPr>
        <w:t>% of the overseas partners recorded in 1996/97 were still collab</w:t>
      </w:r>
      <w:r w:rsidR="00B92359" w:rsidRPr="00E41C69">
        <w:rPr>
          <w:rFonts w:cstheme="minorHAnsi"/>
          <w:sz w:val="28"/>
          <w:szCs w:val="28"/>
        </w:rPr>
        <w:t>orating with their UK universities</w:t>
      </w:r>
      <w:r w:rsidR="00CC18EF" w:rsidRPr="00E41C69">
        <w:rPr>
          <w:rFonts w:cstheme="minorHAnsi"/>
          <w:sz w:val="28"/>
          <w:szCs w:val="28"/>
        </w:rPr>
        <w:t xml:space="preserve"> in 2015/16. This </w:t>
      </w:r>
      <w:r w:rsidR="0005319B">
        <w:rPr>
          <w:rFonts w:cstheme="minorHAnsi"/>
          <w:sz w:val="28"/>
          <w:szCs w:val="28"/>
        </w:rPr>
        <w:t>level</w:t>
      </w:r>
      <w:r w:rsidR="00CC18EF" w:rsidRPr="00E41C69">
        <w:rPr>
          <w:rFonts w:cstheme="minorHAnsi"/>
          <w:sz w:val="28"/>
          <w:szCs w:val="28"/>
        </w:rPr>
        <w:t xml:space="preserve"> of turnover is not surprising given the predominance of small student enrolments at this time</w:t>
      </w:r>
      <w:r w:rsidR="00DE33A6" w:rsidRPr="00E41C69">
        <w:rPr>
          <w:rFonts w:cstheme="minorHAnsi"/>
          <w:sz w:val="28"/>
          <w:szCs w:val="28"/>
        </w:rPr>
        <w:t xml:space="preserve"> and the loss of </w:t>
      </w:r>
      <w:r w:rsidR="00B92359" w:rsidRPr="00E41C69">
        <w:rPr>
          <w:rFonts w:cstheme="minorHAnsi"/>
          <w:sz w:val="28"/>
          <w:szCs w:val="28"/>
        </w:rPr>
        <w:t xml:space="preserve">all nearly all </w:t>
      </w:r>
      <w:r w:rsidR="00DE33A6" w:rsidRPr="00E41C69">
        <w:rPr>
          <w:rFonts w:cstheme="minorHAnsi"/>
          <w:sz w:val="28"/>
          <w:szCs w:val="28"/>
        </w:rPr>
        <w:t>partners in some major countries includ</w:t>
      </w:r>
      <w:r w:rsidR="00A91C31">
        <w:rPr>
          <w:rFonts w:cstheme="minorHAnsi"/>
          <w:sz w:val="28"/>
          <w:szCs w:val="28"/>
        </w:rPr>
        <w:t xml:space="preserve">ing Israel, Romania, </w:t>
      </w:r>
      <w:r w:rsidR="00DE33A6" w:rsidRPr="00E41C69">
        <w:rPr>
          <w:rFonts w:cstheme="minorHAnsi"/>
          <w:sz w:val="28"/>
          <w:szCs w:val="28"/>
        </w:rPr>
        <w:t>Russia</w:t>
      </w:r>
      <w:r w:rsidR="00A91C31">
        <w:rPr>
          <w:rFonts w:cstheme="minorHAnsi"/>
          <w:sz w:val="28"/>
          <w:szCs w:val="28"/>
        </w:rPr>
        <w:t xml:space="preserve"> and South Africa</w:t>
      </w:r>
      <w:r w:rsidR="00CC18EF" w:rsidRPr="00E41C69">
        <w:rPr>
          <w:rFonts w:cstheme="minorHAnsi"/>
          <w:sz w:val="28"/>
          <w:szCs w:val="28"/>
        </w:rPr>
        <w:t xml:space="preserve">. Generally speaking, most </w:t>
      </w:r>
      <w:r w:rsidRPr="00E41C69">
        <w:rPr>
          <w:rFonts w:cstheme="minorHAnsi"/>
          <w:sz w:val="28"/>
          <w:szCs w:val="28"/>
        </w:rPr>
        <w:t xml:space="preserve">UK </w:t>
      </w:r>
      <w:r w:rsidR="00CC18EF" w:rsidRPr="00E41C69">
        <w:rPr>
          <w:rFonts w:cstheme="minorHAnsi"/>
          <w:sz w:val="28"/>
          <w:szCs w:val="28"/>
        </w:rPr>
        <w:t xml:space="preserve">universities </w:t>
      </w:r>
      <w:r w:rsidR="00A51B58" w:rsidRPr="00E41C69">
        <w:rPr>
          <w:rFonts w:cstheme="minorHAnsi"/>
          <w:sz w:val="28"/>
          <w:szCs w:val="28"/>
        </w:rPr>
        <w:t xml:space="preserve">increasingly </w:t>
      </w:r>
      <w:r w:rsidR="00CC18EF" w:rsidRPr="00E41C69">
        <w:rPr>
          <w:rFonts w:cstheme="minorHAnsi"/>
          <w:sz w:val="28"/>
          <w:szCs w:val="28"/>
        </w:rPr>
        <w:t>regard enrolments of less than 50</w:t>
      </w:r>
      <w:r w:rsidR="00A51B58" w:rsidRPr="00E41C69">
        <w:rPr>
          <w:rFonts w:cstheme="minorHAnsi"/>
          <w:sz w:val="28"/>
          <w:szCs w:val="28"/>
        </w:rPr>
        <w:t xml:space="preserve"> students</w:t>
      </w:r>
      <w:r w:rsidR="00CC18EF" w:rsidRPr="00E41C69">
        <w:rPr>
          <w:rFonts w:cstheme="minorHAnsi"/>
          <w:sz w:val="28"/>
          <w:szCs w:val="28"/>
        </w:rPr>
        <w:t xml:space="preserve"> as non-viable and will normally terminate</w:t>
      </w:r>
      <w:r w:rsidR="00A91C31">
        <w:rPr>
          <w:rFonts w:cstheme="minorHAnsi"/>
          <w:sz w:val="28"/>
          <w:szCs w:val="28"/>
        </w:rPr>
        <w:t>/’exit’</w:t>
      </w:r>
      <w:r w:rsidR="00CC18EF" w:rsidRPr="00E41C69">
        <w:rPr>
          <w:rFonts w:cstheme="minorHAnsi"/>
          <w:sz w:val="28"/>
          <w:szCs w:val="28"/>
        </w:rPr>
        <w:t xml:space="preserve"> the partnership.</w:t>
      </w:r>
      <w:r w:rsidR="00A51B58" w:rsidRPr="00E41C69">
        <w:rPr>
          <w:rFonts w:cstheme="minorHAnsi"/>
          <w:sz w:val="28"/>
          <w:szCs w:val="28"/>
        </w:rPr>
        <w:t xml:space="preserve"> As noted above, around 20% of partnerships currently have fewer than 50 students so partnership turnover will continue to be reasonably high.</w:t>
      </w:r>
    </w:p>
    <w:p w14:paraId="7161109F" w14:textId="169AD544" w:rsidR="00EA2114" w:rsidRPr="00E41C69" w:rsidRDefault="00045343" w:rsidP="009137B4">
      <w:pPr>
        <w:pStyle w:val="Heading2"/>
      </w:pPr>
      <w:bookmarkStart w:id="15" w:name="_Toc531957311"/>
      <w:r>
        <w:t>4</w:t>
      </w:r>
      <w:r w:rsidR="00A40FB6" w:rsidRPr="00E41C69">
        <w:t>.4 QUALIFICATION AND SUBJECT PROFILES</w:t>
      </w:r>
      <w:bookmarkEnd w:id="15"/>
    </w:p>
    <w:p w14:paraId="33C79EDF" w14:textId="201C8E05" w:rsidR="002A607F" w:rsidRDefault="00EA2114" w:rsidP="00E114E2">
      <w:pPr>
        <w:jc w:val="both"/>
        <w:rPr>
          <w:rFonts w:cstheme="minorHAnsi"/>
          <w:sz w:val="28"/>
          <w:szCs w:val="28"/>
        </w:rPr>
      </w:pPr>
      <w:r w:rsidRPr="00E41C69">
        <w:rPr>
          <w:rFonts w:cstheme="minorHAnsi"/>
          <w:sz w:val="28"/>
          <w:szCs w:val="28"/>
        </w:rPr>
        <w:t xml:space="preserve">Undergraduate qualifications accounted for </w:t>
      </w:r>
      <w:r w:rsidR="00A52EB0" w:rsidRPr="00E41C69">
        <w:rPr>
          <w:rFonts w:cstheme="minorHAnsi"/>
          <w:sz w:val="28"/>
          <w:szCs w:val="28"/>
        </w:rPr>
        <w:t>68%</w:t>
      </w:r>
      <w:r w:rsidRPr="00E41C69">
        <w:rPr>
          <w:rFonts w:cstheme="minorHAnsi"/>
          <w:sz w:val="28"/>
          <w:szCs w:val="28"/>
        </w:rPr>
        <w:t xml:space="preserve"> of offshore enrolments in 201</w:t>
      </w:r>
      <w:r w:rsidR="002A607F">
        <w:rPr>
          <w:rFonts w:cstheme="minorHAnsi"/>
          <w:sz w:val="28"/>
          <w:szCs w:val="28"/>
        </w:rPr>
        <w:t>5/16 compared to 57% in 1996/97</w:t>
      </w:r>
      <w:r w:rsidRPr="00E41C69">
        <w:rPr>
          <w:rFonts w:cstheme="minorHAnsi"/>
          <w:sz w:val="28"/>
          <w:szCs w:val="28"/>
        </w:rPr>
        <w:t xml:space="preserve">. The reasons for the relatively large and growing share of undergraduate offshore enrolments requires more in-depth research. However, financial factors are likely to be </w:t>
      </w:r>
      <w:r w:rsidR="0053419B" w:rsidRPr="00E41C69">
        <w:rPr>
          <w:rFonts w:cstheme="minorHAnsi"/>
          <w:sz w:val="28"/>
          <w:szCs w:val="28"/>
        </w:rPr>
        <w:t>key.</w:t>
      </w:r>
      <w:r w:rsidR="00734A4B" w:rsidRPr="00E41C69">
        <w:rPr>
          <w:rFonts w:cstheme="minorHAnsi"/>
          <w:sz w:val="28"/>
          <w:szCs w:val="28"/>
        </w:rPr>
        <w:t xml:space="preserve"> </w:t>
      </w:r>
      <w:r w:rsidR="00A52EB0" w:rsidRPr="00E41C69">
        <w:rPr>
          <w:rFonts w:cstheme="minorHAnsi"/>
          <w:sz w:val="28"/>
          <w:szCs w:val="28"/>
        </w:rPr>
        <w:t>Firstly, u</w:t>
      </w:r>
      <w:r w:rsidR="00734A4B" w:rsidRPr="00E41C69">
        <w:rPr>
          <w:rFonts w:cstheme="minorHAnsi"/>
          <w:sz w:val="28"/>
          <w:szCs w:val="28"/>
        </w:rPr>
        <w:t>ndergraduate degree courses are less demanding, especially for overseas private sector providers, have lower unit costs and, since they are longer in duration and increasingly have higher annual fees than postgraduate courses, are considerabl</w:t>
      </w:r>
      <w:r w:rsidR="009312C1">
        <w:rPr>
          <w:rFonts w:cstheme="minorHAnsi"/>
          <w:sz w:val="28"/>
          <w:szCs w:val="28"/>
        </w:rPr>
        <w:t>y more lucrative</w:t>
      </w:r>
      <w:r w:rsidR="00734A4B" w:rsidRPr="00E41C69">
        <w:rPr>
          <w:rFonts w:cstheme="minorHAnsi"/>
          <w:sz w:val="28"/>
          <w:szCs w:val="28"/>
        </w:rPr>
        <w:t xml:space="preserve">.  </w:t>
      </w:r>
      <w:r w:rsidR="00A52EB0" w:rsidRPr="00E41C69">
        <w:rPr>
          <w:rFonts w:cstheme="minorHAnsi"/>
          <w:sz w:val="28"/>
          <w:szCs w:val="28"/>
        </w:rPr>
        <w:t>Secondly, t</w:t>
      </w:r>
      <w:r w:rsidR="00734A4B" w:rsidRPr="00E41C69">
        <w:rPr>
          <w:rFonts w:cstheme="minorHAnsi"/>
          <w:sz w:val="28"/>
          <w:szCs w:val="28"/>
        </w:rPr>
        <w:t>he overall levels of student demand for business, finance and IT undergraduate courses is also invariably much higher than for postgraduate courses in the same subject areas.</w:t>
      </w:r>
      <w:r w:rsidR="00A52EB0" w:rsidRPr="00E41C69">
        <w:rPr>
          <w:rFonts w:cstheme="minorHAnsi"/>
          <w:sz w:val="28"/>
          <w:szCs w:val="28"/>
        </w:rPr>
        <w:t xml:space="preserve"> And thirdly, the ex-polytechnics which account for a disproportionately large share of offshore enrolments, focus mainly on under-graduat</w:t>
      </w:r>
      <w:r w:rsidR="00E9016A">
        <w:rPr>
          <w:rFonts w:cstheme="minorHAnsi"/>
          <w:sz w:val="28"/>
          <w:szCs w:val="28"/>
        </w:rPr>
        <w:t>e degree provision (see table 9</w:t>
      </w:r>
      <w:r w:rsidR="00A52EB0" w:rsidRPr="00E41C69">
        <w:rPr>
          <w:rFonts w:cstheme="minorHAnsi"/>
          <w:sz w:val="28"/>
          <w:szCs w:val="28"/>
        </w:rPr>
        <w:t>).</w:t>
      </w:r>
    </w:p>
    <w:tbl>
      <w:tblPr>
        <w:tblW w:w="9041" w:type="dxa"/>
        <w:tblLook w:val="04A0" w:firstRow="1" w:lastRow="0" w:firstColumn="1" w:lastColumn="0" w:noHBand="0" w:noVBand="1"/>
      </w:tblPr>
      <w:tblGrid>
        <w:gridCol w:w="3406"/>
        <w:gridCol w:w="2684"/>
        <w:gridCol w:w="2365"/>
        <w:gridCol w:w="293"/>
        <w:gridCol w:w="293"/>
      </w:tblGrid>
      <w:tr w:rsidR="00A638F8" w:rsidRPr="00A638F8" w14:paraId="3F39641D" w14:textId="77777777" w:rsidTr="00E25B46">
        <w:trPr>
          <w:trHeight w:val="318"/>
        </w:trPr>
        <w:tc>
          <w:tcPr>
            <w:tcW w:w="9041" w:type="dxa"/>
            <w:gridSpan w:val="5"/>
            <w:tcBorders>
              <w:top w:val="nil"/>
              <w:left w:val="nil"/>
              <w:bottom w:val="nil"/>
              <w:right w:val="nil"/>
            </w:tcBorders>
            <w:shd w:val="clear" w:color="auto" w:fill="auto"/>
            <w:noWrap/>
            <w:vAlign w:val="bottom"/>
            <w:hideMark/>
          </w:tcPr>
          <w:p w14:paraId="0C269546" w14:textId="028114FC" w:rsidR="00A638F8" w:rsidRPr="00A638F8" w:rsidRDefault="00E9016A" w:rsidP="00A638F8">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lastRenderedPageBreak/>
              <w:t>Table 9</w:t>
            </w:r>
            <w:r w:rsidR="00A638F8" w:rsidRPr="00A638F8">
              <w:rPr>
                <w:rFonts w:ascii="Calibri" w:eastAsia="Times New Roman" w:hAnsi="Calibri" w:cs="Calibri"/>
                <w:b/>
                <w:bCs/>
                <w:color w:val="5F735C"/>
                <w:lang w:eastAsia="en-GB"/>
              </w:rPr>
              <w:t xml:space="preserve">: Percentage breakdown of undergraduate and postgraduate </w:t>
            </w:r>
          </w:p>
        </w:tc>
      </w:tr>
      <w:tr w:rsidR="00A638F8" w:rsidRPr="00A638F8" w14:paraId="1C3CA777" w14:textId="77777777" w:rsidTr="00E25B46">
        <w:trPr>
          <w:trHeight w:val="318"/>
        </w:trPr>
        <w:tc>
          <w:tcPr>
            <w:tcW w:w="9041" w:type="dxa"/>
            <w:gridSpan w:val="5"/>
            <w:tcBorders>
              <w:top w:val="nil"/>
              <w:left w:val="nil"/>
              <w:bottom w:val="nil"/>
              <w:right w:val="nil"/>
            </w:tcBorders>
            <w:shd w:val="clear" w:color="auto" w:fill="auto"/>
            <w:noWrap/>
            <w:vAlign w:val="bottom"/>
            <w:hideMark/>
          </w:tcPr>
          <w:p w14:paraId="17C28388" w14:textId="034329D3" w:rsidR="00A638F8" w:rsidRPr="00A638F8" w:rsidRDefault="009312C1" w:rsidP="00A638F8">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 xml:space="preserve">Offshore </w:t>
            </w:r>
            <w:r w:rsidR="00A638F8" w:rsidRPr="00A638F8">
              <w:rPr>
                <w:rFonts w:ascii="Calibri" w:eastAsia="Times New Roman" w:hAnsi="Calibri" w:cs="Calibri"/>
                <w:b/>
                <w:bCs/>
                <w:color w:val="5F735C"/>
                <w:lang w:eastAsia="en-GB"/>
              </w:rPr>
              <w:t>enrolments by university category, 2015/16 (rounded percentages)</w:t>
            </w:r>
          </w:p>
        </w:tc>
      </w:tr>
      <w:tr w:rsidR="00A638F8" w:rsidRPr="00A638F8" w14:paraId="40092834" w14:textId="77777777" w:rsidTr="00E25B46">
        <w:trPr>
          <w:trHeight w:val="318"/>
        </w:trPr>
        <w:tc>
          <w:tcPr>
            <w:tcW w:w="3406"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5DF13667" w14:textId="77777777" w:rsidR="00A638F8" w:rsidRPr="00A638F8" w:rsidRDefault="00A638F8" w:rsidP="00A638F8">
            <w:pPr>
              <w:spacing w:after="0" w:line="240" w:lineRule="auto"/>
              <w:jc w:val="center"/>
              <w:rPr>
                <w:rFonts w:ascii="Calibri" w:eastAsia="Times New Roman" w:hAnsi="Calibri" w:cs="Calibri"/>
                <w:b/>
                <w:bCs/>
                <w:color w:val="FFFFFF"/>
                <w:lang w:eastAsia="en-GB"/>
              </w:rPr>
            </w:pPr>
            <w:r w:rsidRPr="00A638F8">
              <w:rPr>
                <w:rFonts w:ascii="Calibri" w:eastAsia="Times New Roman" w:hAnsi="Calibri" w:cs="Calibri"/>
                <w:b/>
                <w:bCs/>
                <w:color w:val="FFFFFF"/>
                <w:lang w:eastAsia="en-GB"/>
              </w:rPr>
              <w:t>University category</w:t>
            </w:r>
          </w:p>
        </w:tc>
        <w:tc>
          <w:tcPr>
            <w:tcW w:w="2684" w:type="dxa"/>
            <w:tcBorders>
              <w:top w:val="single" w:sz="4" w:space="0" w:color="FFFFFF"/>
              <w:left w:val="nil"/>
              <w:bottom w:val="single" w:sz="4" w:space="0" w:color="FFFFFF"/>
              <w:right w:val="single" w:sz="4" w:space="0" w:color="FFFFFF"/>
            </w:tcBorders>
            <w:shd w:val="clear" w:color="000000" w:fill="49723B"/>
            <w:noWrap/>
            <w:vAlign w:val="bottom"/>
            <w:hideMark/>
          </w:tcPr>
          <w:p w14:paraId="09C0F3C6" w14:textId="77777777" w:rsidR="00A638F8" w:rsidRPr="00A638F8" w:rsidRDefault="00A638F8" w:rsidP="00A638F8">
            <w:pPr>
              <w:spacing w:after="0" w:line="240" w:lineRule="auto"/>
              <w:jc w:val="center"/>
              <w:rPr>
                <w:rFonts w:ascii="Calibri" w:eastAsia="Times New Roman" w:hAnsi="Calibri" w:cs="Calibri"/>
                <w:b/>
                <w:bCs/>
                <w:color w:val="FFFFFF"/>
                <w:lang w:eastAsia="en-GB"/>
              </w:rPr>
            </w:pPr>
            <w:r w:rsidRPr="00A638F8">
              <w:rPr>
                <w:rFonts w:ascii="Calibri" w:eastAsia="Times New Roman" w:hAnsi="Calibri" w:cs="Calibri"/>
                <w:b/>
                <w:bCs/>
                <w:color w:val="FFFFFF"/>
                <w:lang w:eastAsia="en-GB"/>
              </w:rPr>
              <w:t>Undergraduate</w:t>
            </w:r>
          </w:p>
        </w:tc>
        <w:tc>
          <w:tcPr>
            <w:tcW w:w="2365" w:type="dxa"/>
            <w:tcBorders>
              <w:top w:val="single" w:sz="4" w:space="0" w:color="FFFFFF"/>
              <w:left w:val="nil"/>
              <w:bottom w:val="single" w:sz="4" w:space="0" w:color="FFFFFF"/>
              <w:right w:val="single" w:sz="4" w:space="0" w:color="FFFFFF"/>
            </w:tcBorders>
            <w:shd w:val="clear" w:color="000000" w:fill="49723B"/>
            <w:noWrap/>
            <w:vAlign w:val="bottom"/>
            <w:hideMark/>
          </w:tcPr>
          <w:p w14:paraId="4A54AB0D" w14:textId="77777777" w:rsidR="00A638F8" w:rsidRPr="00A638F8" w:rsidRDefault="00A638F8" w:rsidP="00A638F8">
            <w:pPr>
              <w:spacing w:after="0" w:line="240" w:lineRule="auto"/>
              <w:jc w:val="center"/>
              <w:rPr>
                <w:rFonts w:ascii="Calibri" w:eastAsia="Times New Roman" w:hAnsi="Calibri" w:cs="Calibri"/>
                <w:b/>
                <w:bCs/>
                <w:color w:val="FFFFFF"/>
                <w:lang w:eastAsia="en-GB"/>
              </w:rPr>
            </w:pPr>
            <w:r w:rsidRPr="00A638F8">
              <w:rPr>
                <w:rFonts w:ascii="Calibri" w:eastAsia="Times New Roman" w:hAnsi="Calibri" w:cs="Calibri"/>
                <w:b/>
                <w:bCs/>
                <w:color w:val="FFFFFF"/>
                <w:lang w:eastAsia="en-GB"/>
              </w:rPr>
              <w:t>Postgraduate</w:t>
            </w:r>
          </w:p>
        </w:tc>
        <w:tc>
          <w:tcPr>
            <w:tcW w:w="293" w:type="dxa"/>
            <w:tcBorders>
              <w:top w:val="nil"/>
              <w:left w:val="nil"/>
              <w:bottom w:val="nil"/>
              <w:right w:val="nil"/>
            </w:tcBorders>
            <w:shd w:val="clear" w:color="auto" w:fill="auto"/>
            <w:noWrap/>
            <w:vAlign w:val="bottom"/>
            <w:hideMark/>
          </w:tcPr>
          <w:p w14:paraId="2D32ED70" w14:textId="77777777" w:rsidR="00A638F8" w:rsidRPr="00A638F8" w:rsidRDefault="00A638F8" w:rsidP="00A638F8">
            <w:pPr>
              <w:spacing w:after="0" w:line="240" w:lineRule="auto"/>
              <w:jc w:val="center"/>
              <w:rPr>
                <w:rFonts w:ascii="Calibri" w:eastAsia="Times New Roman" w:hAnsi="Calibri" w:cs="Calibri"/>
                <w:b/>
                <w:bCs/>
                <w:color w:val="FFFFFF"/>
                <w:lang w:eastAsia="en-GB"/>
              </w:rPr>
            </w:pPr>
          </w:p>
        </w:tc>
        <w:tc>
          <w:tcPr>
            <w:tcW w:w="293" w:type="dxa"/>
            <w:tcBorders>
              <w:top w:val="nil"/>
              <w:left w:val="nil"/>
              <w:bottom w:val="nil"/>
              <w:right w:val="nil"/>
            </w:tcBorders>
            <w:shd w:val="clear" w:color="auto" w:fill="auto"/>
            <w:noWrap/>
            <w:vAlign w:val="bottom"/>
            <w:hideMark/>
          </w:tcPr>
          <w:p w14:paraId="15CBA1C1" w14:textId="77777777" w:rsidR="00A638F8" w:rsidRPr="00A638F8" w:rsidRDefault="00A638F8" w:rsidP="00A638F8">
            <w:pPr>
              <w:spacing w:after="0" w:line="240" w:lineRule="auto"/>
              <w:rPr>
                <w:rFonts w:ascii="Times New Roman" w:eastAsia="Times New Roman" w:hAnsi="Times New Roman" w:cs="Times New Roman"/>
                <w:sz w:val="20"/>
                <w:szCs w:val="20"/>
                <w:lang w:eastAsia="en-GB"/>
              </w:rPr>
            </w:pPr>
          </w:p>
        </w:tc>
      </w:tr>
      <w:tr w:rsidR="00A638F8" w:rsidRPr="00A638F8" w14:paraId="07F4DAF0" w14:textId="77777777" w:rsidTr="00E25B46">
        <w:trPr>
          <w:trHeight w:val="318"/>
        </w:trPr>
        <w:tc>
          <w:tcPr>
            <w:tcW w:w="3406" w:type="dxa"/>
            <w:tcBorders>
              <w:top w:val="nil"/>
              <w:left w:val="single" w:sz="4" w:space="0" w:color="FFFFFF"/>
              <w:bottom w:val="single" w:sz="4" w:space="0" w:color="FFFFFF"/>
              <w:right w:val="single" w:sz="4" w:space="0" w:color="FFFFFF"/>
            </w:tcBorders>
            <w:shd w:val="clear" w:color="000000" w:fill="49723B"/>
            <w:noWrap/>
            <w:vAlign w:val="bottom"/>
            <w:hideMark/>
          </w:tcPr>
          <w:p w14:paraId="3A582A7C" w14:textId="77777777" w:rsidR="00A638F8" w:rsidRPr="00A638F8" w:rsidRDefault="00A638F8" w:rsidP="00A638F8">
            <w:pPr>
              <w:spacing w:after="0" w:line="240" w:lineRule="auto"/>
              <w:jc w:val="center"/>
              <w:rPr>
                <w:rFonts w:ascii="Calibri" w:eastAsia="Times New Roman" w:hAnsi="Calibri" w:cs="Calibri"/>
                <w:b/>
                <w:bCs/>
                <w:color w:val="FFFFFF"/>
                <w:lang w:eastAsia="en-GB"/>
              </w:rPr>
            </w:pPr>
            <w:r w:rsidRPr="00A638F8">
              <w:rPr>
                <w:rFonts w:ascii="Calibri" w:eastAsia="Times New Roman" w:hAnsi="Calibri" w:cs="Calibri"/>
                <w:b/>
                <w:bCs/>
                <w:color w:val="FFFFFF"/>
                <w:lang w:eastAsia="en-GB"/>
              </w:rPr>
              <w:t>Ancient</w:t>
            </w:r>
          </w:p>
        </w:tc>
        <w:tc>
          <w:tcPr>
            <w:tcW w:w="2684" w:type="dxa"/>
            <w:tcBorders>
              <w:top w:val="nil"/>
              <w:left w:val="nil"/>
              <w:bottom w:val="single" w:sz="4" w:space="0" w:color="FFFFFF"/>
              <w:right w:val="single" w:sz="4" w:space="0" w:color="FFFFFF"/>
            </w:tcBorders>
            <w:shd w:val="clear" w:color="000000" w:fill="EFEAE6"/>
            <w:noWrap/>
            <w:vAlign w:val="bottom"/>
            <w:hideMark/>
          </w:tcPr>
          <w:p w14:paraId="6362977C" w14:textId="77777777" w:rsidR="00A638F8" w:rsidRPr="00A638F8" w:rsidRDefault="00A638F8" w:rsidP="00A638F8">
            <w:pPr>
              <w:spacing w:after="0" w:line="240" w:lineRule="auto"/>
              <w:jc w:val="center"/>
              <w:rPr>
                <w:rFonts w:ascii="Calibri" w:eastAsia="Times New Roman" w:hAnsi="Calibri" w:cs="Calibri"/>
                <w:color w:val="000000"/>
                <w:lang w:eastAsia="en-GB"/>
              </w:rPr>
            </w:pPr>
            <w:r w:rsidRPr="00A638F8">
              <w:rPr>
                <w:rFonts w:ascii="Calibri" w:eastAsia="Times New Roman" w:hAnsi="Calibri" w:cs="Calibri"/>
                <w:color w:val="000000"/>
                <w:lang w:eastAsia="en-GB"/>
              </w:rPr>
              <w:t>54</w:t>
            </w:r>
          </w:p>
        </w:tc>
        <w:tc>
          <w:tcPr>
            <w:tcW w:w="2365" w:type="dxa"/>
            <w:tcBorders>
              <w:top w:val="nil"/>
              <w:left w:val="nil"/>
              <w:bottom w:val="single" w:sz="4" w:space="0" w:color="FFFFFF"/>
              <w:right w:val="single" w:sz="4" w:space="0" w:color="FFFFFF"/>
            </w:tcBorders>
            <w:shd w:val="clear" w:color="000000" w:fill="EFEAE6"/>
            <w:noWrap/>
            <w:vAlign w:val="bottom"/>
            <w:hideMark/>
          </w:tcPr>
          <w:p w14:paraId="585A51FA" w14:textId="77777777" w:rsidR="00A638F8" w:rsidRPr="00A638F8" w:rsidRDefault="00A638F8" w:rsidP="00A638F8">
            <w:pPr>
              <w:spacing w:after="0" w:line="240" w:lineRule="auto"/>
              <w:jc w:val="center"/>
              <w:rPr>
                <w:rFonts w:ascii="Calibri" w:eastAsia="Times New Roman" w:hAnsi="Calibri" w:cs="Calibri"/>
                <w:color w:val="000000"/>
                <w:lang w:eastAsia="en-GB"/>
              </w:rPr>
            </w:pPr>
            <w:r w:rsidRPr="00A638F8">
              <w:rPr>
                <w:rFonts w:ascii="Calibri" w:eastAsia="Times New Roman" w:hAnsi="Calibri" w:cs="Calibri"/>
                <w:color w:val="000000"/>
                <w:lang w:eastAsia="en-GB"/>
              </w:rPr>
              <w:t>46</w:t>
            </w:r>
          </w:p>
        </w:tc>
        <w:tc>
          <w:tcPr>
            <w:tcW w:w="293" w:type="dxa"/>
            <w:tcBorders>
              <w:top w:val="nil"/>
              <w:left w:val="nil"/>
              <w:bottom w:val="nil"/>
              <w:right w:val="nil"/>
            </w:tcBorders>
            <w:shd w:val="clear" w:color="auto" w:fill="auto"/>
            <w:noWrap/>
            <w:vAlign w:val="bottom"/>
            <w:hideMark/>
          </w:tcPr>
          <w:p w14:paraId="1C07CD2C" w14:textId="77777777" w:rsidR="00A638F8" w:rsidRPr="00A638F8" w:rsidRDefault="00A638F8" w:rsidP="00A638F8">
            <w:pPr>
              <w:spacing w:after="0" w:line="240" w:lineRule="auto"/>
              <w:jc w:val="center"/>
              <w:rPr>
                <w:rFonts w:ascii="Calibri" w:eastAsia="Times New Roman" w:hAnsi="Calibri" w:cs="Calibri"/>
                <w:color w:val="000000"/>
                <w:lang w:eastAsia="en-GB"/>
              </w:rPr>
            </w:pPr>
          </w:p>
        </w:tc>
        <w:tc>
          <w:tcPr>
            <w:tcW w:w="293" w:type="dxa"/>
            <w:tcBorders>
              <w:top w:val="nil"/>
              <w:left w:val="nil"/>
              <w:bottom w:val="nil"/>
              <w:right w:val="nil"/>
            </w:tcBorders>
            <w:shd w:val="clear" w:color="auto" w:fill="auto"/>
            <w:noWrap/>
            <w:vAlign w:val="bottom"/>
            <w:hideMark/>
          </w:tcPr>
          <w:p w14:paraId="7256D34B" w14:textId="77777777" w:rsidR="00A638F8" w:rsidRPr="00A638F8" w:rsidRDefault="00A638F8" w:rsidP="00A638F8">
            <w:pPr>
              <w:spacing w:after="0" w:line="240" w:lineRule="auto"/>
              <w:rPr>
                <w:rFonts w:ascii="Times New Roman" w:eastAsia="Times New Roman" w:hAnsi="Times New Roman" w:cs="Times New Roman"/>
                <w:sz w:val="20"/>
                <w:szCs w:val="20"/>
                <w:lang w:eastAsia="en-GB"/>
              </w:rPr>
            </w:pPr>
          </w:p>
        </w:tc>
      </w:tr>
      <w:tr w:rsidR="00A638F8" w:rsidRPr="00A638F8" w14:paraId="30CE73F0" w14:textId="77777777" w:rsidTr="00E25B46">
        <w:trPr>
          <w:trHeight w:val="318"/>
        </w:trPr>
        <w:tc>
          <w:tcPr>
            <w:tcW w:w="3406" w:type="dxa"/>
            <w:tcBorders>
              <w:top w:val="nil"/>
              <w:left w:val="single" w:sz="4" w:space="0" w:color="FFFFFF"/>
              <w:bottom w:val="single" w:sz="4" w:space="0" w:color="FFFFFF"/>
              <w:right w:val="single" w:sz="4" w:space="0" w:color="FFFFFF"/>
            </w:tcBorders>
            <w:shd w:val="clear" w:color="000000" w:fill="49723B"/>
            <w:noWrap/>
            <w:vAlign w:val="bottom"/>
            <w:hideMark/>
          </w:tcPr>
          <w:p w14:paraId="577FD1DF" w14:textId="77777777" w:rsidR="00A638F8" w:rsidRPr="00A638F8" w:rsidRDefault="00A638F8" w:rsidP="00A638F8">
            <w:pPr>
              <w:spacing w:after="0" w:line="240" w:lineRule="auto"/>
              <w:jc w:val="center"/>
              <w:rPr>
                <w:rFonts w:ascii="Calibri" w:eastAsia="Times New Roman" w:hAnsi="Calibri" w:cs="Calibri"/>
                <w:b/>
                <w:bCs/>
                <w:color w:val="FFFFFF"/>
                <w:lang w:eastAsia="en-GB"/>
              </w:rPr>
            </w:pPr>
            <w:r w:rsidRPr="00A638F8">
              <w:rPr>
                <w:rFonts w:ascii="Calibri" w:eastAsia="Times New Roman" w:hAnsi="Calibri" w:cs="Calibri"/>
                <w:b/>
                <w:bCs/>
                <w:color w:val="FFFFFF"/>
                <w:lang w:eastAsia="en-GB"/>
              </w:rPr>
              <w:t>Redbrick</w:t>
            </w:r>
          </w:p>
        </w:tc>
        <w:tc>
          <w:tcPr>
            <w:tcW w:w="2684" w:type="dxa"/>
            <w:tcBorders>
              <w:top w:val="nil"/>
              <w:left w:val="nil"/>
              <w:bottom w:val="single" w:sz="4" w:space="0" w:color="FFFFFF"/>
              <w:right w:val="single" w:sz="4" w:space="0" w:color="FFFFFF"/>
            </w:tcBorders>
            <w:shd w:val="clear" w:color="000000" w:fill="EFEAE6"/>
            <w:noWrap/>
            <w:vAlign w:val="bottom"/>
            <w:hideMark/>
          </w:tcPr>
          <w:p w14:paraId="5DA34A0D" w14:textId="77777777" w:rsidR="00A638F8" w:rsidRPr="00A638F8" w:rsidRDefault="00A638F8" w:rsidP="00A638F8">
            <w:pPr>
              <w:spacing w:after="0" w:line="240" w:lineRule="auto"/>
              <w:jc w:val="center"/>
              <w:rPr>
                <w:rFonts w:ascii="Calibri" w:eastAsia="Times New Roman" w:hAnsi="Calibri" w:cs="Calibri"/>
                <w:color w:val="000000"/>
                <w:lang w:eastAsia="en-GB"/>
              </w:rPr>
            </w:pPr>
            <w:r w:rsidRPr="00A638F8">
              <w:rPr>
                <w:rFonts w:ascii="Calibri" w:eastAsia="Times New Roman" w:hAnsi="Calibri" w:cs="Calibri"/>
                <w:color w:val="000000"/>
                <w:lang w:eastAsia="en-GB"/>
              </w:rPr>
              <w:t>51</w:t>
            </w:r>
          </w:p>
        </w:tc>
        <w:tc>
          <w:tcPr>
            <w:tcW w:w="2365" w:type="dxa"/>
            <w:tcBorders>
              <w:top w:val="nil"/>
              <w:left w:val="nil"/>
              <w:bottom w:val="single" w:sz="4" w:space="0" w:color="FFFFFF"/>
              <w:right w:val="single" w:sz="4" w:space="0" w:color="FFFFFF"/>
            </w:tcBorders>
            <w:shd w:val="clear" w:color="000000" w:fill="EFEAE6"/>
            <w:noWrap/>
            <w:vAlign w:val="bottom"/>
            <w:hideMark/>
          </w:tcPr>
          <w:p w14:paraId="5C5CC018" w14:textId="77777777" w:rsidR="00A638F8" w:rsidRPr="00A638F8" w:rsidRDefault="00A638F8" w:rsidP="00A638F8">
            <w:pPr>
              <w:spacing w:after="0" w:line="240" w:lineRule="auto"/>
              <w:jc w:val="center"/>
              <w:rPr>
                <w:rFonts w:ascii="Calibri" w:eastAsia="Times New Roman" w:hAnsi="Calibri" w:cs="Calibri"/>
                <w:color w:val="000000"/>
                <w:lang w:eastAsia="en-GB"/>
              </w:rPr>
            </w:pPr>
            <w:r w:rsidRPr="00A638F8">
              <w:rPr>
                <w:rFonts w:ascii="Calibri" w:eastAsia="Times New Roman" w:hAnsi="Calibri" w:cs="Calibri"/>
                <w:color w:val="000000"/>
                <w:lang w:eastAsia="en-GB"/>
              </w:rPr>
              <w:t>49</w:t>
            </w:r>
          </w:p>
        </w:tc>
        <w:tc>
          <w:tcPr>
            <w:tcW w:w="293" w:type="dxa"/>
            <w:tcBorders>
              <w:top w:val="nil"/>
              <w:left w:val="nil"/>
              <w:bottom w:val="nil"/>
              <w:right w:val="nil"/>
            </w:tcBorders>
            <w:shd w:val="clear" w:color="auto" w:fill="auto"/>
            <w:noWrap/>
            <w:vAlign w:val="bottom"/>
            <w:hideMark/>
          </w:tcPr>
          <w:p w14:paraId="6D423DB8" w14:textId="77777777" w:rsidR="00A638F8" w:rsidRPr="00A638F8" w:rsidRDefault="00A638F8" w:rsidP="00A638F8">
            <w:pPr>
              <w:spacing w:after="0" w:line="240" w:lineRule="auto"/>
              <w:jc w:val="center"/>
              <w:rPr>
                <w:rFonts w:ascii="Calibri" w:eastAsia="Times New Roman" w:hAnsi="Calibri" w:cs="Calibri"/>
                <w:color w:val="000000"/>
                <w:lang w:eastAsia="en-GB"/>
              </w:rPr>
            </w:pPr>
          </w:p>
        </w:tc>
        <w:tc>
          <w:tcPr>
            <w:tcW w:w="293" w:type="dxa"/>
            <w:tcBorders>
              <w:top w:val="nil"/>
              <w:left w:val="nil"/>
              <w:bottom w:val="nil"/>
              <w:right w:val="nil"/>
            </w:tcBorders>
            <w:shd w:val="clear" w:color="auto" w:fill="auto"/>
            <w:noWrap/>
            <w:vAlign w:val="bottom"/>
            <w:hideMark/>
          </w:tcPr>
          <w:p w14:paraId="2146B65B" w14:textId="77777777" w:rsidR="00A638F8" w:rsidRPr="00A638F8" w:rsidRDefault="00A638F8" w:rsidP="00A638F8">
            <w:pPr>
              <w:spacing w:after="0" w:line="240" w:lineRule="auto"/>
              <w:rPr>
                <w:rFonts w:ascii="Times New Roman" w:eastAsia="Times New Roman" w:hAnsi="Times New Roman" w:cs="Times New Roman"/>
                <w:sz w:val="20"/>
                <w:szCs w:val="20"/>
                <w:lang w:eastAsia="en-GB"/>
              </w:rPr>
            </w:pPr>
          </w:p>
        </w:tc>
      </w:tr>
      <w:tr w:rsidR="00A638F8" w:rsidRPr="00A638F8" w14:paraId="107F0899" w14:textId="77777777" w:rsidTr="00E25B46">
        <w:trPr>
          <w:trHeight w:val="318"/>
        </w:trPr>
        <w:tc>
          <w:tcPr>
            <w:tcW w:w="3406" w:type="dxa"/>
            <w:tcBorders>
              <w:top w:val="nil"/>
              <w:left w:val="single" w:sz="4" w:space="0" w:color="FFFFFF"/>
              <w:bottom w:val="single" w:sz="4" w:space="0" w:color="FFFFFF"/>
              <w:right w:val="single" w:sz="4" w:space="0" w:color="FFFFFF"/>
            </w:tcBorders>
            <w:shd w:val="clear" w:color="000000" w:fill="49723B"/>
            <w:noWrap/>
            <w:vAlign w:val="bottom"/>
            <w:hideMark/>
          </w:tcPr>
          <w:p w14:paraId="7B427E79" w14:textId="77777777" w:rsidR="00A638F8" w:rsidRPr="00A638F8" w:rsidRDefault="00A638F8" w:rsidP="00A638F8">
            <w:pPr>
              <w:spacing w:after="0" w:line="240" w:lineRule="auto"/>
              <w:jc w:val="center"/>
              <w:rPr>
                <w:rFonts w:ascii="Calibri" w:eastAsia="Times New Roman" w:hAnsi="Calibri" w:cs="Calibri"/>
                <w:b/>
                <w:bCs/>
                <w:color w:val="FFFFFF"/>
                <w:lang w:eastAsia="en-GB"/>
              </w:rPr>
            </w:pPr>
            <w:r w:rsidRPr="00A638F8">
              <w:rPr>
                <w:rFonts w:ascii="Calibri" w:eastAsia="Times New Roman" w:hAnsi="Calibri" w:cs="Calibri"/>
                <w:b/>
                <w:bCs/>
                <w:color w:val="FFFFFF"/>
                <w:lang w:eastAsia="en-GB"/>
              </w:rPr>
              <w:t>Plate</w:t>
            </w:r>
            <w:r>
              <w:rPr>
                <w:rFonts w:ascii="Calibri" w:eastAsia="Times New Roman" w:hAnsi="Calibri" w:cs="Calibri"/>
                <w:b/>
                <w:bCs/>
                <w:color w:val="FFFFFF"/>
                <w:lang w:eastAsia="en-GB"/>
              </w:rPr>
              <w:t xml:space="preserve"> </w:t>
            </w:r>
            <w:r w:rsidRPr="00A638F8">
              <w:rPr>
                <w:rFonts w:ascii="Calibri" w:eastAsia="Times New Roman" w:hAnsi="Calibri" w:cs="Calibri"/>
                <w:b/>
                <w:bCs/>
                <w:color w:val="FFFFFF"/>
                <w:lang w:eastAsia="en-GB"/>
              </w:rPr>
              <w:t>glass</w:t>
            </w:r>
          </w:p>
        </w:tc>
        <w:tc>
          <w:tcPr>
            <w:tcW w:w="2684" w:type="dxa"/>
            <w:tcBorders>
              <w:top w:val="nil"/>
              <w:left w:val="nil"/>
              <w:bottom w:val="single" w:sz="4" w:space="0" w:color="FFFFFF"/>
              <w:right w:val="single" w:sz="4" w:space="0" w:color="FFFFFF"/>
            </w:tcBorders>
            <w:shd w:val="clear" w:color="000000" w:fill="EFEAE6"/>
            <w:noWrap/>
            <w:vAlign w:val="bottom"/>
            <w:hideMark/>
          </w:tcPr>
          <w:p w14:paraId="40FAE251" w14:textId="77777777" w:rsidR="00A638F8" w:rsidRPr="00A638F8" w:rsidRDefault="00A638F8" w:rsidP="00A638F8">
            <w:pPr>
              <w:spacing w:after="0" w:line="240" w:lineRule="auto"/>
              <w:jc w:val="center"/>
              <w:rPr>
                <w:rFonts w:ascii="Calibri" w:eastAsia="Times New Roman" w:hAnsi="Calibri" w:cs="Calibri"/>
                <w:color w:val="000000"/>
                <w:lang w:eastAsia="en-GB"/>
              </w:rPr>
            </w:pPr>
            <w:r w:rsidRPr="00A638F8">
              <w:rPr>
                <w:rFonts w:ascii="Calibri" w:eastAsia="Times New Roman" w:hAnsi="Calibri" w:cs="Calibri"/>
                <w:color w:val="000000"/>
                <w:lang w:eastAsia="en-GB"/>
              </w:rPr>
              <w:t>58</w:t>
            </w:r>
          </w:p>
        </w:tc>
        <w:tc>
          <w:tcPr>
            <w:tcW w:w="2365" w:type="dxa"/>
            <w:tcBorders>
              <w:top w:val="nil"/>
              <w:left w:val="nil"/>
              <w:bottom w:val="single" w:sz="4" w:space="0" w:color="FFFFFF"/>
              <w:right w:val="single" w:sz="4" w:space="0" w:color="FFFFFF"/>
            </w:tcBorders>
            <w:shd w:val="clear" w:color="000000" w:fill="EFEAE6"/>
            <w:noWrap/>
            <w:vAlign w:val="bottom"/>
            <w:hideMark/>
          </w:tcPr>
          <w:p w14:paraId="73C908BA" w14:textId="77777777" w:rsidR="00A638F8" w:rsidRPr="00A638F8" w:rsidRDefault="00A638F8" w:rsidP="00A638F8">
            <w:pPr>
              <w:spacing w:after="0" w:line="240" w:lineRule="auto"/>
              <w:jc w:val="center"/>
              <w:rPr>
                <w:rFonts w:ascii="Calibri" w:eastAsia="Times New Roman" w:hAnsi="Calibri" w:cs="Calibri"/>
                <w:color w:val="000000"/>
                <w:lang w:eastAsia="en-GB"/>
              </w:rPr>
            </w:pPr>
            <w:r w:rsidRPr="00A638F8">
              <w:rPr>
                <w:rFonts w:ascii="Calibri" w:eastAsia="Times New Roman" w:hAnsi="Calibri" w:cs="Calibri"/>
                <w:color w:val="000000"/>
                <w:lang w:eastAsia="en-GB"/>
              </w:rPr>
              <w:t>42</w:t>
            </w:r>
          </w:p>
        </w:tc>
        <w:tc>
          <w:tcPr>
            <w:tcW w:w="293" w:type="dxa"/>
            <w:tcBorders>
              <w:top w:val="nil"/>
              <w:left w:val="nil"/>
              <w:bottom w:val="nil"/>
              <w:right w:val="nil"/>
            </w:tcBorders>
            <w:shd w:val="clear" w:color="auto" w:fill="auto"/>
            <w:noWrap/>
            <w:vAlign w:val="bottom"/>
            <w:hideMark/>
          </w:tcPr>
          <w:p w14:paraId="0260B678" w14:textId="77777777" w:rsidR="00A638F8" w:rsidRPr="00A638F8" w:rsidRDefault="00A638F8" w:rsidP="00A638F8">
            <w:pPr>
              <w:spacing w:after="0" w:line="240" w:lineRule="auto"/>
              <w:jc w:val="center"/>
              <w:rPr>
                <w:rFonts w:ascii="Calibri" w:eastAsia="Times New Roman" w:hAnsi="Calibri" w:cs="Calibri"/>
                <w:color w:val="000000"/>
                <w:lang w:eastAsia="en-GB"/>
              </w:rPr>
            </w:pPr>
          </w:p>
        </w:tc>
        <w:tc>
          <w:tcPr>
            <w:tcW w:w="293" w:type="dxa"/>
            <w:tcBorders>
              <w:top w:val="nil"/>
              <w:left w:val="nil"/>
              <w:bottom w:val="nil"/>
              <w:right w:val="nil"/>
            </w:tcBorders>
            <w:shd w:val="clear" w:color="auto" w:fill="auto"/>
            <w:noWrap/>
            <w:vAlign w:val="bottom"/>
            <w:hideMark/>
          </w:tcPr>
          <w:p w14:paraId="5344C67A" w14:textId="77777777" w:rsidR="00A638F8" w:rsidRPr="00A638F8" w:rsidRDefault="00A638F8" w:rsidP="00A638F8">
            <w:pPr>
              <w:spacing w:after="0" w:line="240" w:lineRule="auto"/>
              <w:rPr>
                <w:rFonts w:ascii="Times New Roman" w:eastAsia="Times New Roman" w:hAnsi="Times New Roman" w:cs="Times New Roman"/>
                <w:sz w:val="20"/>
                <w:szCs w:val="20"/>
                <w:lang w:eastAsia="en-GB"/>
              </w:rPr>
            </w:pPr>
          </w:p>
        </w:tc>
      </w:tr>
      <w:tr w:rsidR="00A638F8" w:rsidRPr="00A638F8" w14:paraId="4BAF1305" w14:textId="77777777" w:rsidTr="00E25B46">
        <w:trPr>
          <w:trHeight w:val="318"/>
        </w:trPr>
        <w:tc>
          <w:tcPr>
            <w:tcW w:w="3406" w:type="dxa"/>
            <w:tcBorders>
              <w:top w:val="nil"/>
              <w:left w:val="single" w:sz="4" w:space="0" w:color="FFFFFF"/>
              <w:bottom w:val="single" w:sz="4" w:space="0" w:color="FFFFFF"/>
              <w:right w:val="single" w:sz="4" w:space="0" w:color="FFFFFF"/>
            </w:tcBorders>
            <w:shd w:val="clear" w:color="000000" w:fill="49723B"/>
            <w:noWrap/>
            <w:vAlign w:val="bottom"/>
            <w:hideMark/>
          </w:tcPr>
          <w:p w14:paraId="74798AA1" w14:textId="77777777" w:rsidR="00A638F8" w:rsidRPr="00A638F8" w:rsidRDefault="00A638F8" w:rsidP="00A638F8">
            <w:pPr>
              <w:spacing w:after="0" w:line="240" w:lineRule="auto"/>
              <w:jc w:val="center"/>
              <w:rPr>
                <w:rFonts w:ascii="Calibri" w:eastAsia="Times New Roman" w:hAnsi="Calibri" w:cs="Calibri"/>
                <w:b/>
                <w:bCs/>
                <w:color w:val="FFFFFF"/>
                <w:lang w:eastAsia="en-GB"/>
              </w:rPr>
            </w:pPr>
            <w:r w:rsidRPr="00A638F8">
              <w:rPr>
                <w:rFonts w:ascii="Calibri" w:eastAsia="Times New Roman" w:hAnsi="Calibri" w:cs="Calibri"/>
                <w:b/>
                <w:bCs/>
                <w:color w:val="FFFFFF"/>
                <w:lang w:eastAsia="en-GB"/>
              </w:rPr>
              <w:t>Ex-polytechnic</w:t>
            </w:r>
          </w:p>
        </w:tc>
        <w:tc>
          <w:tcPr>
            <w:tcW w:w="2684" w:type="dxa"/>
            <w:tcBorders>
              <w:top w:val="nil"/>
              <w:left w:val="nil"/>
              <w:bottom w:val="single" w:sz="4" w:space="0" w:color="FFFFFF"/>
              <w:right w:val="single" w:sz="4" w:space="0" w:color="FFFFFF"/>
            </w:tcBorders>
            <w:shd w:val="clear" w:color="000000" w:fill="EFEAE6"/>
            <w:noWrap/>
            <w:vAlign w:val="bottom"/>
            <w:hideMark/>
          </w:tcPr>
          <w:p w14:paraId="75C83367" w14:textId="77777777" w:rsidR="00A638F8" w:rsidRPr="00A638F8" w:rsidRDefault="00A638F8" w:rsidP="00A638F8">
            <w:pPr>
              <w:spacing w:after="0" w:line="240" w:lineRule="auto"/>
              <w:jc w:val="center"/>
              <w:rPr>
                <w:rFonts w:ascii="Calibri" w:eastAsia="Times New Roman" w:hAnsi="Calibri" w:cs="Calibri"/>
                <w:color w:val="000000"/>
                <w:lang w:eastAsia="en-GB"/>
              </w:rPr>
            </w:pPr>
            <w:r w:rsidRPr="00A638F8">
              <w:rPr>
                <w:rFonts w:ascii="Calibri" w:eastAsia="Times New Roman" w:hAnsi="Calibri" w:cs="Calibri"/>
                <w:color w:val="000000"/>
                <w:lang w:eastAsia="en-GB"/>
              </w:rPr>
              <w:t>76</w:t>
            </w:r>
          </w:p>
        </w:tc>
        <w:tc>
          <w:tcPr>
            <w:tcW w:w="2365" w:type="dxa"/>
            <w:tcBorders>
              <w:top w:val="nil"/>
              <w:left w:val="nil"/>
              <w:bottom w:val="single" w:sz="4" w:space="0" w:color="FFFFFF"/>
              <w:right w:val="single" w:sz="4" w:space="0" w:color="FFFFFF"/>
            </w:tcBorders>
            <w:shd w:val="clear" w:color="000000" w:fill="EFEAE6"/>
            <w:noWrap/>
            <w:vAlign w:val="bottom"/>
            <w:hideMark/>
          </w:tcPr>
          <w:p w14:paraId="1C68EC6F" w14:textId="77777777" w:rsidR="00A638F8" w:rsidRPr="00A638F8" w:rsidRDefault="00A638F8" w:rsidP="00A638F8">
            <w:pPr>
              <w:spacing w:after="0" w:line="240" w:lineRule="auto"/>
              <w:jc w:val="center"/>
              <w:rPr>
                <w:rFonts w:ascii="Calibri" w:eastAsia="Times New Roman" w:hAnsi="Calibri" w:cs="Calibri"/>
                <w:color w:val="000000"/>
                <w:lang w:eastAsia="en-GB"/>
              </w:rPr>
            </w:pPr>
            <w:r w:rsidRPr="00A638F8">
              <w:rPr>
                <w:rFonts w:ascii="Calibri" w:eastAsia="Times New Roman" w:hAnsi="Calibri" w:cs="Calibri"/>
                <w:color w:val="000000"/>
                <w:lang w:eastAsia="en-GB"/>
              </w:rPr>
              <w:t>24</w:t>
            </w:r>
          </w:p>
        </w:tc>
        <w:tc>
          <w:tcPr>
            <w:tcW w:w="293" w:type="dxa"/>
            <w:tcBorders>
              <w:top w:val="nil"/>
              <w:left w:val="nil"/>
              <w:bottom w:val="nil"/>
              <w:right w:val="nil"/>
            </w:tcBorders>
            <w:shd w:val="clear" w:color="auto" w:fill="auto"/>
            <w:noWrap/>
            <w:vAlign w:val="bottom"/>
            <w:hideMark/>
          </w:tcPr>
          <w:p w14:paraId="0043151A" w14:textId="77777777" w:rsidR="00A638F8" w:rsidRPr="00A638F8" w:rsidRDefault="00A638F8" w:rsidP="00A638F8">
            <w:pPr>
              <w:spacing w:after="0" w:line="240" w:lineRule="auto"/>
              <w:jc w:val="center"/>
              <w:rPr>
                <w:rFonts w:ascii="Calibri" w:eastAsia="Times New Roman" w:hAnsi="Calibri" w:cs="Calibri"/>
                <w:color w:val="000000"/>
                <w:lang w:eastAsia="en-GB"/>
              </w:rPr>
            </w:pPr>
          </w:p>
        </w:tc>
        <w:tc>
          <w:tcPr>
            <w:tcW w:w="293" w:type="dxa"/>
            <w:tcBorders>
              <w:top w:val="nil"/>
              <w:left w:val="nil"/>
              <w:bottom w:val="nil"/>
              <w:right w:val="nil"/>
            </w:tcBorders>
            <w:shd w:val="clear" w:color="auto" w:fill="auto"/>
            <w:noWrap/>
            <w:vAlign w:val="bottom"/>
            <w:hideMark/>
          </w:tcPr>
          <w:p w14:paraId="288D3175" w14:textId="77777777" w:rsidR="00A638F8" w:rsidRPr="00A638F8" w:rsidRDefault="00A638F8" w:rsidP="00A638F8">
            <w:pPr>
              <w:spacing w:after="0" w:line="240" w:lineRule="auto"/>
              <w:rPr>
                <w:rFonts w:ascii="Times New Roman" w:eastAsia="Times New Roman" w:hAnsi="Times New Roman" w:cs="Times New Roman"/>
                <w:sz w:val="20"/>
                <w:szCs w:val="20"/>
                <w:lang w:eastAsia="en-GB"/>
              </w:rPr>
            </w:pPr>
          </w:p>
        </w:tc>
      </w:tr>
    </w:tbl>
    <w:p w14:paraId="167993EA" w14:textId="77777777" w:rsidR="00C7492C" w:rsidRPr="00E41C69" w:rsidRDefault="00C7492C" w:rsidP="00E114E2">
      <w:pPr>
        <w:jc w:val="both"/>
        <w:rPr>
          <w:rFonts w:cstheme="minorHAnsi"/>
          <w:sz w:val="28"/>
          <w:szCs w:val="28"/>
        </w:rPr>
      </w:pPr>
    </w:p>
    <w:p w14:paraId="512C3D77" w14:textId="77777777" w:rsidR="00EA2114" w:rsidRPr="00E41C69" w:rsidRDefault="003875F7" w:rsidP="00E114E2">
      <w:pPr>
        <w:jc w:val="both"/>
        <w:rPr>
          <w:rFonts w:cstheme="minorHAnsi"/>
          <w:sz w:val="28"/>
          <w:szCs w:val="28"/>
        </w:rPr>
      </w:pPr>
      <w:r w:rsidRPr="00E41C69">
        <w:rPr>
          <w:rFonts w:cstheme="minorHAnsi"/>
          <w:sz w:val="28"/>
          <w:szCs w:val="28"/>
        </w:rPr>
        <w:t>HESA does not collect information on the subjects studied by offshore students.</w:t>
      </w:r>
      <w:r w:rsidR="00036FBF" w:rsidRPr="00E41C69">
        <w:rPr>
          <w:rFonts w:cstheme="minorHAnsi"/>
          <w:sz w:val="28"/>
          <w:szCs w:val="28"/>
        </w:rPr>
        <w:t xml:space="preserve"> However, a </w:t>
      </w:r>
      <w:r w:rsidR="006A39B2" w:rsidRPr="00E41C69">
        <w:rPr>
          <w:rFonts w:cstheme="minorHAnsi"/>
          <w:sz w:val="28"/>
          <w:szCs w:val="28"/>
        </w:rPr>
        <w:t>2015 British Council TNE surv</w:t>
      </w:r>
      <w:r w:rsidR="002A607F">
        <w:rPr>
          <w:rFonts w:cstheme="minorHAnsi"/>
          <w:sz w:val="28"/>
          <w:szCs w:val="28"/>
        </w:rPr>
        <w:t>ey which did collect this information s</w:t>
      </w:r>
      <w:r w:rsidR="006A39B2" w:rsidRPr="00E41C69">
        <w:rPr>
          <w:rFonts w:cstheme="minorHAnsi"/>
          <w:sz w:val="28"/>
          <w:szCs w:val="28"/>
        </w:rPr>
        <w:t>hows that offshore provision continues to be dominated by three subject areas namely business, finance and computing.</w:t>
      </w:r>
      <w:r w:rsidR="00C7492C" w:rsidRPr="00E41C69">
        <w:rPr>
          <w:rFonts w:cstheme="minorHAnsi"/>
          <w:sz w:val="28"/>
          <w:szCs w:val="28"/>
        </w:rPr>
        <w:t xml:space="preserve"> The difficulty of being able to expand offshore enrolments</w:t>
      </w:r>
      <w:r w:rsidR="002A607F">
        <w:rPr>
          <w:rFonts w:cstheme="minorHAnsi"/>
          <w:sz w:val="28"/>
          <w:szCs w:val="28"/>
        </w:rPr>
        <w:t xml:space="preserve"> into other major subject areas will continue to constrain</w:t>
      </w:r>
      <w:r w:rsidR="00C7492C" w:rsidRPr="00E41C69">
        <w:rPr>
          <w:rFonts w:cstheme="minorHAnsi"/>
          <w:sz w:val="28"/>
          <w:szCs w:val="28"/>
        </w:rPr>
        <w:t xml:space="preserve"> the future growth of offshore provision.</w:t>
      </w:r>
    </w:p>
    <w:p w14:paraId="6D2482FD" w14:textId="5D2BBC87" w:rsidR="003D5B9C" w:rsidRPr="00E41C69" w:rsidRDefault="00045343" w:rsidP="009137B4">
      <w:pPr>
        <w:pStyle w:val="Heading2"/>
      </w:pPr>
      <w:bookmarkStart w:id="16" w:name="_Toc531957312"/>
      <w:r>
        <w:t>4</w:t>
      </w:r>
      <w:r w:rsidR="00A40FB6" w:rsidRPr="00E41C69">
        <w:t>.5</w:t>
      </w:r>
      <w:r w:rsidR="00A52EB0" w:rsidRPr="00E41C69">
        <w:t xml:space="preserve"> </w:t>
      </w:r>
      <w:r w:rsidR="00411E79" w:rsidRPr="00E41C69">
        <w:t xml:space="preserve">OVERSEAS </w:t>
      </w:r>
      <w:r w:rsidR="00AF34C7" w:rsidRPr="00E41C69">
        <w:t>DISTANCE LEARNING</w:t>
      </w:r>
      <w:bookmarkEnd w:id="16"/>
    </w:p>
    <w:p w14:paraId="19ACF889" w14:textId="77777777" w:rsidR="001F62C5" w:rsidRDefault="001F62C5" w:rsidP="00E114E2">
      <w:pPr>
        <w:jc w:val="both"/>
        <w:rPr>
          <w:rFonts w:cstheme="minorHAnsi"/>
          <w:b/>
          <w:sz w:val="28"/>
          <w:szCs w:val="28"/>
        </w:rPr>
      </w:pPr>
      <w:r>
        <w:rPr>
          <w:rFonts w:cstheme="minorHAnsi"/>
          <w:b/>
          <w:sz w:val="28"/>
          <w:szCs w:val="28"/>
        </w:rPr>
        <w:t xml:space="preserve">4.5.1 </w:t>
      </w:r>
      <w:r w:rsidR="001806C6" w:rsidRPr="00E41C69">
        <w:rPr>
          <w:rFonts w:cstheme="minorHAnsi"/>
          <w:b/>
          <w:sz w:val="28"/>
          <w:szCs w:val="28"/>
        </w:rPr>
        <w:t xml:space="preserve">Nature of </w:t>
      </w:r>
      <w:r w:rsidR="00E10A1C" w:rsidRPr="00E41C69">
        <w:rPr>
          <w:rFonts w:cstheme="minorHAnsi"/>
          <w:b/>
          <w:sz w:val="28"/>
          <w:szCs w:val="28"/>
        </w:rPr>
        <w:t>provision</w:t>
      </w:r>
    </w:p>
    <w:p w14:paraId="2CC225B0" w14:textId="1BC75E7D" w:rsidR="001806C6" w:rsidRPr="00E41C69" w:rsidRDefault="00E10A1C" w:rsidP="00E114E2">
      <w:pPr>
        <w:jc w:val="both"/>
        <w:rPr>
          <w:rFonts w:cstheme="minorHAnsi"/>
          <w:b/>
          <w:sz w:val="28"/>
          <w:szCs w:val="28"/>
        </w:rPr>
      </w:pPr>
      <w:r w:rsidRPr="00E41C69">
        <w:rPr>
          <w:rFonts w:cstheme="minorHAnsi"/>
          <w:sz w:val="28"/>
          <w:szCs w:val="28"/>
        </w:rPr>
        <w:t>The provision of distance learning courses tends to be global in scope (</w:t>
      </w:r>
      <w:r w:rsidR="001806C6" w:rsidRPr="00E41C69">
        <w:rPr>
          <w:rFonts w:cstheme="minorHAnsi"/>
          <w:sz w:val="28"/>
          <w:szCs w:val="28"/>
        </w:rPr>
        <w:t>as opposed to national</w:t>
      </w:r>
      <w:r w:rsidRPr="00E41C69">
        <w:rPr>
          <w:rFonts w:cstheme="minorHAnsi"/>
          <w:sz w:val="28"/>
          <w:szCs w:val="28"/>
        </w:rPr>
        <w:t>) since the same curriculum and delivery modes are followed regardless of location</w:t>
      </w:r>
      <w:r w:rsidR="00041EB4" w:rsidRPr="00E41C69">
        <w:rPr>
          <w:rFonts w:cstheme="minorHAnsi"/>
          <w:sz w:val="28"/>
          <w:szCs w:val="28"/>
        </w:rPr>
        <w:t>.</w:t>
      </w:r>
      <w:r w:rsidRPr="00E41C69">
        <w:rPr>
          <w:rFonts w:cstheme="minorHAnsi"/>
          <w:sz w:val="28"/>
          <w:szCs w:val="28"/>
        </w:rPr>
        <w:t xml:space="preserve"> This offers the potential for significant economies of scale especially since the often quite large fixed costs of course development can be spread across large numbers of both UK and overseas students. </w:t>
      </w:r>
      <w:r w:rsidR="00041EB4" w:rsidRPr="00E41C69">
        <w:rPr>
          <w:rFonts w:cstheme="minorHAnsi"/>
          <w:sz w:val="28"/>
          <w:szCs w:val="28"/>
        </w:rPr>
        <w:t xml:space="preserve"> </w:t>
      </w:r>
    </w:p>
    <w:p w14:paraId="2F2C9B7E" w14:textId="7A3DDAC9" w:rsidR="00E10A1C" w:rsidRDefault="00B92359" w:rsidP="00E114E2">
      <w:pPr>
        <w:jc w:val="both"/>
        <w:rPr>
          <w:rFonts w:cstheme="minorHAnsi"/>
          <w:sz w:val="28"/>
          <w:szCs w:val="28"/>
        </w:rPr>
      </w:pPr>
      <w:r w:rsidRPr="00E41C69">
        <w:rPr>
          <w:rFonts w:cstheme="minorHAnsi"/>
          <w:sz w:val="28"/>
          <w:szCs w:val="28"/>
        </w:rPr>
        <w:t xml:space="preserve">Traditionally, overseas distance learning </w:t>
      </w:r>
      <w:r w:rsidR="00411E79" w:rsidRPr="00E41C69">
        <w:rPr>
          <w:rFonts w:cstheme="minorHAnsi"/>
          <w:sz w:val="28"/>
          <w:szCs w:val="28"/>
        </w:rPr>
        <w:t xml:space="preserve">(ODL) </w:t>
      </w:r>
      <w:r w:rsidRPr="00E41C69">
        <w:rPr>
          <w:rFonts w:cstheme="minorHAnsi"/>
          <w:sz w:val="28"/>
          <w:szCs w:val="28"/>
        </w:rPr>
        <w:t>courses were, in the absence of other learning technologies, paper-based with limited face-to-face tutorial support</w:t>
      </w:r>
      <w:r w:rsidR="00513882">
        <w:rPr>
          <w:rFonts w:cstheme="minorHAnsi"/>
          <w:sz w:val="28"/>
          <w:szCs w:val="28"/>
        </w:rPr>
        <w:t xml:space="preserve"> (i.e</w:t>
      </w:r>
      <w:r w:rsidRPr="00E41C69">
        <w:rPr>
          <w:rFonts w:cstheme="minorHAnsi"/>
          <w:sz w:val="28"/>
          <w:szCs w:val="28"/>
        </w:rPr>
        <w:t>.</w:t>
      </w:r>
      <w:r w:rsidR="00513882">
        <w:rPr>
          <w:rFonts w:cstheme="minorHAnsi"/>
          <w:sz w:val="28"/>
          <w:szCs w:val="28"/>
        </w:rPr>
        <w:t xml:space="preserve"> low course intensity).</w:t>
      </w:r>
      <w:r w:rsidRPr="00E41C69">
        <w:rPr>
          <w:rFonts w:cstheme="minorHAnsi"/>
          <w:sz w:val="28"/>
          <w:szCs w:val="28"/>
        </w:rPr>
        <w:t xml:space="preserve"> Course fees were </w:t>
      </w:r>
      <w:r w:rsidR="00513882">
        <w:rPr>
          <w:rFonts w:cstheme="minorHAnsi"/>
          <w:sz w:val="28"/>
          <w:szCs w:val="28"/>
        </w:rPr>
        <w:t>g</w:t>
      </w:r>
      <w:r w:rsidRPr="00E41C69">
        <w:rPr>
          <w:rFonts w:cstheme="minorHAnsi"/>
          <w:sz w:val="28"/>
          <w:szCs w:val="28"/>
        </w:rPr>
        <w:t>enerally low</w:t>
      </w:r>
      <w:r w:rsidR="00036FBF" w:rsidRPr="00E41C69">
        <w:rPr>
          <w:rFonts w:cstheme="minorHAnsi"/>
          <w:sz w:val="28"/>
          <w:szCs w:val="28"/>
        </w:rPr>
        <w:t xml:space="preserve"> as were student c</w:t>
      </w:r>
      <w:r w:rsidRPr="00E41C69">
        <w:rPr>
          <w:rFonts w:cstheme="minorHAnsi"/>
          <w:sz w:val="28"/>
          <w:szCs w:val="28"/>
        </w:rPr>
        <w:t xml:space="preserve">ompletion rates. </w:t>
      </w:r>
      <w:r w:rsidR="00ED08D5" w:rsidRPr="00E41C69">
        <w:rPr>
          <w:rFonts w:cstheme="minorHAnsi"/>
          <w:sz w:val="28"/>
          <w:szCs w:val="28"/>
        </w:rPr>
        <w:t xml:space="preserve">While </w:t>
      </w:r>
      <w:r w:rsidRPr="00E41C69">
        <w:rPr>
          <w:rFonts w:cstheme="minorHAnsi"/>
          <w:sz w:val="28"/>
          <w:szCs w:val="28"/>
        </w:rPr>
        <w:t xml:space="preserve">the advent of </w:t>
      </w:r>
      <w:r w:rsidR="00ED08D5" w:rsidRPr="00E41C69">
        <w:rPr>
          <w:rFonts w:cstheme="minorHAnsi"/>
          <w:sz w:val="28"/>
          <w:szCs w:val="28"/>
        </w:rPr>
        <w:t xml:space="preserve">new on-line distance learning modalities </w:t>
      </w:r>
      <w:r w:rsidRPr="00E41C69">
        <w:rPr>
          <w:rFonts w:cstheme="minorHAnsi"/>
          <w:sz w:val="28"/>
          <w:szCs w:val="28"/>
        </w:rPr>
        <w:t xml:space="preserve">can undoubtedly transform </w:t>
      </w:r>
      <w:r w:rsidR="00ED08D5" w:rsidRPr="00E41C69">
        <w:rPr>
          <w:rFonts w:cstheme="minorHAnsi"/>
          <w:sz w:val="28"/>
          <w:szCs w:val="28"/>
        </w:rPr>
        <w:t xml:space="preserve">the nature and overall quality of the learning process as well the scale of provision, the complexity and costs of developing courses utilising these new technologies pose a major barrier to entry for all but the largest </w:t>
      </w:r>
      <w:r w:rsidR="0063698D" w:rsidRPr="00E41C69">
        <w:rPr>
          <w:rFonts w:cstheme="minorHAnsi"/>
          <w:sz w:val="28"/>
          <w:szCs w:val="28"/>
        </w:rPr>
        <w:t xml:space="preserve">and most committed </w:t>
      </w:r>
      <w:r w:rsidR="00411E79" w:rsidRPr="00E41C69">
        <w:rPr>
          <w:rFonts w:cstheme="minorHAnsi"/>
          <w:sz w:val="28"/>
          <w:szCs w:val="28"/>
        </w:rPr>
        <w:t xml:space="preserve">distance learning </w:t>
      </w:r>
      <w:r w:rsidR="00ED08D5" w:rsidRPr="00E41C69">
        <w:rPr>
          <w:rFonts w:cstheme="minorHAnsi"/>
          <w:sz w:val="28"/>
          <w:szCs w:val="28"/>
        </w:rPr>
        <w:t xml:space="preserve">providers. It is </w:t>
      </w:r>
      <w:r w:rsidR="00411E79" w:rsidRPr="00E41C69">
        <w:rPr>
          <w:rFonts w:cstheme="minorHAnsi"/>
          <w:sz w:val="28"/>
          <w:szCs w:val="28"/>
        </w:rPr>
        <w:t xml:space="preserve">probably </w:t>
      </w:r>
      <w:r w:rsidR="00ED08D5" w:rsidRPr="00E41C69">
        <w:rPr>
          <w:rFonts w:cstheme="minorHAnsi"/>
          <w:sz w:val="28"/>
          <w:szCs w:val="28"/>
        </w:rPr>
        <w:t>mainly for this reason t</w:t>
      </w:r>
      <w:r w:rsidR="00411E79" w:rsidRPr="00E41C69">
        <w:rPr>
          <w:rFonts w:cstheme="minorHAnsi"/>
          <w:sz w:val="28"/>
          <w:szCs w:val="28"/>
        </w:rPr>
        <w:t xml:space="preserve">hat, as noted earlier, ODL </w:t>
      </w:r>
      <w:r w:rsidR="00ED08D5" w:rsidRPr="00E41C69">
        <w:rPr>
          <w:rFonts w:cstheme="minorHAnsi"/>
          <w:sz w:val="28"/>
          <w:szCs w:val="28"/>
        </w:rPr>
        <w:t xml:space="preserve">enrolments at </w:t>
      </w:r>
      <w:r w:rsidR="00F56B69" w:rsidRPr="00E41C69">
        <w:rPr>
          <w:rFonts w:cstheme="minorHAnsi"/>
          <w:sz w:val="28"/>
          <w:szCs w:val="28"/>
        </w:rPr>
        <w:t xml:space="preserve">UK universities have not grown appreciably over the last decade. The growing availability of in-country face-to-face FVA </w:t>
      </w:r>
      <w:r w:rsidR="00411E79" w:rsidRPr="00E41C69">
        <w:rPr>
          <w:rFonts w:cstheme="minorHAnsi"/>
          <w:sz w:val="28"/>
          <w:szCs w:val="28"/>
        </w:rPr>
        <w:t xml:space="preserve">offshore </w:t>
      </w:r>
      <w:r w:rsidR="00F56B69" w:rsidRPr="00E41C69">
        <w:rPr>
          <w:rFonts w:cstheme="minorHAnsi"/>
          <w:sz w:val="28"/>
          <w:szCs w:val="28"/>
        </w:rPr>
        <w:t xml:space="preserve">courses </w:t>
      </w:r>
      <w:r w:rsidR="00A9557B">
        <w:rPr>
          <w:rFonts w:cstheme="minorHAnsi"/>
          <w:sz w:val="28"/>
          <w:szCs w:val="28"/>
        </w:rPr>
        <w:t xml:space="preserve">at overseas partners </w:t>
      </w:r>
      <w:r w:rsidR="00F56B69" w:rsidRPr="00E41C69">
        <w:rPr>
          <w:rFonts w:cstheme="minorHAnsi"/>
          <w:sz w:val="28"/>
          <w:szCs w:val="28"/>
        </w:rPr>
        <w:t xml:space="preserve">is also likely to </w:t>
      </w:r>
      <w:r w:rsidR="00A9557B">
        <w:rPr>
          <w:rFonts w:cstheme="minorHAnsi"/>
          <w:sz w:val="28"/>
          <w:szCs w:val="28"/>
        </w:rPr>
        <w:t xml:space="preserve">have </w:t>
      </w:r>
      <w:r w:rsidR="0063698D" w:rsidRPr="00E41C69">
        <w:rPr>
          <w:rFonts w:cstheme="minorHAnsi"/>
          <w:sz w:val="28"/>
          <w:szCs w:val="28"/>
        </w:rPr>
        <w:t xml:space="preserve">dampened demand for </w:t>
      </w:r>
      <w:r w:rsidR="00411E79" w:rsidRPr="00E41C69">
        <w:rPr>
          <w:rFonts w:cstheme="minorHAnsi"/>
          <w:sz w:val="28"/>
          <w:szCs w:val="28"/>
        </w:rPr>
        <w:t>distance learning</w:t>
      </w:r>
      <w:r w:rsidR="00F56B69" w:rsidRPr="00E41C69">
        <w:rPr>
          <w:rFonts w:cstheme="minorHAnsi"/>
          <w:sz w:val="28"/>
          <w:szCs w:val="28"/>
        </w:rPr>
        <w:t>.</w:t>
      </w:r>
      <w:r w:rsidR="00ED08D5" w:rsidRPr="00E41C69">
        <w:rPr>
          <w:rFonts w:cstheme="minorHAnsi"/>
          <w:sz w:val="28"/>
          <w:szCs w:val="28"/>
        </w:rPr>
        <w:t xml:space="preserve"> </w:t>
      </w:r>
    </w:p>
    <w:p w14:paraId="31FF4203" w14:textId="573647AE" w:rsidR="00513882" w:rsidRPr="00E41C69" w:rsidRDefault="00513882" w:rsidP="00E114E2">
      <w:pPr>
        <w:jc w:val="both"/>
        <w:rPr>
          <w:rFonts w:cstheme="minorHAnsi"/>
          <w:sz w:val="28"/>
          <w:szCs w:val="28"/>
        </w:rPr>
      </w:pPr>
      <w:r>
        <w:rPr>
          <w:rFonts w:cstheme="minorHAnsi"/>
          <w:sz w:val="28"/>
          <w:szCs w:val="28"/>
        </w:rPr>
        <w:lastRenderedPageBreak/>
        <w:t>On the demand side, UK universities increasingly recognise that ‘the market no longer wants the old book-based PDF provision’</w:t>
      </w:r>
      <w:r w:rsidR="00E02D6A">
        <w:rPr>
          <w:rFonts w:cstheme="minorHAnsi"/>
          <w:sz w:val="28"/>
          <w:szCs w:val="28"/>
        </w:rPr>
        <w:t xml:space="preserve"> with courses differing very little, if at all, from than in the UK. Also, early-mid career professionals are being targeted. </w:t>
      </w:r>
    </w:p>
    <w:p w14:paraId="5D560059" w14:textId="48B68ADD" w:rsidR="00E10A1C" w:rsidRPr="00E41C69" w:rsidRDefault="00CF414A" w:rsidP="00E114E2">
      <w:pPr>
        <w:jc w:val="both"/>
        <w:rPr>
          <w:rFonts w:cstheme="minorHAnsi"/>
          <w:sz w:val="28"/>
          <w:szCs w:val="28"/>
        </w:rPr>
      </w:pPr>
      <w:r w:rsidRPr="00E41C69">
        <w:rPr>
          <w:rFonts w:cstheme="minorHAnsi"/>
          <w:sz w:val="28"/>
          <w:szCs w:val="28"/>
        </w:rPr>
        <w:t xml:space="preserve">A handful of universities have managed to respond to these new challenges facing overseas distance education. London University, which is by far and away the </w:t>
      </w:r>
      <w:r w:rsidR="00411E79" w:rsidRPr="00E41C69">
        <w:rPr>
          <w:rFonts w:cstheme="minorHAnsi"/>
          <w:sz w:val="28"/>
          <w:szCs w:val="28"/>
        </w:rPr>
        <w:t xml:space="preserve">distance learning </w:t>
      </w:r>
      <w:r w:rsidRPr="00E41C69">
        <w:rPr>
          <w:rFonts w:cstheme="minorHAnsi"/>
          <w:sz w:val="28"/>
          <w:szCs w:val="28"/>
        </w:rPr>
        <w:t>market l</w:t>
      </w:r>
      <w:r w:rsidR="0096460D" w:rsidRPr="00E41C69">
        <w:rPr>
          <w:rFonts w:cstheme="minorHAnsi"/>
          <w:sz w:val="28"/>
          <w:szCs w:val="28"/>
        </w:rPr>
        <w:t xml:space="preserve">eader in the UK, has its own specialist </w:t>
      </w:r>
      <w:r w:rsidRPr="00E41C69">
        <w:rPr>
          <w:rFonts w:cstheme="minorHAnsi"/>
          <w:sz w:val="28"/>
          <w:szCs w:val="28"/>
        </w:rPr>
        <w:t xml:space="preserve">organisation, London International, which manages </w:t>
      </w:r>
      <w:r w:rsidR="00411E79" w:rsidRPr="00E41C69">
        <w:rPr>
          <w:rFonts w:cstheme="minorHAnsi"/>
          <w:sz w:val="28"/>
          <w:szCs w:val="28"/>
        </w:rPr>
        <w:t xml:space="preserve">distance learning </w:t>
      </w:r>
      <w:r w:rsidRPr="00E41C69">
        <w:rPr>
          <w:rFonts w:cstheme="minorHAnsi"/>
          <w:sz w:val="28"/>
          <w:szCs w:val="28"/>
        </w:rPr>
        <w:t xml:space="preserve">provision for the 18 constituent colleges of the university. </w:t>
      </w:r>
      <w:r w:rsidR="0096460D" w:rsidRPr="00E41C69">
        <w:rPr>
          <w:rFonts w:cstheme="minorHAnsi"/>
          <w:sz w:val="28"/>
          <w:szCs w:val="28"/>
        </w:rPr>
        <w:t xml:space="preserve">Over many decades, </w:t>
      </w:r>
      <w:r w:rsidRPr="00E41C69">
        <w:rPr>
          <w:rFonts w:cstheme="minorHAnsi"/>
          <w:sz w:val="28"/>
          <w:szCs w:val="28"/>
        </w:rPr>
        <w:t>London International</w:t>
      </w:r>
      <w:r w:rsidR="0096460D" w:rsidRPr="00E41C69">
        <w:rPr>
          <w:rFonts w:cstheme="minorHAnsi"/>
          <w:sz w:val="28"/>
          <w:szCs w:val="28"/>
        </w:rPr>
        <w:t xml:space="preserve"> (and its predecessor organisations)</w:t>
      </w:r>
      <w:r w:rsidRPr="00E41C69">
        <w:rPr>
          <w:rFonts w:cstheme="minorHAnsi"/>
          <w:sz w:val="28"/>
          <w:szCs w:val="28"/>
        </w:rPr>
        <w:t xml:space="preserve"> has developed the capacity to manag</w:t>
      </w:r>
      <w:r w:rsidR="00A9557B">
        <w:rPr>
          <w:rFonts w:cstheme="minorHAnsi"/>
          <w:sz w:val="28"/>
          <w:szCs w:val="28"/>
        </w:rPr>
        <w:t xml:space="preserve">e efficiently the university’s </w:t>
      </w:r>
      <w:r w:rsidR="00411E79" w:rsidRPr="00E41C69">
        <w:rPr>
          <w:rFonts w:cstheme="minorHAnsi"/>
          <w:sz w:val="28"/>
          <w:szCs w:val="28"/>
        </w:rPr>
        <w:t xml:space="preserve">ODL </w:t>
      </w:r>
      <w:r w:rsidRPr="00E41C69">
        <w:rPr>
          <w:rFonts w:cstheme="minorHAnsi"/>
          <w:sz w:val="28"/>
          <w:szCs w:val="28"/>
        </w:rPr>
        <w:t>students</w:t>
      </w:r>
      <w:r w:rsidR="00F751E3">
        <w:rPr>
          <w:rFonts w:cstheme="minorHAnsi"/>
          <w:sz w:val="28"/>
          <w:szCs w:val="28"/>
        </w:rPr>
        <w:t>, which currently number nearly 50,000</w:t>
      </w:r>
      <w:r w:rsidR="00E02D6A">
        <w:rPr>
          <w:rStyle w:val="FootnoteReference"/>
          <w:rFonts w:cstheme="minorHAnsi"/>
          <w:sz w:val="28"/>
          <w:szCs w:val="28"/>
        </w:rPr>
        <w:footnoteReference w:id="5"/>
      </w:r>
      <w:r w:rsidRPr="00E41C69">
        <w:rPr>
          <w:rFonts w:cstheme="minorHAnsi"/>
          <w:sz w:val="28"/>
          <w:szCs w:val="28"/>
        </w:rPr>
        <w:t xml:space="preserve">. The other major plank of the University’s </w:t>
      </w:r>
      <w:r w:rsidR="00411E79" w:rsidRPr="00E41C69">
        <w:rPr>
          <w:rFonts w:cstheme="minorHAnsi"/>
          <w:sz w:val="28"/>
          <w:szCs w:val="28"/>
        </w:rPr>
        <w:t xml:space="preserve">distance learning </w:t>
      </w:r>
      <w:r w:rsidRPr="00E41C69">
        <w:rPr>
          <w:rFonts w:cstheme="minorHAnsi"/>
          <w:sz w:val="28"/>
          <w:szCs w:val="28"/>
        </w:rPr>
        <w:t xml:space="preserve">delivery strategy is to encourage blended provision of distance and face-to-face instruction and other support at </w:t>
      </w:r>
      <w:r w:rsidR="0063698D" w:rsidRPr="00E41C69">
        <w:rPr>
          <w:rFonts w:cstheme="minorHAnsi"/>
          <w:sz w:val="28"/>
          <w:szCs w:val="28"/>
        </w:rPr>
        <w:t xml:space="preserve">its </w:t>
      </w:r>
      <w:r w:rsidRPr="00E41C69">
        <w:rPr>
          <w:rFonts w:cstheme="minorHAnsi"/>
          <w:sz w:val="28"/>
          <w:szCs w:val="28"/>
        </w:rPr>
        <w:t xml:space="preserve">Associated Learning Partners in most of its major national markets, particularly in </w:t>
      </w:r>
      <w:r w:rsidR="00982C75" w:rsidRPr="00E41C69">
        <w:rPr>
          <w:rFonts w:cstheme="minorHAnsi"/>
          <w:sz w:val="28"/>
          <w:szCs w:val="28"/>
        </w:rPr>
        <w:t xml:space="preserve">Hong Kong, India, Russia, Pakistan, and </w:t>
      </w:r>
      <w:r w:rsidRPr="00E41C69">
        <w:rPr>
          <w:rFonts w:cstheme="minorHAnsi"/>
          <w:sz w:val="28"/>
          <w:szCs w:val="28"/>
        </w:rPr>
        <w:t>Singapore</w:t>
      </w:r>
      <w:r w:rsidR="0096460D" w:rsidRPr="00E41C69">
        <w:rPr>
          <w:rFonts w:cstheme="minorHAnsi"/>
          <w:sz w:val="28"/>
          <w:szCs w:val="28"/>
        </w:rPr>
        <w:t>. Students have to pay additional fees for this additional tutorial support which ensures that the University continues to earn reasonable financial returns and significantly improves completion rates which</w:t>
      </w:r>
      <w:r w:rsidR="00B92359" w:rsidRPr="00E41C69">
        <w:rPr>
          <w:rFonts w:cstheme="minorHAnsi"/>
          <w:sz w:val="28"/>
          <w:szCs w:val="28"/>
        </w:rPr>
        <w:t>, as noted above,</w:t>
      </w:r>
      <w:r w:rsidR="0096460D" w:rsidRPr="00E41C69">
        <w:rPr>
          <w:rFonts w:cstheme="minorHAnsi"/>
          <w:sz w:val="28"/>
          <w:szCs w:val="28"/>
        </w:rPr>
        <w:t xml:space="preserve"> have been historically quite low for </w:t>
      </w:r>
      <w:r w:rsidR="00411E79" w:rsidRPr="00E41C69">
        <w:rPr>
          <w:rFonts w:cstheme="minorHAnsi"/>
          <w:sz w:val="28"/>
          <w:szCs w:val="28"/>
        </w:rPr>
        <w:t xml:space="preserve">ODL </w:t>
      </w:r>
      <w:r w:rsidR="0096460D" w:rsidRPr="00E41C69">
        <w:rPr>
          <w:rFonts w:cstheme="minorHAnsi"/>
          <w:sz w:val="28"/>
          <w:szCs w:val="28"/>
        </w:rPr>
        <w:t>courses.</w:t>
      </w:r>
      <w:r w:rsidRPr="00E41C69">
        <w:rPr>
          <w:rFonts w:cstheme="minorHAnsi"/>
          <w:sz w:val="28"/>
          <w:szCs w:val="28"/>
        </w:rPr>
        <w:t xml:space="preserve">  </w:t>
      </w:r>
    </w:p>
    <w:p w14:paraId="47582C6D" w14:textId="210BFDCF" w:rsidR="00E10A1C" w:rsidRPr="00E41C69" w:rsidRDefault="0096460D" w:rsidP="00E114E2">
      <w:pPr>
        <w:jc w:val="both"/>
        <w:rPr>
          <w:rFonts w:cstheme="minorHAnsi"/>
          <w:sz w:val="28"/>
          <w:szCs w:val="28"/>
        </w:rPr>
      </w:pPr>
      <w:r w:rsidRPr="00E41C69">
        <w:rPr>
          <w:rFonts w:cstheme="minorHAnsi"/>
          <w:sz w:val="28"/>
          <w:szCs w:val="28"/>
        </w:rPr>
        <w:t>The other major strategy which is being adopted is to outsource</w:t>
      </w:r>
      <w:r w:rsidR="00E02D6A">
        <w:rPr>
          <w:rFonts w:cstheme="minorHAnsi"/>
          <w:sz w:val="28"/>
          <w:szCs w:val="28"/>
        </w:rPr>
        <w:t>/franchise</w:t>
      </w:r>
      <w:r w:rsidRPr="00E41C69">
        <w:rPr>
          <w:rFonts w:cstheme="minorHAnsi"/>
          <w:sz w:val="28"/>
          <w:szCs w:val="28"/>
        </w:rPr>
        <w:t xml:space="preserve"> provision to specialist</w:t>
      </w:r>
      <w:r w:rsidR="00EA4BAC">
        <w:rPr>
          <w:rFonts w:cstheme="minorHAnsi"/>
          <w:sz w:val="28"/>
          <w:szCs w:val="28"/>
        </w:rPr>
        <w:t>, private</w:t>
      </w:r>
      <w:r w:rsidR="00A9557B">
        <w:rPr>
          <w:rFonts w:cstheme="minorHAnsi"/>
          <w:sz w:val="28"/>
          <w:szCs w:val="28"/>
        </w:rPr>
        <w:t xml:space="preserve"> distance learning </w:t>
      </w:r>
      <w:r w:rsidR="00EA4BAC">
        <w:rPr>
          <w:rFonts w:cstheme="minorHAnsi"/>
          <w:sz w:val="28"/>
          <w:szCs w:val="28"/>
        </w:rPr>
        <w:t>organisations</w:t>
      </w:r>
      <w:r w:rsidR="00A9557B">
        <w:rPr>
          <w:rFonts w:cstheme="minorHAnsi"/>
          <w:sz w:val="28"/>
          <w:szCs w:val="28"/>
        </w:rPr>
        <w:t xml:space="preserve"> which</w:t>
      </w:r>
      <w:r w:rsidRPr="00E41C69">
        <w:rPr>
          <w:rFonts w:cstheme="minorHAnsi"/>
          <w:sz w:val="28"/>
          <w:szCs w:val="28"/>
        </w:rPr>
        <w:t xml:space="preserve"> have the technical and managerial expertise to support complex virtual learning environments based on </w:t>
      </w:r>
      <w:r w:rsidR="00411E79" w:rsidRPr="00E41C69">
        <w:rPr>
          <w:rFonts w:cstheme="minorHAnsi"/>
          <w:sz w:val="28"/>
          <w:szCs w:val="28"/>
        </w:rPr>
        <w:t xml:space="preserve">the </w:t>
      </w:r>
      <w:r w:rsidRPr="00E41C69">
        <w:rPr>
          <w:rFonts w:cstheme="minorHAnsi"/>
          <w:sz w:val="28"/>
          <w:szCs w:val="28"/>
        </w:rPr>
        <w:t>most recent developments in IT</w:t>
      </w:r>
      <w:r w:rsidR="00411E79" w:rsidRPr="00E41C69">
        <w:rPr>
          <w:rFonts w:cstheme="minorHAnsi"/>
          <w:sz w:val="28"/>
          <w:szCs w:val="28"/>
        </w:rPr>
        <w:t>-based</w:t>
      </w:r>
      <w:r w:rsidRPr="00E41C69">
        <w:rPr>
          <w:rFonts w:cstheme="minorHAnsi"/>
          <w:sz w:val="28"/>
          <w:szCs w:val="28"/>
        </w:rPr>
        <w:t xml:space="preserve"> pedagogy. </w:t>
      </w:r>
      <w:r w:rsidR="0063698D" w:rsidRPr="00E41C69">
        <w:rPr>
          <w:rFonts w:cstheme="minorHAnsi"/>
          <w:sz w:val="28"/>
          <w:szCs w:val="28"/>
        </w:rPr>
        <w:t xml:space="preserve">The two major </w:t>
      </w:r>
      <w:r w:rsidR="00411E79" w:rsidRPr="00E41C69">
        <w:rPr>
          <w:rFonts w:cstheme="minorHAnsi"/>
          <w:sz w:val="28"/>
          <w:szCs w:val="28"/>
        </w:rPr>
        <w:t xml:space="preserve">distance learning </w:t>
      </w:r>
      <w:r w:rsidR="0063698D" w:rsidRPr="00E41C69">
        <w:rPr>
          <w:rFonts w:cstheme="minorHAnsi"/>
          <w:sz w:val="28"/>
          <w:szCs w:val="28"/>
        </w:rPr>
        <w:t xml:space="preserve">newcomers in the UK during the last decade, </w:t>
      </w:r>
      <w:r w:rsidRPr="00E41C69">
        <w:rPr>
          <w:rFonts w:cstheme="minorHAnsi"/>
          <w:sz w:val="28"/>
          <w:szCs w:val="28"/>
        </w:rPr>
        <w:t>Liverpool and Roehampton</w:t>
      </w:r>
      <w:r w:rsidR="0063698D" w:rsidRPr="00E41C69">
        <w:rPr>
          <w:rFonts w:cstheme="minorHAnsi"/>
          <w:sz w:val="28"/>
          <w:szCs w:val="28"/>
        </w:rPr>
        <w:t xml:space="preserve"> Universities</w:t>
      </w:r>
      <w:r w:rsidRPr="00E41C69">
        <w:rPr>
          <w:rFonts w:cstheme="minorHAnsi"/>
          <w:sz w:val="28"/>
          <w:szCs w:val="28"/>
        </w:rPr>
        <w:t xml:space="preserve"> which</w:t>
      </w:r>
      <w:r w:rsidR="0063698D" w:rsidRPr="00E41C69">
        <w:rPr>
          <w:rFonts w:cstheme="minorHAnsi"/>
          <w:sz w:val="28"/>
          <w:szCs w:val="28"/>
        </w:rPr>
        <w:t>,</w:t>
      </w:r>
      <w:r w:rsidRPr="00E41C69">
        <w:rPr>
          <w:rFonts w:cstheme="minorHAnsi"/>
          <w:sz w:val="28"/>
          <w:szCs w:val="28"/>
        </w:rPr>
        <w:t xml:space="preserve"> b</w:t>
      </w:r>
      <w:r w:rsidR="00B92359" w:rsidRPr="00E41C69">
        <w:rPr>
          <w:rFonts w:cstheme="minorHAnsi"/>
          <w:sz w:val="28"/>
          <w:szCs w:val="28"/>
        </w:rPr>
        <w:t xml:space="preserve">etween them have nearly 10,000 </w:t>
      </w:r>
      <w:r w:rsidR="00DB0B22" w:rsidRPr="00E41C69">
        <w:rPr>
          <w:rFonts w:cstheme="minorHAnsi"/>
          <w:sz w:val="28"/>
          <w:szCs w:val="28"/>
        </w:rPr>
        <w:t xml:space="preserve">ODL </w:t>
      </w:r>
      <w:r w:rsidRPr="00E41C69">
        <w:rPr>
          <w:rFonts w:cstheme="minorHAnsi"/>
          <w:sz w:val="28"/>
          <w:szCs w:val="28"/>
        </w:rPr>
        <w:t>students</w:t>
      </w:r>
      <w:r w:rsidR="0063698D" w:rsidRPr="00E41C69">
        <w:rPr>
          <w:rFonts w:cstheme="minorHAnsi"/>
          <w:sz w:val="28"/>
          <w:szCs w:val="28"/>
        </w:rPr>
        <w:t>,</w:t>
      </w:r>
      <w:r w:rsidRPr="00E41C69">
        <w:rPr>
          <w:rFonts w:cstheme="minorHAnsi"/>
          <w:sz w:val="28"/>
          <w:szCs w:val="28"/>
        </w:rPr>
        <w:t xml:space="preserve"> have contracted Laureate to man</w:t>
      </w:r>
      <w:r w:rsidR="00F751E3">
        <w:rPr>
          <w:rFonts w:cstheme="minorHAnsi"/>
          <w:sz w:val="28"/>
          <w:szCs w:val="28"/>
        </w:rPr>
        <w:t>a</w:t>
      </w:r>
      <w:r w:rsidRPr="00E41C69">
        <w:rPr>
          <w:rFonts w:cstheme="minorHAnsi"/>
          <w:sz w:val="28"/>
          <w:szCs w:val="28"/>
        </w:rPr>
        <w:t xml:space="preserve">ge their overseas </w:t>
      </w:r>
      <w:r w:rsidR="00411E79" w:rsidRPr="00E41C69">
        <w:rPr>
          <w:rFonts w:cstheme="minorHAnsi"/>
          <w:sz w:val="28"/>
          <w:szCs w:val="28"/>
        </w:rPr>
        <w:t>distance learning provision</w:t>
      </w:r>
      <w:r w:rsidR="00EA4BAC">
        <w:rPr>
          <w:rStyle w:val="FootnoteReference"/>
          <w:rFonts w:cstheme="minorHAnsi"/>
          <w:sz w:val="28"/>
          <w:szCs w:val="28"/>
        </w:rPr>
        <w:footnoteReference w:id="6"/>
      </w:r>
      <w:r w:rsidRPr="00E41C69">
        <w:rPr>
          <w:rFonts w:cstheme="minorHAnsi"/>
          <w:sz w:val="28"/>
          <w:szCs w:val="28"/>
        </w:rPr>
        <w:t xml:space="preserve">. Laureate is a major Dutch-based education services multinational corporation with its own students in over 60 institutions in more than </w:t>
      </w:r>
      <w:r w:rsidR="0063698D" w:rsidRPr="00E41C69">
        <w:rPr>
          <w:rFonts w:cstheme="minorHAnsi"/>
          <w:sz w:val="28"/>
          <w:szCs w:val="28"/>
        </w:rPr>
        <w:t xml:space="preserve">20 </w:t>
      </w:r>
      <w:r w:rsidRPr="00E41C69">
        <w:rPr>
          <w:rFonts w:cstheme="minorHAnsi"/>
          <w:sz w:val="28"/>
          <w:szCs w:val="28"/>
        </w:rPr>
        <w:t>countries and a global turnover of US4.4 billion in 2017.</w:t>
      </w:r>
      <w:r w:rsidR="00E02D6A">
        <w:rPr>
          <w:rFonts w:cstheme="minorHAnsi"/>
          <w:sz w:val="28"/>
          <w:szCs w:val="28"/>
        </w:rPr>
        <w:t xml:space="preserve"> The other major third party providers are UNICAF (South Wales), Global University Systems (Bradford, Exeter and Reading), and Future Learn (Coventry)</w:t>
      </w:r>
    </w:p>
    <w:p w14:paraId="1CAD2020" w14:textId="77777777" w:rsidR="009F3705" w:rsidRPr="00E41C69" w:rsidRDefault="00411E79" w:rsidP="00E114E2">
      <w:pPr>
        <w:jc w:val="both"/>
        <w:rPr>
          <w:rFonts w:cstheme="minorHAnsi"/>
          <w:sz w:val="28"/>
          <w:szCs w:val="28"/>
        </w:rPr>
      </w:pPr>
      <w:r w:rsidRPr="00E41C69">
        <w:rPr>
          <w:rFonts w:cstheme="minorHAnsi"/>
          <w:sz w:val="28"/>
          <w:szCs w:val="28"/>
        </w:rPr>
        <w:lastRenderedPageBreak/>
        <w:t xml:space="preserve">Another important </w:t>
      </w:r>
      <w:r w:rsidR="0063698D" w:rsidRPr="00E41C69">
        <w:rPr>
          <w:rFonts w:cstheme="minorHAnsi"/>
          <w:sz w:val="28"/>
          <w:szCs w:val="28"/>
        </w:rPr>
        <w:t>consideration is that</w:t>
      </w:r>
      <w:r w:rsidR="00A9557B">
        <w:rPr>
          <w:rFonts w:cstheme="minorHAnsi"/>
          <w:sz w:val="28"/>
          <w:szCs w:val="28"/>
        </w:rPr>
        <w:t>,</w:t>
      </w:r>
      <w:r w:rsidR="0063698D" w:rsidRPr="00E41C69">
        <w:rPr>
          <w:rFonts w:cstheme="minorHAnsi"/>
          <w:sz w:val="28"/>
          <w:szCs w:val="28"/>
        </w:rPr>
        <w:t xml:space="preserve"> despite </w:t>
      </w:r>
      <w:r w:rsidR="00F751E3">
        <w:rPr>
          <w:rFonts w:cstheme="minorHAnsi"/>
          <w:sz w:val="28"/>
          <w:szCs w:val="28"/>
        </w:rPr>
        <w:t xml:space="preserve">considerable </w:t>
      </w:r>
      <w:r w:rsidR="0063698D" w:rsidRPr="00E41C69">
        <w:rPr>
          <w:rFonts w:cstheme="minorHAnsi"/>
          <w:sz w:val="28"/>
          <w:szCs w:val="28"/>
        </w:rPr>
        <w:t xml:space="preserve">media </w:t>
      </w:r>
      <w:r w:rsidR="00F751E3">
        <w:rPr>
          <w:rFonts w:cstheme="minorHAnsi"/>
          <w:sz w:val="28"/>
          <w:szCs w:val="28"/>
        </w:rPr>
        <w:t xml:space="preserve">and academic </w:t>
      </w:r>
      <w:r w:rsidR="0063698D" w:rsidRPr="00E41C69">
        <w:rPr>
          <w:rFonts w:cstheme="minorHAnsi"/>
          <w:sz w:val="28"/>
          <w:szCs w:val="28"/>
        </w:rPr>
        <w:t xml:space="preserve">attention, </w:t>
      </w:r>
      <w:r w:rsidR="009F3705" w:rsidRPr="00E41C69">
        <w:rPr>
          <w:rFonts w:cstheme="minorHAnsi"/>
          <w:sz w:val="28"/>
          <w:szCs w:val="28"/>
        </w:rPr>
        <w:t xml:space="preserve">MOOCS have </w:t>
      </w:r>
      <w:r w:rsidR="00A9557B">
        <w:rPr>
          <w:rFonts w:cstheme="minorHAnsi"/>
          <w:sz w:val="28"/>
          <w:szCs w:val="28"/>
        </w:rPr>
        <w:t xml:space="preserve">not yet </w:t>
      </w:r>
      <w:r w:rsidR="0063698D" w:rsidRPr="00E41C69">
        <w:rPr>
          <w:rFonts w:cstheme="minorHAnsi"/>
          <w:sz w:val="28"/>
          <w:szCs w:val="28"/>
        </w:rPr>
        <w:t xml:space="preserve">had </w:t>
      </w:r>
      <w:r w:rsidR="00A9557B">
        <w:rPr>
          <w:rFonts w:cstheme="minorHAnsi"/>
          <w:sz w:val="28"/>
          <w:szCs w:val="28"/>
        </w:rPr>
        <w:t xml:space="preserve">any </w:t>
      </w:r>
      <w:r w:rsidR="0063698D" w:rsidRPr="00E41C69">
        <w:rPr>
          <w:rFonts w:cstheme="minorHAnsi"/>
          <w:sz w:val="28"/>
          <w:szCs w:val="28"/>
        </w:rPr>
        <w:t xml:space="preserve">major impact </w:t>
      </w:r>
      <w:r w:rsidRPr="00E41C69">
        <w:rPr>
          <w:rFonts w:cstheme="minorHAnsi"/>
          <w:sz w:val="28"/>
          <w:szCs w:val="28"/>
        </w:rPr>
        <w:t>on distance learning provision i</w:t>
      </w:r>
      <w:r w:rsidR="0063698D" w:rsidRPr="00E41C69">
        <w:rPr>
          <w:rFonts w:cstheme="minorHAnsi"/>
          <w:sz w:val="28"/>
          <w:szCs w:val="28"/>
        </w:rPr>
        <w:t xml:space="preserve">n </w:t>
      </w:r>
      <w:r w:rsidR="00A9557B">
        <w:rPr>
          <w:rFonts w:cstheme="minorHAnsi"/>
          <w:sz w:val="28"/>
          <w:szCs w:val="28"/>
        </w:rPr>
        <w:t xml:space="preserve">among universities in the </w:t>
      </w:r>
      <w:r w:rsidR="0063698D" w:rsidRPr="00E41C69">
        <w:rPr>
          <w:rFonts w:cstheme="minorHAnsi"/>
          <w:sz w:val="28"/>
          <w:szCs w:val="28"/>
        </w:rPr>
        <w:t>UK</w:t>
      </w:r>
      <w:r w:rsidR="009F3705" w:rsidRPr="00E41C69">
        <w:rPr>
          <w:rFonts w:cstheme="minorHAnsi"/>
          <w:sz w:val="28"/>
          <w:szCs w:val="28"/>
        </w:rPr>
        <w:t>.</w:t>
      </w:r>
    </w:p>
    <w:p w14:paraId="19BF1240" w14:textId="1F08545A" w:rsidR="001F62C5" w:rsidRDefault="001F62C5" w:rsidP="00E114E2">
      <w:pPr>
        <w:jc w:val="both"/>
        <w:rPr>
          <w:rFonts w:cstheme="minorHAnsi"/>
          <w:b/>
          <w:sz w:val="28"/>
          <w:szCs w:val="28"/>
        </w:rPr>
      </w:pPr>
      <w:r>
        <w:rPr>
          <w:rFonts w:cstheme="minorHAnsi"/>
          <w:b/>
          <w:sz w:val="28"/>
          <w:szCs w:val="28"/>
        </w:rPr>
        <w:t xml:space="preserve">4.5.2 </w:t>
      </w:r>
      <w:r w:rsidR="00DB0B22" w:rsidRPr="00E41C69">
        <w:rPr>
          <w:rFonts w:cstheme="minorHAnsi"/>
          <w:b/>
          <w:sz w:val="28"/>
          <w:szCs w:val="28"/>
        </w:rPr>
        <w:t>Enrolment</w:t>
      </w:r>
      <w:r>
        <w:rPr>
          <w:rFonts w:cstheme="minorHAnsi"/>
          <w:b/>
          <w:sz w:val="28"/>
          <w:szCs w:val="28"/>
        </w:rPr>
        <w:t>s</w:t>
      </w:r>
    </w:p>
    <w:p w14:paraId="38B62CE3" w14:textId="522BCF7B" w:rsidR="00B35B69" w:rsidRDefault="00411E79" w:rsidP="00E114E2">
      <w:pPr>
        <w:jc w:val="both"/>
        <w:rPr>
          <w:rFonts w:cstheme="minorHAnsi"/>
          <w:sz w:val="28"/>
          <w:szCs w:val="28"/>
        </w:rPr>
      </w:pPr>
      <w:r w:rsidRPr="00E41C69">
        <w:rPr>
          <w:rFonts w:cstheme="minorHAnsi"/>
          <w:sz w:val="28"/>
          <w:szCs w:val="28"/>
        </w:rPr>
        <w:t>Overseas distance learning</w:t>
      </w:r>
      <w:r w:rsidRPr="00E41C69">
        <w:rPr>
          <w:rFonts w:cstheme="minorHAnsi"/>
          <w:b/>
          <w:sz w:val="28"/>
          <w:szCs w:val="28"/>
        </w:rPr>
        <w:t xml:space="preserve"> </w:t>
      </w:r>
      <w:r w:rsidR="007A3282" w:rsidRPr="00E41C69">
        <w:rPr>
          <w:rFonts w:cstheme="minorHAnsi"/>
          <w:sz w:val="28"/>
          <w:szCs w:val="28"/>
        </w:rPr>
        <w:t>enrolments at the combined London University constitu</w:t>
      </w:r>
      <w:r w:rsidR="00F751E3">
        <w:rPr>
          <w:rFonts w:cstheme="minorHAnsi"/>
          <w:sz w:val="28"/>
          <w:szCs w:val="28"/>
        </w:rPr>
        <w:t>ent colleges were 49,280 in 2015</w:t>
      </w:r>
      <w:r w:rsidR="007A3282" w:rsidRPr="00E41C69">
        <w:rPr>
          <w:rFonts w:cstheme="minorHAnsi"/>
          <w:sz w:val="28"/>
          <w:szCs w:val="28"/>
        </w:rPr>
        <w:t xml:space="preserve">/16, </w:t>
      </w:r>
      <w:r w:rsidR="00F751E3">
        <w:rPr>
          <w:rFonts w:cstheme="minorHAnsi"/>
          <w:sz w:val="28"/>
          <w:szCs w:val="28"/>
        </w:rPr>
        <w:t xml:space="preserve">which is </w:t>
      </w:r>
      <w:r w:rsidR="007A3282" w:rsidRPr="00E41C69">
        <w:rPr>
          <w:rFonts w:cstheme="minorHAnsi"/>
          <w:sz w:val="28"/>
          <w:szCs w:val="28"/>
        </w:rPr>
        <w:t xml:space="preserve">42% of </w:t>
      </w:r>
      <w:r w:rsidR="00B35B69" w:rsidRPr="00E41C69">
        <w:rPr>
          <w:rFonts w:cstheme="minorHAnsi"/>
          <w:sz w:val="28"/>
          <w:szCs w:val="28"/>
        </w:rPr>
        <w:t>O</w:t>
      </w:r>
      <w:r w:rsidR="007A3282" w:rsidRPr="00E41C69">
        <w:rPr>
          <w:rFonts w:cstheme="minorHAnsi"/>
          <w:sz w:val="28"/>
          <w:szCs w:val="28"/>
        </w:rPr>
        <w:t>DL students</w:t>
      </w:r>
      <w:r w:rsidR="00F751E3">
        <w:rPr>
          <w:rFonts w:cstheme="minorHAnsi"/>
          <w:sz w:val="28"/>
          <w:szCs w:val="28"/>
        </w:rPr>
        <w:t xml:space="preserve"> enrolled at UK universities</w:t>
      </w:r>
      <w:r w:rsidR="007A3282" w:rsidRPr="00E41C69">
        <w:rPr>
          <w:rFonts w:cstheme="minorHAnsi"/>
          <w:sz w:val="28"/>
          <w:szCs w:val="28"/>
        </w:rPr>
        <w:t>. Two univers</w:t>
      </w:r>
      <w:r w:rsidR="006C60F7" w:rsidRPr="00E41C69">
        <w:rPr>
          <w:rFonts w:cstheme="minorHAnsi"/>
          <w:sz w:val="28"/>
          <w:szCs w:val="28"/>
        </w:rPr>
        <w:t xml:space="preserve">ities had enrolments of </w:t>
      </w:r>
      <w:r w:rsidR="00B35B69" w:rsidRPr="00E41C69">
        <w:rPr>
          <w:rFonts w:cstheme="minorHAnsi"/>
          <w:sz w:val="28"/>
          <w:szCs w:val="28"/>
        </w:rPr>
        <w:t>5,000-</w:t>
      </w:r>
      <w:r w:rsidR="006C60F7" w:rsidRPr="00E41C69">
        <w:rPr>
          <w:rFonts w:cstheme="minorHAnsi"/>
          <w:sz w:val="28"/>
          <w:szCs w:val="28"/>
        </w:rPr>
        <w:t>9,</w:t>
      </w:r>
      <w:r w:rsidR="007A3282" w:rsidRPr="00E41C69">
        <w:rPr>
          <w:rFonts w:cstheme="minorHAnsi"/>
          <w:sz w:val="28"/>
          <w:szCs w:val="28"/>
        </w:rPr>
        <w:t>999 (O</w:t>
      </w:r>
      <w:r w:rsidR="00B35B69" w:rsidRPr="00E41C69">
        <w:rPr>
          <w:rFonts w:cstheme="minorHAnsi"/>
          <w:sz w:val="28"/>
          <w:szCs w:val="28"/>
        </w:rPr>
        <w:t xml:space="preserve">pen </w:t>
      </w:r>
      <w:r w:rsidR="007A3282" w:rsidRPr="00E41C69">
        <w:rPr>
          <w:rFonts w:cstheme="minorHAnsi"/>
          <w:sz w:val="28"/>
          <w:szCs w:val="28"/>
        </w:rPr>
        <w:t xml:space="preserve">and Liverpool) and eight universities </w:t>
      </w:r>
      <w:r w:rsidR="006C60F7" w:rsidRPr="00E41C69">
        <w:rPr>
          <w:rFonts w:cstheme="minorHAnsi"/>
          <w:sz w:val="28"/>
          <w:szCs w:val="28"/>
        </w:rPr>
        <w:t xml:space="preserve">had </w:t>
      </w:r>
      <w:r w:rsidR="007A3282" w:rsidRPr="00E41C69">
        <w:rPr>
          <w:rFonts w:cstheme="minorHAnsi"/>
          <w:sz w:val="28"/>
          <w:szCs w:val="28"/>
        </w:rPr>
        <w:t>between 2</w:t>
      </w:r>
      <w:r w:rsidR="006C60F7" w:rsidRPr="00E41C69">
        <w:rPr>
          <w:rFonts w:cstheme="minorHAnsi"/>
          <w:sz w:val="28"/>
          <w:szCs w:val="28"/>
        </w:rPr>
        <w:t>,</w:t>
      </w:r>
      <w:r w:rsidR="007A3282" w:rsidRPr="00E41C69">
        <w:rPr>
          <w:rFonts w:cstheme="minorHAnsi"/>
          <w:sz w:val="28"/>
          <w:szCs w:val="28"/>
        </w:rPr>
        <w:t>000-4</w:t>
      </w:r>
      <w:r w:rsidR="006C60F7" w:rsidRPr="00E41C69">
        <w:rPr>
          <w:rFonts w:cstheme="minorHAnsi"/>
          <w:sz w:val="28"/>
          <w:szCs w:val="28"/>
        </w:rPr>
        <w:t>,</w:t>
      </w:r>
      <w:r w:rsidR="007A3282" w:rsidRPr="00E41C69">
        <w:rPr>
          <w:rFonts w:cstheme="minorHAnsi"/>
          <w:sz w:val="28"/>
          <w:szCs w:val="28"/>
        </w:rPr>
        <w:t>999</w:t>
      </w:r>
      <w:r w:rsidR="006C60F7" w:rsidRPr="00E41C69">
        <w:rPr>
          <w:rFonts w:cstheme="minorHAnsi"/>
          <w:sz w:val="28"/>
          <w:szCs w:val="28"/>
        </w:rPr>
        <w:t xml:space="preserve"> students</w:t>
      </w:r>
      <w:r w:rsidR="007A3282" w:rsidRPr="00E41C69">
        <w:rPr>
          <w:rFonts w:cstheme="minorHAnsi"/>
          <w:sz w:val="28"/>
          <w:szCs w:val="28"/>
        </w:rPr>
        <w:t xml:space="preserve">. Between them, these 11 universities accounted </w:t>
      </w:r>
      <w:r w:rsidR="00B92359" w:rsidRPr="00E41C69">
        <w:rPr>
          <w:rFonts w:cstheme="minorHAnsi"/>
          <w:sz w:val="28"/>
          <w:szCs w:val="28"/>
        </w:rPr>
        <w:t xml:space="preserve">for </w:t>
      </w:r>
      <w:r w:rsidR="007A3282" w:rsidRPr="00E41C69">
        <w:rPr>
          <w:rFonts w:cstheme="minorHAnsi"/>
          <w:sz w:val="28"/>
          <w:szCs w:val="28"/>
        </w:rPr>
        <w:t xml:space="preserve">almost three-quarters of </w:t>
      </w:r>
      <w:r w:rsidR="00B35B69" w:rsidRPr="00E41C69">
        <w:rPr>
          <w:rFonts w:cstheme="minorHAnsi"/>
          <w:sz w:val="28"/>
          <w:szCs w:val="28"/>
        </w:rPr>
        <w:t>O</w:t>
      </w:r>
      <w:r w:rsidR="007A3282" w:rsidRPr="00E41C69">
        <w:rPr>
          <w:rFonts w:cstheme="minorHAnsi"/>
          <w:sz w:val="28"/>
          <w:szCs w:val="28"/>
        </w:rPr>
        <w:t xml:space="preserve">DL enrolments. </w:t>
      </w:r>
      <w:r w:rsidR="00B35B69" w:rsidRPr="00E41C69">
        <w:rPr>
          <w:rFonts w:cstheme="minorHAnsi"/>
          <w:sz w:val="28"/>
          <w:szCs w:val="28"/>
        </w:rPr>
        <w:t>In total, o</w:t>
      </w:r>
      <w:r w:rsidR="006C60F7" w:rsidRPr="00E41C69">
        <w:rPr>
          <w:rFonts w:cstheme="minorHAnsi"/>
          <w:sz w:val="28"/>
          <w:szCs w:val="28"/>
        </w:rPr>
        <w:t>nly 18 universi</w:t>
      </w:r>
      <w:r w:rsidR="00B35B69" w:rsidRPr="00E41C69">
        <w:rPr>
          <w:rFonts w:cstheme="minorHAnsi"/>
          <w:sz w:val="28"/>
          <w:szCs w:val="28"/>
        </w:rPr>
        <w:t>ties had more than 500 O</w:t>
      </w:r>
      <w:r w:rsidR="006C60F7" w:rsidRPr="00E41C69">
        <w:rPr>
          <w:rFonts w:cstheme="minorHAnsi"/>
          <w:sz w:val="28"/>
          <w:szCs w:val="28"/>
        </w:rPr>
        <w:t xml:space="preserve">DL students. </w:t>
      </w:r>
      <w:r w:rsidR="007A3282" w:rsidRPr="00E41C69">
        <w:rPr>
          <w:rFonts w:cstheme="minorHAnsi"/>
          <w:sz w:val="28"/>
          <w:szCs w:val="28"/>
        </w:rPr>
        <w:t xml:space="preserve">The 66 universities with </w:t>
      </w:r>
      <w:r w:rsidR="00E56EF3">
        <w:rPr>
          <w:rFonts w:cstheme="minorHAnsi"/>
          <w:sz w:val="28"/>
          <w:szCs w:val="28"/>
        </w:rPr>
        <w:t>less</w:t>
      </w:r>
      <w:r w:rsidR="00B35B69" w:rsidRPr="00E41C69">
        <w:rPr>
          <w:rFonts w:cstheme="minorHAnsi"/>
          <w:sz w:val="28"/>
          <w:szCs w:val="28"/>
        </w:rPr>
        <w:t xml:space="preserve"> </w:t>
      </w:r>
      <w:r w:rsidR="00B92359" w:rsidRPr="00E41C69">
        <w:rPr>
          <w:rFonts w:cstheme="minorHAnsi"/>
          <w:sz w:val="28"/>
          <w:szCs w:val="28"/>
        </w:rPr>
        <w:t xml:space="preserve">than </w:t>
      </w:r>
      <w:r w:rsidR="007A3282" w:rsidRPr="00E41C69">
        <w:rPr>
          <w:rFonts w:cstheme="minorHAnsi"/>
          <w:sz w:val="28"/>
          <w:szCs w:val="28"/>
        </w:rPr>
        <w:t xml:space="preserve">500 </w:t>
      </w:r>
      <w:r w:rsidR="00B35B69" w:rsidRPr="00E41C69">
        <w:rPr>
          <w:rFonts w:cstheme="minorHAnsi"/>
          <w:sz w:val="28"/>
          <w:szCs w:val="28"/>
        </w:rPr>
        <w:t>O</w:t>
      </w:r>
      <w:r w:rsidR="007A3282" w:rsidRPr="00E41C69">
        <w:rPr>
          <w:rFonts w:cstheme="minorHAnsi"/>
          <w:sz w:val="28"/>
          <w:szCs w:val="28"/>
        </w:rPr>
        <w:t>DL students had</w:t>
      </w:r>
      <w:r w:rsidR="00B35B69" w:rsidRPr="00E41C69">
        <w:rPr>
          <w:rFonts w:cstheme="minorHAnsi"/>
          <w:sz w:val="28"/>
          <w:szCs w:val="28"/>
        </w:rPr>
        <w:t>,</w:t>
      </w:r>
      <w:r w:rsidR="007A3282" w:rsidRPr="00E41C69">
        <w:rPr>
          <w:rFonts w:cstheme="minorHAnsi"/>
          <w:sz w:val="28"/>
          <w:szCs w:val="28"/>
        </w:rPr>
        <w:t xml:space="preserve"> between them</w:t>
      </w:r>
      <w:r w:rsidR="00B35B69" w:rsidRPr="00E41C69">
        <w:rPr>
          <w:rFonts w:cstheme="minorHAnsi"/>
          <w:sz w:val="28"/>
          <w:szCs w:val="28"/>
        </w:rPr>
        <w:t>,</w:t>
      </w:r>
      <w:r w:rsidR="007A3282" w:rsidRPr="00E41C69">
        <w:rPr>
          <w:rFonts w:cstheme="minorHAnsi"/>
          <w:sz w:val="28"/>
          <w:szCs w:val="28"/>
        </w:rPr>
        <w:t xml:space="preserve"> less th</w:t>
      </w:r>
      <w:r w:rsidR="009312C1">
        <w:rPr>
          <w:rFonts w:cstheme="minorHAnsi"/>
          <w:sz w:val="28"/>
          <w:szCs w:val="28"/>
        </w:rPr>
        <w:t>an 10,000 students</w:t>
      </w:r>
      <w:r w:rsidR="007A3282" w:rsidRPr="00E41C69">
        <w:rPr>
          <w:rFonts w:cstheme="minorHAnsi"/>
          <w:sz w:val="28"/>
          <w:szCs w:val="28"/>
        </w:rPr>
        <w:t xml:space="preserve">. </w:t>
      </w:r>
      <w:r w:rsidR="006C60F7" w:rsidRPr="00E41C69">
        <w:rPr>
          <w:rFonts w:cstheme="minorHAnsi"/>
          <w:sz w:val="28"/>
          <w:szCs w:val="28"/>
        </w:rPr>
        <w:t xml:space="preserve">This </w:t>
      </w:r>
      <w:r w:rsidR="00F751E3">
        <w:rPr>
          <w:rFonts w:cstheme="minorHAnsi"/>
          <w:sz w:val="28"/>
          <w:szCs w:val="28"/>
        </w:rPr>
        <w:t xml:space="preserve">preponderance </w:t>
      </w:r>
      <w:r w:rsidR="006C60F7" w:rsidRPr="00E41C69">
        <w:rPr>
          <w:rFonts w:cstheme="minorHAnsi"/>
          <w:sz w:val="28"/>
          <w:szCs w:val="28"/>
        </w:rPr>
        <w:t>of small enrolments testifies to the difficulty faced by most universities in scaling up distance learning provision.</w:t>
      </w:r>
      <w:r w:rsidR="00521C17" w:rsidRPr="00E41C69">
        <w:rPr>
          <w:rFonts w:cstheme="minorHAnsi"/>
          <w:sz w:val="28"/>
          <w:szCs w:val="28"/>
        </w:rPr>
        <w:t xml:space="preserve"> </w:t>
      </w:r>
    </w:p>
    <w:p w14:paraId="04875829" w14:textId="77777777" w:rsidR="00FD14D5" w:rsidRDefault="00521C17" w:rsidP="00E114E2">
      <w:pPr>
        <w:jc w:val="both"/>
        <w:rPr>
          <w:rFonts w:cstheme="minorHAnsi"/>
          <w:sz w:val="28"/>
          <w:szCs w:val="28"/>
        </w:rPr>
      </w:pPr>
      <w:r w:rsidRPr="00E41C69">
        <w:rPr>
          <w:rFonts w:cstheme="minorHAnsi"/>
          <w:sz w:val="28"/>
          <w:szCs w:val="28"/>
        </w:rPr>
        <w:t xml:space="preserve">ODL provision </w:t>
      </w:r>
      <w:r w:rsidR="00B35B69" w:rsidRPr="00E41C69">
        <w:rPr>
          <w:rFonts w:cstheme="minorHAnsi"/>
          <w:sz w:val="28"/>
          <w:szCs w:val="28"/>
        </w:rPr>
        <w:t xml:space="preserve">continues to be </w:t>
      </w:r>
      <w:r w:rsidRPr="00E41C69">
        <w:rPr>
          <w:rFonts w:cstheme="minorHAnsi"/>
          <w:sz w:val="28"/>
          <w:szCs w:val="28"/>
        </w:rPr>
        <w:t xml:space="preserve">dominated by a </w:t>
      </w:r>
      <w:r w:rsidR="00B35B69" w:rsidRPr="00E41C69">
        <w:rPr>
          <w:rFonts w:cstheme="minorHAnsi"/>
          <w:sz w:val="28"/>
          <w:szCs w:val="28"/>
        </w:rPr>
        <w:t>small group of</w:t>
      </w:r>
      <w:r w:rsidRPr="00E41C69">
        <w:rPr>
          <w:rFonts w:cstheme="minorHAnsi"/>
          <w:sz w:val="28"/>
          <w:szCs w:val="28"/>
        </w:rPr>
        <w:t xml:space="preserve"> ancient and redbrick universities (Edinburgh, </w:t>
      </w:r>
      <w:r w:rsidR="00A9557B">
        <w:rPr>
          <w:rFonts w:cstheme="minorHAnsi"/>
          <w:sz w:val="28"/>
          <w:szCs w:val="28"/>
        </w:rPr>
        <w:t xml:space="preserve">Liverpool, </w:t>
      </w:r>
      <w:r w:rsidRPr="00E41C69">
        <w:rPr>
          <w:rFonts w:cstheme="minorHAnsi"/>
          <w:sz w:val="28"/>
          <w:szCs w:val="28"/>
        </w:rPr>
        <w:t xml:space="preserve">London, </w:t>
      </w:r>
      <w:r w:rsidR="00A9557B">
        <w:rPr>
          <w:rFonts w:cstheme="minorHAnsi"/>
          <w:sz w:val="28"/>
          <w:szCs w:val="28"/>
        </w:rPr>
        <w:t xml:space="preserve">Manchester, </w:t>
      </w:r>
      <w:r w:rsidR="00F751E3">
        <w:rPr>
          <w:rFonts w:cstheme="minorHAnsi"/>
          <w:sz w:val="28"/>
          <w:szCs w:val="28"/>
        </w:rPr>
        <w:t xml:space="preserve">and </w:t>
      </w:r>
      <w:r w:rsidRPr="00E41C69">
        <w:rPr>
          <w:rFonts w:cstheme="minorHAnsi"/>
          <w:sz w:val="28"/>
          <w:szCs w:val="28"/>
        </w:rPr>
        <w:t xml:space="preserve">Reading) and plate glass universities (Heriot-Watt, Leicester, </w:t>
      </w:r>
      <w:r w:rsidR="00B35B69" w:rsidRPr="00E41C69">
        <w:rPr>
          <w:rFonts w:cstheme="minorHAnsi"/>
          <w:sz w:val="28"/>
          <w:szCs w:val="28"/>
        </w:rPr>
        <w:t xml:space="preserve">OU, </w:t>
      </w:r>
      <w:r w:rsidRPr="00E41C69">
        <w:rPr>
          <w:rFonts w:cstheme="minorHAnsi"/>
          <w:sz w:val="28"/>
          <w:szCs w:val="28"/>
        </w:rPr>
        <w:t>Warwick</w:t>
      </w:r>
      <w:r w:rsidR="00A9557B">
        <w:rPr>
          <w:rFonts w:cstheme="minorHAnsi"/>
          <w:sz w:val="28"/>
          <w:szCs w:val="28"/>
        </w:rPr>
        <w:t xml:space="preserve">, </w:t>
      </w:r>
      <w:r w:rsidR="00F751E3">
        <w:rPr>
          <w:rFonts w:cstheme="minorHAnsi"/>
          <w:sz w:val="28"/>
          <w:szCs w:val="28"/>
        </w:rPr>
        <w:t xml:space="preserve">and </w:t>
      </w:r>
      <w:r w:rsidR="00A9557B">
        <w:rPr>
          <w:rFonts w:cstheme="minorHAnsi"/>
          <w:sz w:val="28"/>
          <w:szCs w:val="28"/>
        </w:rPr>
        <w:t>Roehampton</w:t>
      </w:r>
      <w:r w:rsidRPr="00E41C69">
        <w:rPr>
          <w:rFonts w:cstheme="minorHAnsi"/>
          <w:sz w:val="28"/>
          <w:szCs w:val="28"/>
        </w:rPr>
        <w:t xml:space="preserve">). The minimal involvement of </w:t>
      </w:r>
      <w:r w:rsidR="008752A4" w:rsidRPr="00E41C69">
        <w:rPr>
          <w:rFonts w:cstheme="minorHAnsi"/>
          <w:sz w:val="28"/>
          <w:szCs w:val="28"/>
        </w:rPr>
        <w:t xml:space="preserve">all but a handful of the </w:t>
      </w:r>
      <w:r w:rsidRPr="00E41C69">
        <w:rPr>
          <w:rFonts w:cstheme="minorHAnsi"/>
          <w:sz w:val="28"/>
          <w:szCs w:val="28"/>
        </w:rPr>
        <w:t>ex-polytechnic</w:t>
      </w:r>
      <w:r w:rsidR="008752A4" w:rsidRPr="00E41C69">
        <w:rPr>
          <w:rFonts w:cstheme="minorHAnsi"/>
          <w:sz w:val="28"/>
          <w:szCs w:val="28"/>
        </w:rPr>
        <w:t xml:space="preserve"> universities (Edinburgh Napier, Derby, Hertfordshire, Sunderland)</w:t>
      </w:r>
      <w:r w:rsidRPr="00E41C69">
        <w:rPr>
          <w:rFonts w:cstheme="minorHAnsi"/>
          <w:sz w:val="28"/>
          <w:szCs w:val="28"/>
        </w:rPr>
        <w:t xml:space="preserve"> is noticeable and </w:t>
      </w:r>
      <w:r w:rsidR="00B35B69" w:rsidRPr="00E41C69">
        <w:rPr>
          <w:rFonts w:cstheme="minorHAnsi"/>
          <w:sz w:val="28"/>
          <w:szCs w:val="28"/>
        </w:rPr>
        <w:t xml:space="preserve">is </w:t>
      </w:r>
      <w:r w:rsidRPr="00E41C69">
        <w:rPr>
          <w:rFonts w:cstheme="minorHAnsi"/>
          <w:sz w:val="28"/>
          <w:szCs w:val="28"/>
        </w:rPr>
        <w:t xml:space="preserve">probably </w:t>
      </w:r>
      <w:r w:rsidR="00B35B69" w:rsidRPr="00E41C69">
        <w:rPr>
          <w:rFonts w:cstheme="minorHAnsi"/>
          <w:sz w:val="28"/>
          <w:szCs w:val="28"/>
        </w:rPr>
        <w:t xml:space="preserve">due to the difficulties faced by </w:t>
      </w:r>
      <w:r w:rsidRPr="00E41C69">
        <w:rPr>
          <w:rFonts w:cstheme="minorHAnsi"/>
          <w:sz w:val="28"/>
          <w:szCs w:val="28"/>
        </w:rPr>
        <w:t>lower status</w:t>
      </w:r>
      <w:r w:rsidR="00C41EBB" w:rsidRPr="00E41C69">
        <w:rPr>
          <w:rFonts w:cstheme="minorHAnsi"/>
          <w:sz w:val="28"/>
          <w:szCs w:val="28"/>
        </w:rPr>
        <w:t>, less well</w:t>
      </w:r>
      <w:r w:rsidR="00F751E3">
        <w:rPr>
          <w:rFonts w:cstheme="minorHAnsi"/>
          <w:sz w:val="28"/>
          <w:szCs w:val="28"/>
        </w:rPr>
        <w:t>-</w:t>
      </w:r>
      <w:r w:rsidR="00C41EBB" w:rsidRPr="00E41C69">
        <w:rPr>
          <w:rFonts w:cstheme="minorHAnsi"/>
          <w:sz w:val="28"/>
          <w:szCs w:val="28"/>
        </w:rPr>
        <w:t xml:space="preserve"> resourced</w:t>
      </w:r>
      <w:r w:rsidRPr="00E41C69">
        <w:rPr>
          <w:rFonts w:cstheme="minorHAnsi"/>
          <w:sz w:val="28"/>
          <w:szCs w:val="28"/>
        </w:rPr>
        <w:t xml:space="preserve"> universities in generating demand </w:t>
      </w:r>
      <w:r w:rsidR="00B35B69" w:rsidRPr="00E41C69">
        <w:rPr>
          <w:rFonts w:cstheme="minorHAnsi"/>
          <w:sz w:val="28"/>
          <w:szCs w:val="28"/>
        </w:rPr>
        <w:t xml:space="preserve">and then managing </w:t>
      </w:r>
      <w:r w:rsidRPr="00E41C69">
        <w:rPr>
          <w:rFonts w:cstheme="minorHAnsi"/>
          <w:sz w:val="28"/>
          <w:szCs w:val="28"/>
        </w:rPr>
        <w:t xml:space="preserve">what are relatively expensive </w:t>
      </w:r>
      <w:r w:rsidR="00B35B69" w:rsidRPr="00E41C69">
        <w:rPr>
          <w:rFonts w:cstheme="minorHAnsi"/>
          <w:sz w:val="28"/>
          <w:szCs w:val="28"/>
        </w:rPr>
        <w:t xml:space="preserve">and </w:t>
      </w:r>
      <w:r w:rsidR="00C41EBB" w:rsidRPr="00E41C69">
        <w:rPr>
          <w:rFonts w:cstheme="minorHAnsi"/>
          <w:sz w:val="28"/>
          <w:szCs w:val="28"/>
        </w:rPr>
        <w:t xml:space="preserve">difficult to deliver </w:t>
      </w:r>
      <w:r w:rsidRPr="00E41C69">
        <w:rPr>
          <w:rFonts w:cstheme="minorHAnsi"/>
          <w:sz w:val="28"/>
          <w:szCs w:val="28"/>
        </w:rPr>
        <w:t xml:space="preserve">courses (see section 7). </w:t>
      </w:r>
    </w:p>
    <w:p w14:paraId="64D02CBA" w14:textId="77777777" w:rsidR="001F62C5" w:rsidRDefault="001F62C5" w:rsidP="00FD14D5">
      <w:pPr>
        <w:jc w:val="both"/>
        <w:rPr>
          <w:rFonts w:cstheme="minorHAnsi"/>
          <w:sz w:val="28"/>
          <w:szCs w:val="28"/>
        </w:rPr>
      </w:pPr>
      <w:r>
        <w:rPr>
          <w:rFonts w:cstheme="minorHAnsi"/>
          <w:b/>
          <w:sz w:val="28"/>
          <w:szCs w:val="28"/>
        </w:rPr>
        <w:t xml:space="preserve">4.5.3 </w:t>
      </w:r>
      <w:r w:rsidR="00FD14D5" w:rsidRPr="00E41C69">
        <w:rPr>
          <w:rFonts w:cstheme="minorHAnsi"/>
          <w:b/>
          <w:sz w:val="28"/>
          <w:szCs w:val="28"/>
        </w:rPr>
        <w:t>Enrolment trends</w:t>
      </w:r>
    </w:p>
    <w:p w14:paraId="5E344A36" w14:textId="2150CD17" w:rsidR="00FD14D5" w:rsidRDefault="00FD14D5" w:rsidP="00FD14D5">
      <w:pPr>
        <w:jc w:val="both"/>
        <w:rPr>
          <w:rFonts w:cstheme="minorHAnsi"/>
          <w:sz w:val="28"/>
          <w:szCs w:val="28"/>
        </w:rPr>
      </w:pPr>
      <w:r w:rsidRPr="00E41C69">
        <w:rPr>
          <w:rFonts w:cstheme="minorHAnsi"/>
          <w:sz w:val="28"/>
          <w:szCs w:val="28"/>
        </w:rPr>
        <w:t>Total undergraduate ODL enrolments declined appreciably both in absolute and relative terms between 2007/08 and 2</w:t>
      </w:r>
      <w:r w:rsidR="00E9016A">
        <w:rPr>
          <w:rFonts w:cstheme="minorHAnsi"/>
          <w:sz w:val="28"/>
          <w:szCs w:val="28"/>
        </w:rPr>
        <w:t>016/17 (see figure 5</w:t>
      </w:r>
      <w:r w:rsidRPr="00E41C69">
        <w:rPr>
          <w:rFonts w:cstheme="minorHAnsi"/>
          <w:sz w:val="28"/>
          <w:szCs w:val="28"/>
        </w:rPr>
        <w:t>). By contrast, postgraduate ODL enrolments increased by over 60% during the same period with ‘the rest of universities’ group accounting for most of this growth. Global student demand for high-fee MBA courses from higher status universities (such as Liverpool, Manchester, Reading/Henley, and Edinburgh), has been particularly strong. However, there has been a marked slowdown in postgraduate ODL enrolments during the last five years.</w:t>
      </w:r>
    </w:p>
    <w:p w14:paraId="1BB772A9" w14:textId="574DC967" w:rsidR="00345FCF" w:rsidRDefault="00521C17" w:rsidP="00E114E2">
      <w:pPr>
        <w:jc w:val="both"/>
        <w:rPr>
          <w:rFonts w:cstheme="minorHAnsi"/>
          <w:sz w:val="28"/>
          <w:szCs w:val="28"/>
        </w:rPr>
      </w:pPr>
      <w:r w:rsidRPr="00E41C69">
        <w:rPr>
          <w:rFonts w:cstheme="minorHAnsi"/>
          <w:sz w:val="28"/>
          <w:szCs w:val="28"/>
        </w:rPr>
        <w:t xml:space="preserve"> </w:t>
      </w:r>
      <w:r w:rsidR="006C60F7" w:rsidRPr="00E41C69">
        <w:rPr>
          <w:rFonts w:cstheme="minorHAnsi"/>
          <w:sz w:val="28"/>
          <w:szCs w:val="28"/>
        </w:rPr>
        <w:t xml:space="preserve"> </w:t>
      </w:r>
    </w:p>
    <w:p w14:paraId="67B69044" w14:textId="77777777" w:rsidR="0066770D" w:rsidRDefault="001440E4" w:rsidP="00E114E2">
      <w:pPr>
        <w:jc w:val="both"/>
        <w:rPr>
          <w:rFonts w:cstheme="minorHAnsi"/>
          <w:b/>
          <w:sz w:val="28"/>
          <w:szCs w:val="28"/>
        </w:rPr>
      </w:pPr>
      <w:r w:rsidRPr="001440E4">
        <w:rPr>
          <w:rFonts w:cstheme="minorHAnsi"/>
          <w:b/>
          <w:noProof/>
          <w:sz w:val="28"/>
          <w:szCs w:val="28"/>
          <w:lang w:eastAsia="en-GB"/>
        </w:rPr>
        <w:lastRenderedPageBreak/>
        <w:drawing>
          <wp:inline distT="0" distB="0" distL="0" distR="0" wp14:anchorId="75A9D1E9" wp14:editId="39569BB7">
            <wp:extent cx="5567558" cy="2931090"/>
            <wp:effectExtent l="0" t="0" r="14605" b="3175"/>
            <wp:docPr id="4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10E95A" w14:textId="606FA0EE" w:rsidR="00562492" w:rsidRDefault="00FD14D5" w:rsidP="00506460">
      <w:pPr>
        <w:jc w:val="both"/>
        <w:rPr>
          <w:rFonts w:cstheme="minorHAnsi"/>
          <w:sz w:val="28"/>
          <w:szCs w:val="28"/>
        </w:rPr>
      </w:pPr>
      <w:r w:rsidRPr="00E41C69">
        <w:rPr>
          <w:rFonts w:cstheme="minorHAnsi"/>
          <w:sz w:val="28"/>
          <w:szCs w:val="28"/>
        </w:rPr>
        <w:t>A total of 45 universities have begun to offer overseas distance learning since 2007/08. However, only eight of these universities had more than 500 ODL students by 2015/16 which</w:t>
      </w:r>
      <w:r>
        <w:rPr>
          <w:rFonts w:cstheme="minorHAnsi"/>
          <w:sz w:val="28"/>
          <w:szCs w:val="28"/>
        </w:rPr>
        <w:t>,</w:t>
      </w:r>
      <w:r w:rsidRPr="00E41C69">
        <w:rPr>
          <w:rFonts w:cstheme="minorHAnsi"/>
          <w:sz w:val="28"/>
          <w:szCs w:val="28"/>
        </w:rPr>
        <w:t xml:space="preserve"> again</w:t>
      </w:r>
      <w:r>
        <w:rPr>
          <w:rFonts w:cstheme="minorHAnsi"/>
          <w:sz w:val="28"/>
          <w:szCs w:val="28"/>
        </w:rPr>
        <w:t>,</w:t>
      </w:r>
      <w:r w:rsidRPr="00E41C69">
        <w:rPr>
          <w:rFonts w:cstheme="minorHAnsi"/>
          <w:sz w:val="28"/>
          <w:szCs w:val="28"/>
        </w:rPr>
        <w:t xml:space="preserve"> highlights the difficulties of scaling-up provision. ODL enrolments declined at 16 universities between 2007/08 and 2015/16 with eight universities withdrawing altogether. ODL enrolments have also fallen significantly at universities such as Heriot-Watt and Leicester which had been major ODL providers </w:t>
      </w:r>
      <w:r>
        <w:rPr>
          <w:rFonts w:cstheme="minorHAnsi"/>
          <w:sz w:val="28"/>
          <w:szCs w:val="28"/>
        </w:rPr>
        <w:t>in the mid-</w:t>
      </w:r>
      <w:r w:rsidRPr="00E41C69">
        <w:rPr>
          <w:rFonts w:cstheme="minorHAnsi"/>
          <w:sz w:val="28"/>
          <w:szCs w:val="28"/>
        </w:rPr>
        <w:t>1990s</w:t>
      </w:r>
      <w:r w:rsidR="00562492">
        <w:rPr>
          <w:rStyle w:val="FootnoteReference"/>
          <w:rFonts w:cstheme="minorHAnsi"/>
          <w:sz w:val="28"/>
          <w:szCs w:val="28"/>
        </w:rPr>
        <w:footnoteReference w:id="7"/>
      </w:r>
      <w:r w:rsidRPr="00E41C69">
        <w:rPr>
          <w:rFonts w:cstheme="minorHAnsi"/>
          <w:sz w:val="28"/>
          <w:szCs w:val="28"/>
        </w:rPr>
        <w:t>. Since 2012/13, ODL enrolments have also fallen appreciably at some key universities such as Liverpool and Manchester which had recorded impressive increase</w:t>
      </w:r>
      <w:r w:rsidR="00506460">
        <w:rPr>
          <w:rFonts w:cstheme="minorHAnsi"/>
          <w:sz w:val="28"/>
          <w:szCs w:val="28"/>
        </w:rPr>
        <w:t xml:space="preserve">s in enrolments in the 2000s.  </w:t>
      </w:r>
    </w:p>
    <w:p w14:paraId="345F8106" w14:textId="77777777" w:rsidR="001F62C5" w:rsidRDefault="001F62C5" w:rsidP="002941B6">
      <w:pPr>
        <w:rPr>
          <w:rFonts w:cstheme="minorHAnsi"/>
          <w:b/>
          <w:sz w:val="28"/>
          <w:szCs w:val="28"/>
        </w:rPr>
      </w:pPr>
      <w:r>
        <w:rPr>
          <w:rFonts w:cstheme="minorHAnsi"/>
          <w:b/>
          <w:sz w:val="28"/>
          <w:szCs w:val="28"/>
        </w:rPr>
        <w:t>4.5.4 Geographical profile</w:t>
      </w:r>
    </w:p>
    <w:p w14:paraId="588E26B4" w14:textId="4EE599A5" w:rsidR="00345FCF" w:rsidRPr="00506460" w:rsidRDefault="009F4CAA" w:rsidP="001F62C5">
      <w:pPr>
        <w:jc w:val="both"/>
        <w:rPr>
          <w:rFonts w:cstheme="minorHAnsi"/>
          <w:sz w:val="28"/>
          <w:szCs w:val="28"/>
        </w:rPr>
      </w:pPr>
      <w:r w:rsidRPr="00E41C69">
        <w:rPr>
          <w:rFonts w:cstheme="minorHAnsi"/>
          <w:sz w:val="28"/>
          <w:szCs w:val="28"/>
        </w:rPr>
        <w:t>ODL is considerably more geographically dispersed than FVA offshore provision but it is quite strongly concentrated in micro and small states, conflict-affected/insecure states, countries with hostile policy regimes towards foreign offshore provision (including South Africa) as well as in Europe and North America.</w:t>
      </w:r>
      <w:r>
        <w:rPr>
          <w:rFonts w:cstheme="minorHAnsi"/>
          <w:sz w:val="28"/>
          <w:szCs w:val="28"/>
        </w:rPr>
        <w:t xml:space="preserve"> In 10</w:t>
      </w:r>
      <w:r w:rsidRPr="00E41C69">
        <w:rPr>
          <w:rFonts w:cstheme="minorHAnsi"/>
          <w:sz w:val="28"/>
          <w:szCs w:val="28"/>
        </w:rPr>
        <w:t xml:space="preserve">5 out of a total of 223 countries, ODL provision by UK universities </w:t>
      </w:r>
      <w:r>
        <w:rPr>
          <w:rFonts w:cstheme="minorHAnsi"/>
          <w:sz w:val="28"/>
          <w:szCs w:val="28"/>
        </w:rPr>
        <w:t>still accounts for over 8</w:t>
      </w:r>
      <w:r w:rsidRPr="00E41C69">
        <w:rPr>
          <w:rFonts w:cstheme="minorHAnsi"/>
          <w:sz w:val="28"/>
          <w:szCs w:val="28"/>
        </w:rPr>
        <w:t>0% of total UK of</w:t>
      </w:r>
      <w:r w:rsidR="00E9016A">
        <w:rPr>
          <w:rFonts w:cstheme="minorHAnsi"/>
          <w:sz w:val="28"/>
          <w:szCs w:val="28"/>
        </w:rPr>
        <w:t>fshore enrolments (see table 10</w:t>
      </w:r>
      <w:r w:rsidRPr="00E41C69">
        <w:rPr>
          <w:rFonts w:cstheme="minorHAnsi"/>
          <w:sz w:val="28"/>
          <w:szCs w:val="28"/>
        </w:rPr>
        <w:t>).</w:t>
      </w:r>
    </w:p>
    <w:p w14:paraId="51A377EA" w14:textId="77777777" w:rsidR="00E9016A" w:rsidRDefault="00E9016A">
      <w:r>
        <w:br w:type="page"/>
      </w:r>
    </w:p>
    <w:tbl>
      <w:tblPr>
        <w:tblW w:w="9187" w:type="dxa"/>
        <w:tblLook w:val="04A0" w:firstRow="1" w:lastRow="0" w:firstColumn="1" w:lastColumn="0" w:noHBand="0" w:noVBand="1"/>
      </w:tblPr>
      <w:tblGrid>
        <w:gridCol w:w="2133"/>
        <w:gridCol w:w="1915"/>
        <w:gridCol w:w="5139"/>
      </w:tblGrid>
      <w:tr w:rsidR="00E9016A" w:rsidRPr="00E56EF3" w14:paraId="39C95EB2" w14:textId="77777777" w:rsidTr="001F62C5">
        <w:trPr>
          <w:trHeight w:val="296"/>
        </w:trPr>
        <w:tc>
          <w:tcPr>
            <w:tcW w:w="9187" w:type="dxa"/>
            <w:gridSpan w:val="3"/>
            <w:tcBorders>
              <w:top w:val="nil"/>
              <w:left w:val="nil"/>
              <w:bottom w:val="nil"/>
              <w:right w:val="nil"/>
            </w:tcBorders>
            <w:shd w:val="clear" w:color="auto" w:fill="auto"/>
            <w:noWrap/>
            <w:vAlign w:val="bottom"/>
            <w:hideMark/>
          </w:tcPr>
          <w:p w14:paraId="34EB1675" w14:textId="55D58CFE" w:rsidR="00E9016A" w:rsidRPr="00E56EF3" w:rsidRDefault="00E9016A" w:rsidP="001F62C5">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lastRenderedPageBreak/>
              <w:t>Table 10</w:t>
            </w:r>
            <w:r w:rsidRPr="00E56EF3">
              <w:rPr>
                <w:rFonts w:ascii="Calibri" w:eastAsia="Times New Roman" w:hAnsi="Calibri" w:cs="Calibri"/>
                <w:b/>
                <w:bCs/>
                <w:color w:val="5F735C"/>
                <w:lang w:eastAsia="en-GB"/>
              </w:rPr>
              <w:t xml:space="preserve">: Overseas distance learning students at UK universities as percentage of total UK </w:t>
            </w:r>
          </w:p>
        </w:tc>
      </w:tr>
      <w:tr w:rsidR="00E9016A" w:rsidRPr="00E56EF3" w14:paraId="00AD1061" w14:textId="77777777" w:rsidTr="001F62C5">
        <w:trPr>
          <w:trHeight w:val="296"/>
        </w:trPr>
        <w:tc>
          <w:tcPr>
            <w:tcW w:w="9187" w:type="dxa"/>
            <w:gridSpan w:val="3"/>
            <w:tcBorders>
              <w:top w:val="nil"/>
              <w:left w:val="nil"/>
              <w:bottom w:val="nil"/>
              <w:right w:val="nil"/>
            </w:tcBorders>
            <w:shd w:val="clear" w:color="auto" w:fill="auto"/>
            <w:noWrap/>
            <w:vAlign w:val="bottom"/>
            <w:hideMark/>
          </w:tcPr>
          <w:p w14:paraId="7D42A47B" w14:textId="77777777" w:rsidR="00E9016A" w:rsidRPr="00E56EF3" w:rsidRDefault="00E9016A" w:rsidP="001F62C5">
            <w:pPr>
              <w:spacing w:after="0" w:line="240" w:lineRule="auto"/>
              <w:rPr>
                <w:rFonts w:ascii="Calibri" w:eastAsia="Times New Roman" w:hAnsi="Calibri" w:cs="Calibri"/>
                <w:b/>
                <w:bCs/>
                <w:color w:val="5F735C"/>
                <w:lang w:eastAsia="en-GB"/>
              </w:rPr>
            </w:pPr>
            <w:r w:rsidRPr="00E56EF3">
              <w:rPr>
                <w:rFonts w:ascii="Calibri" w:eastAsia="Times New Roman" w:hAnsi="Calibri" w:cs="Calibri"/>
                <w:b/>
                <w:bCs/>
                <w:color w:val="5F735C"/>
                <w:lang w:eastAsia="en-GB"/>
              </w:rPr>
              <w:t>offshore provision by country ('000 rounded)</w:t>
            </w:r>
          </w:p>
        </w:tc>
      </w:tr>
      <w:tr w:rsidR="00E9016A" w:rsidRPr="00E56EF3" w14:paraId="0DB9F9D5" w14:textId="77777777" w:rsidTr="001F62C5">
        <w:trPr>
          <w:trHeight w:val="296"/>
        </w:trPr>
        <w:tc>
          <w:tcPr>
            <w:tcW w:w="2133"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0A59F8F0" w14:textId="77777777" w:rsidR="00E9016A" w:rsidRPr="00E56EF3" w:rsidRDefault="00E9016A" w:rsidP="001F62C5">
            <w:pPr>
              <w:spacing w:after="0" w:line="240" w:lineRule="auto"/>
              <w:jc w:val="center"/>
              <w:rPr>
                <w:rFonts w:ascii="Calibri" w:eastAsia="Times New Roman" w:hAnsi="Calibri" w:cs="Calibri"/>
                <w:b/>
                <w:bCs/>
                <w:color w:val="FFFFFF"/>
                <w:lang w:eastAsia="en-GB"/>
              </w:rPr>
            </w:pPr>
            <w:r w:rsidRPr="00E56EF3">
              <w:rPr>
                <w:rFonts w:ascii="Calibri" w:eastAsia="Times New Roman" w:hAnsi="Calibri" w:cs="Calibri"/>
                <w:b/>
                <w:bCs/>
                <w:color w:val="FFFFFF"/>
                <w:lang w:eastAsia="en-GB"/>
              </w:rPr>
              <w:t>ODL% total offshore</w:t>
            </w:r>
          </w:p>
        </w:tc>
        <w:tc>
          <w:tcPr>
            <w:tcW w:w="1915" w:type="dxa"/>
            <w:tcBorders>
              <w:top w:val="single" w:sz="4" w:space="0" w:color="FFFFFF"/>
              <w:left w:val="nil"/>
              <w:bottom w:val="single" w:sz="4" w:space="0" w:color="FFFFFF"/>
              <w:right w:val="single" w:sz="4" w:space="0" w:color="FFFFFF"/>
            </w:tcBorders>
            <w:shd w:val="clear" w:color="000000" w:fill="49723B"/>
            <w:noWrap/>
            <w:vAlign w:val="bottom"/>
            <w:hideMark/>
          </w:tcPr>
          <w:p w14:paraId="38AFBC4C" w14:textId="77777777" w:rsidR="00E9016A" w:rsidRPr="00E56EF3" w:rsidRDefault="00E9016A" w:rsidP="001F62C5">
            <w:pPr>
              <w:spacing w:after="0" w:line="240" w:lineRule="auto"/>
              <w:jc w:val="center"/>
              <w:rPr>
                <w:rFonts w:ascii="Calibri" w:eastAsia="Times New Roman" w:hAnsi="Calibri" w:cs="Calibri"/>
                <w:b/>
                <w:bCs/>
                <w:color w:val="FFFFFF"/>
                <w:lang w:eastAsia="en-GB"/>
              </w:rPr>
            </w:pPr>
            <w:r w:rsidRPr="00E56EF3">
              <w:rPr>
                <w:rFonts w:ascii="Calibri" w:eastAsia="Times New Roman" w:hAnsi="Calibri" w:cs="Calibri"/>
                <w:b/>
                <w:bCs/>
                <w:color w:val="FFFFFF"/>
                <w:lang w:eastAsia="en-GB"/>
              </w:rPr>
              <w:t>Number countries</w:t>
            </w:r>
          </w:p>
        </w:tc>
        <w:tc>
          <w:tcPr>
            <w:tcW w:w="5139" w:type="dxa"/>
            <w:tcBorders>
              <w:top w:val="single" w:sz="4" w:space="0" w:color="FFFFFF"/>
              <w:left w:val="nil"/>
              <w:bottom w:val="single" w:sz="4" w:space="0" w:color="FFFFFF"/>
              <w:right w:val="single" w:sz="4" w:space="0" w:color="FFFFFF"/>
            </w:tcBorders>
            <w:shd w:val="clear" w:color="000000" w:fill="49723B"/>
            <w:noWrap/>
            <w:vAlign w:val="bottom"/>
            <w:hideMark/>
          </w:tcPr>
          <w:p w14:paraId="48D77BEC" w14:textId="77777777" w:rsidR="00E9016A" w:rsidRPr="00E56EF3" w:rsidRDefault="00E9016A" w:rsidP="001F62C5">
            <w:pPr>
              <w:spacing w:after="0" w:line="240" w:lineRule="auto"/>
              <w:jc w:val="center"/>
              <w:rPr>
                <w:rFonts w:ascii="Calibri" w:eastAsia="Times New Roman" w:hAnsi="Calibri" w:cs="Calibri"/>
                <w:b/>
                <w:bCs/>
                <w:color w:val="FFFFFF"/>
                <w:lang w:eastAsia="en-GB"/>
              </w:rPr>
            </w:pPr>
            <w:r w:rsidRPr="00E56EF3">
              <w:rPr>
                <w:rFonts w:ascii="Calibri" w:eastAsia="Times New Roman" w:hAnsi="Calibri" w:cs="Calibri"/>
                <w:b/>
                <w:bCs/>
                <w:color w:val="FFFFFF"/>
                <w:lang w:eastAsia="en-GB"/>
              </w:rPr>
              <w:t>Three largest country enrolments</w:t>
            </w:r>
          </w:p>
        </w:tc>
      </w:tr>
      <w:tr w:rsidR="00E9016A" w:rsidRPr="00E56EF3" w14:paraId="2C36E79E" w14:textId="77777777" w:rsidTr="001F62C5">
        <w:trPr>
          <w:trHeight w:val="296"/>
        </w:trPr>
        <w:tc>
          <w:tcPr>
            <w:tcW w:w="2133" w:type="dxa"/>
            <w:tcBorders>
              <w:top w:val="nil"/>
              <w:left w:val="single" w:sz="4" w:space="0" w:color="FFFFFF"/>
              <w:bottom w:val="single" w:sz="4" w:space="0" w:color="FFFFFF"/>
              <w:right w:val="single" w:sz="4" w:space="0" w:color="FFFFFF"/>
            </w:tcBorders>
            <w:shd w:val="clear" w:color="000000" w:fill="EFEAE6"/>
            <w:noWrap/>
            <w:vAlign w:val="bottom"/>
            <w:hideMark/>
          </w:tcPr>
          <w:p w14:paraId="32B225D7"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1</w:t>
            </w:r>
            <w:r>
              <w:rPr>
                <w:rFonts w:ascii="Calibri" w:eastAsia="Times New Roman" w:hAnsi="Calibri" w:cs="Calibri"/>
                <w:color w:val="000000"/>
                <w:lang w:eastAsia="en-GB"/>
              </w:rPr>
              <w:t>00</w:t>
            </w:r>
          </w:p>
        </w:tc>
        <w:tc>
          <w:tcPr>
            <w:tcW w:w="1915" w:type="dxa"/>
            <w:tcBorders>
              <w:top w:val="nil"/>
              <w:left w:val="nil"/>
              <w:bottom w:val="single" w:sz="4" w:space="0" w:color="FFFFFF"/>
              <w:right w:val="single" w:sz="4" w:space="0" w:color="FFFFFF"/>
            </w:tcBorders>
            <w:shd w:val="clear" w:color="000000" w:fill="EFEAE6"/>
            <w:noWrap/>
            <w:vAlign w:val="bottom"/>
            <w:hideMark/>
          </w:tcPr>
          <w:p w14:paraId="77626B30"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33</w:t>
            </w:r>
          </w:p>
        </w:tc>
        <w:tc>
          <w:tcPr>
            <w:tcW w:w="5139" w:type="dxa"/>
            <w:tcBorders>
              <w:top w:val="nil"/>
              <w:left w:val="nil"/>
              <w:bottom w:val="single" w:sz="4" w:space="0" w:color="FFFFFF"/>
              <w:right w:val="single" w:sz="4" w:space="0" w:color="FFFFFF"/>
            </w:tcBorders>
            <w:shd w:val="clear" w:color="000000" w:fill="EFEAE6"/>
            <w:noWrap/>
            <w:vAlign w:val="bottom"/>
            <w:hideMark/>
          </w:tcPr>
          <w:p w14:paraId="15B71896" w14:textId="77777777" w:rsidR="00E9016A" w:rsidRPr="00E56EF3" w:rsidRDefault="00E9016A" w:rsidP="001F62C5">
            <w:pPr>
              <w:spacing w:after="0" w:line="240" w:lineRule="auto"/>
              <w:rPr>
                <w:rFonts w:ascii="Calibri" w:eastAsia="Times New Roman" w:hAnsi="Calibri" w:cs="Calibri"/>
                <w:color w:val="000000"/>
                <w:lang w:eastAsia="en-GB"/>
              </w:rPr>
            </w:pPr>
            <w:r w:rsidRPr="00E56EF3">
              <w:rPr>
                <w:rFonts w:ascii="Calibri" w:eastAsia="Times New Roman" w:hAnsi="Calibri" w:cs="Calibri"/>
                <w:color w:val="000000"/>
                <w:lang w:eastAsia="en-GB"/>
              </w:rPr>
              <w:t> </w:t>
            </w:r>
          </w:p>
        </w:tc>
      </w:tr>
      <w:tr w:rsidR="00E9016A" w:rsidRPr="00E56EF3" w14:paraId="5C7F586F" w14:textId="77777777" w:rsidTr="001F62C5">
        <w:trPr>
          <w:trHeight w:val="296"/>
        </w:trPr>
        <w:tc>
          <w:tcPr>
            <w:tcW w:w="2133" w:type="dxa"/>
            <w:tcBorders>
              <w:top w:val="nil"/>
              <w:left w:val="single" w:sz="4" w:space="0" w:color="FFFFFF"/>
              <w:bottom w:val="single" w:sz="4" w:space="0" w:color="FFFFFF"/>
              <w:right w:val="single" w:sz="4" w:space="0" w:color="FFFFFF"/>
            </w:tcBorders>
            <w:shd w:val="clear" w:color="000000" w:fill="EFEAE6"/>
            <w:noWrap/>
            <w:vAlign w:val="bottom"/>
            <w:hideMark/>
          </w:tcPr>
          <w:p w14:paraId="516069EB"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80-99.99</w:t>
            </w:r>
          </w:p>
        </w:tc>
        <w:tc>
          <w:tcPr>
            <w:tcW w:w="1915" w:type="dxa"/>
            <w:tcBorders>
              <w:top w:val="nil"/>
              <w:left w:val="nil"/>
              <w:bottom w:val="single" w:sz="4" w:space="0" w:color="FFFFFF"/>
              <w:right w:val="single" w:sz="4" w:space="0" w:color="FFFFFF"/>
            </w:tcBorders>
            <w:shd w:val="clear" w:color="000000" w:fill="EFEAE6"/>
            <w:noWrap/>
            <w:vAlign w:val="bottom"/>
            <w:hideMark/>
          </w:tcPr>
          <w:p w14:paraId="7ACC4E2F"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72</w:t>
            </w:r>
          </w:p>
        </w:tc>
        <w:tc>
          <w:tcPr>
            <w:tcW w:w="5139" w:type="dxa"/>
            <w:tcBorders>
              <w:top w:val="nil"/>
              <w:left w:val="nil"/>
              <w:bottom w:val="single" w:sz="4" w:space="0" w:color="FFFFFF"/>
              <w:right w:val="single" w:sz="4" w:space="0" w:color="FFFFFF"/>
            </w:tcBorders>
            <w:shd w:val="clear" w:color="000000" w:fill="EFEAE6"/>
            <w:noWrap/>
            <w:vAlign w:val="bottom"/>
            <w:hideMark/>
          </w:tcPr>
          <w:p w14:paraId="0AE05DE9" w14:textId="77777777" w:rsidR="00E9016A" w:rsidRPr="00E56EF3" w:rsidRDefault="00E9016A" w:rsidP="001F62C5">
            <w:pPr>
              <w:spacing w:after="0" w:line="240" w:lineRule="auto"/>
              <w:rPr>
                <w:rFonts w:ascii="Calibri" w:eastAsia="Times New Roman" w:hAnsi="Calibri" w:cs="Calibri"/>
                <w:color w:val="000000"/>
                <w:lang w:eastAsia="en-GB"/>
              </w:rPr>
            </w:pPr>
            <w:r w:rsidRPr="00E56EF3">
              <w:rPr>
                <w:rFonts w:ascii="Calibri" w:eastAsia="Times New Roman" w:hAnsi="Calibri" w:cs="Calibri"/>
                <w:color w:val="000000"/>
                <w:lang w:eastAsia="en-GB"/>
              </w:rPr>
              <w:t>USA (4), South Africa (4), Australia (2)</w:t>
            </w:r>
          </w:p>
        </w:tc>
      </w:tr>
      <w:tr w:rsidR="00E9016A" w:rsidRPr="00E56EF3" w14:paraId="2F1013AF" w14:textId="77777777" w:rsidTr="001F62C5">
        <w:trPr>
          <w:trHeight w:val="296"/>
        </w:trPr>
        <w:tc>
          <w:tcPr>
            <w:tcW w:w="2133" w:type="dxa"/>
            <w:tcBorders>
              <w:top w:val="nil"/>
              <w:left w:val="single" w:sz="4" w:space="0" w:color="FFFFFF"/>
              <w:bottom w:val="single" w:sz="4" w:space="0" w:color="FFFFFF"/>
              <w:right w:val="single" w:sz="4" w:space="0" w:color="FFFFFF"/>
            </w:tcBorders>
            <w:shd w:val="clear" w:color="000000" w:fill="EFEAE6"/>
            <w:noWrap/>
            <w:vAlign w:val="bottom"/>
            <w:hideMark/>
          </w:tcPr>
          <w:p w14:paraId="1C707B49"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60-79.99</w:t>
            </w:r>
          </w:p>
        </w:tc>
        <w:tc>
          <w:tcPr>
            <w:tcW w:w="1915" w:type="dxa"/>
            <w:tcBorders>
              <w:top w:val="nil"/>
              <w:left w:val="nil"/>
              <w:bottom w:val="single" w:sz="4" w:space="0" w:color="FFFFFF"/>
              <w:right w:val="single" w:sz="4" w:space="0" w:color="FFFFFF"/>
            </w:tcBorders>
            <w:shd w:val="clear" w:color="000000" w:fill="EFEAE6"/>
            <w:noWrap/>
            <w:vAlign w:val="bottom"/>
            <w:hideMark/>
          </w:tcPr>
          <w:p w14:paraId="223654A5"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52</w:t>
            </w:r>
          </w:p>
        </w:tc>
        <w:tc>
          <w:tcPr>
            <w:tcW w:w="5139" w:type="dxa"/>
            <w:tcBorders>
              <w:top w:val="nil"/>
              <w:left w:val="nil"/>
              <w:bottom w:val="single" w:sz="4" w:space="0" w:color="FFFFFF"/>
              <w:right w:val="single" w:sz="4" w:space="0" w:color="FFFFFF"/>
            </w:tcBorders>
            <w:shd w:val="clear" w:color="000000" w:fill="EFEAE6"/>
            <w:noWrap/>
            <w:vAlign w:val="bottom"/>
            <w:hideMark/>
          </w:tcPr>
          <w:p w14:paraId="195A0F77" w14:textId="77777777" w:rsidR="00E9016A" w:rsidRPr="00E56EF3" w:rsidRDefault="00E9016A" w:rsidP="001F62C5">
            <w:pPr>
              <w:spacing w:after="0" w:line="240" w:lineRule="auto"/>
              <w:rPr>
                <w:rFonts w:ascii="Calibri" w:eastAsia="Times New Roman" w:hAnsi="Calibri" w:cs="Calibri"/>
                <w:color w:val="000000"/>
                <w:lang w:eastAsia="en-GB"/>
              </w:rPr>
            </w:pPr>
            <w:r w:rsidRPr="00E56EF3">
              <w:rPr>
                <w:rFonts w:ascii="Calibri" w:eastAsia="Times New Roman" w:hAnsi="Calibri" w:cs="Calibri"/>
                <w:color w:val="000000"/>
                <w:lang w:eastAsia="en-GB"/>
              </w:rPr>
              <w:t>Nigeria (5), Ireland (4), Germany (4)</w:t>
            </w:r>
          </w:p>
        </w:tc>
      </w:tr>
      <w:tr w:rsidR="00E9016A" w:rsidRPr="00E56EF3" w14:paraId="0CD3D68D" w14:textId="77777777" w:rsidTr="001F62C5">
        <w:trPr>
          <w:trHeight w:val="296"/>
        </w:trPr>
        <w:tc>
          <w:tcPr>
            <w:tcW w:w="2133" w:type="dxa"/>
            <w:tcBorders>
              <w:top w:val="nil"/>
              <w:left w:val="single" w:sz="4" w:space="0" w:color="FFFFFF"/>
              <w:bottom w:val="single" w:sz="4" w:space="0" w:color="FFFFFF"/>
              <w:right w:val="single" w:sz="4" w:space="0" w:color="FFFFFF"/>
            </w:tcBorders>
            <w:shd w:val="clear" w:color="000000" w:fill="EFEAE6"/>
            <w:noWrap/>
            <w:vAlign w:val="bottom"/>
            <w:hideMark/>
          </w:tcPr>
          <w:p w14:paraId="16CFF70B"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40-59.99</w:t>
            </w:r>
          </w:p>
        </w:tc>
        <w:tc>
          <w:tcPr>
            <w:tcW w:w="1915" w:type="dxa"/>
            <w:tcBorders>
              <w:top w:val="nil"/>
              <w:left w:val="nil"/>
              <w:bottom w:val="single" w:sz="4" w:space="0" w:color="FFFFFF"/>
              <w:right w:val="single" w:sz="4" w:space="0" w:color="FFFFFF"/>
            </w:tcBorders>
            <w:shd w:val="clear" w:color="000000" w:fill="EFEAE6"/>
            <w:noWrap/>
            <w:vAlign w:val="bottom"/>
            <w:hideMark/>
          </w:tcPr>
          <w:p w14:paraId="43452C00"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26</w:t>
            </w:r>
          </w:p>
        </w:tc>
        <w:tc>
          <w:tcPr>
            <w:tcW w:w="5139" w:type="dxa"/>
            <w:tcBorders>
              <w:top w:val="nil"/>
              <w:left w:val="nil"/>
              <w:bottom w:val="single" w:sz="4" w:space="0" w:color="FFFFFF"/>
              <w:right w:val="single" w:sz="4" w:space="0" w:color="FFFFFF"/>
            </w:tcBorders>
            <w:shd w:val="clear" w:color="000000" w:fill="EFEAE6"/>
            <w:noWrap/>
            <w:vAlign w:val="bottom"/>
            <w:hideMark/>
          </w:tcPr>
          <w:p w14:paraId="4FB5CF05" w14:textId="77777777" w:rsidR="00E9016A" w:rsidRPr="00E56EF3" w:rsidRDefault="00E9016A" w:rsidP="001F62C5">
            <w:pPr>
              <w:spacing w:after="0" w:line="240" w:lineRule="auto"/>
              <w:rPr>
                <w:rFonts w:ascii="Calibri" w:eastAsia="Times New Roman" w:hAnsi="Calibri" w:cs="Calibri"/>
                <w:color w:val="000000"/>
                <w:lang w:eastAsia="en-GB"/>
              </w:rPr>
            </w:pPr>
            <w:r w:rsidRPr="00E56EF3">
              <w:rPr>
                <w:rFonts w:ascii="Calibri" w:eastAsia="Times New Roman" w:hAnsi="Calibri" w:cs="Calibri"/>
                <w:color w:val="000000"/>
                <w:lang w:eastAsia="en-GB"/>
              </w:rPr>
              <w:t>Pakistan (4), Trinidad &amp; Tobago(3), Switzerland (2)</w:t>
            </w:r>
          </w:p>
        </w:tc>
      </w:tr>
      <w:tr w:rsidR="00E9016A" w:rsidRPr="00E56EF3" w14:paraId="6485088F" w14:textId="77777777" w:rsidTr="001F62C5">
        <w:trPr>
          <w:trHeight w:val="296"/>
        </w:trPr>
        <w:tc>
          <w:tcPr>
            <w:tcW w:w="2133" w:type="dxa"/>
            <w:tcBorders>
              <w:top w:val="nil"/>
              <w:left w:val="single" w:sz="4" w:space="0" w:color="FFFFFF"/>
              <w:bottom w:val="single" w:sz="4" w:space="0" w:color="FFFFFF"/>
              <w:right w:val="single" w:sz="4" w:space="0" w:color="FFFFFF"/>
            </w:tcBorders>
            <w:shd w:val="clear" w:color="000000" w:fill="EFEAE6"/>
            <w:noWrap/>
            <w:vAlign w:val="bottom"/>
            <w:hideMark/>
          </w:tcPr>
          <w:p w14:paraId="35DA89A2"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20-39.99</w:t>
            </w:r>
          </w:p>
        </w:tc>
        <w:tc>
          <w:tcPr>
            <w:tcW w:w="1915" w:type="dxa"/>
            <w:tcBorders>
              <w:top w:val="nil"/>
              <w:left w:val="nil"/>
              <w:bottom w:val="single" w:sz="4" w:space="0" w:color="FFFFFF"/>
              <w:right w:val="single" w:sz="4" w:space="0" w:color="FFFFFF"/>
            </w:tcBorders>
            <w:shd w:val="clear" w:color="000000" w:fill="EFEAE6"/>
            <w:noWrap/>
            <w:vAlign w:val="bottom"/>
            <w:hideMark/>
          </w:tcPr>
          <w:p w14:paraId="1BDEDE5A"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19</w:t>
            </w:r>
          </w:p>
        </w:tc>
        <w:tc>
          <w:tcPr>
            <w:tcW w:w="5139" w:type="dxa"/>
            <w:tcBorders>
              <w:top w:val="nil"/>
              <w:left w:val="nil"/>
              <w:bottom w:val="single" w:sz="4" w:space="0" w:color="FFFFFF"/>
              <w:right w:val="single" w:sz="4" w:space="0" w:color="FFFFFF"/>
            </w:tcBorders>
            <w:shd w:val="clear" w:color="000000" w:fill="EFEAE6"/>
            <w:noWrap/>
            <w:vAlign w:val="bottom"/>
            <w:hideMark/>
          </w:tcPr>
          <w:p w14:paraId="5004D5A5" w14:textId="77777777" w:rsidR="00E9016A" w:rsidRPr="00E56EF3" w:rsidRDefault="00E9016A" w:rsidP="001F62C5">
            <w:pPr>
              <w:spacing w:after="0" w:line="240" w:lineRule="auto"/>
              <w:rPr>
                <w:rFonts w:ascii="Calibri" w:eastAsia="Times New Roman" w:hAnsi="Calibri" w:cs="Calibri"/>
                <w:color w:val="000000"/>
                <w:lang w:eastAsia="en-GB"/>
              </w:rPr>
            </w:pPr>
            <w:r w:rsidRPr="00E56EF3">
              <w:rPr>
                <w:rFonts w:ascii="Calibri" w:eastAsia="Times New Roman" w:hAnsi="Calibri" w:cs="Calibri"/>
                <w:color w:val="000000"/>
                <w:lang w:eastAsia="en-GB"/>
              </w:rPr>
              <w:t>Singapore (12), Hong Kong (7), UAE (3)</w:t>
            </w:r>
          </w:p>
        </w:tc>
      </w:tr>
      <w:tr w:rsidR="00E9016A" w:rsidRPr="00E56EF3" w14:paraId="423AB765" w14:textId="77777777" w:rsidTr="001F62C5">
        <w:trPr>
          <w:trHeight w:val="296"/>
        </w:trPr>
        <w:tc>
          <w:tcPr>
            <w:tcW w:w="2133" w:type="dxa"/>
            <w:tcBorders>
              <w:top w:val="nil"/>
              <w:left w:val="single" w:sz="4" w:space="0" w:color="FFFFFF"/>
              <w:bottom w:val="single" w:sz="4" w:space="0" w:color="FFFFFF"/>
              <w:right w:val="single" w:sz="4" w:space="0" w:color="FFFFFF"/>
            </w:tcBorders>
            <w:shd w:val="clear" w:color="000000" w:fill="EFEAE6"/>
            <w:noWrap/>
            <w:vAlign w:val="bottom"/>
            <w:hideMark/>
          </w:tcPr>
          <w:p w14:paraId="5EA64C2F"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0.1-19.99</w:t>
            </w:r>
          </w:p>
        </w:tc>
        <w:tc>
          <w:tcPr>
            <w:tcW w:w="1915" w:type="dxa"/>
            <w:tcBorders>
              <w:top w:val="nil"/>
              <w:left w:val="nil"/>
              <w:bottom w:val="single" w:sz="4" w:space="0" w:color="FFFFFF"/>
              <w:right w:val="single" w:sz="4" w:space="0" w:color="FFFFFF"/>
            </w:tcBorders>
            <w:shd w:val="clear" w:color="000000" w:fill="EFEAE6"/>
            <w:noWrap/>
            <w:vAlign w:val="bottom"/>
            <w:hideMark/>
          </w:tcPr>
          <w:p w14:paraId="2CC5990B" w14:textId="77777777" w:rsidR="00E9016A" w:rsidRPr="00E56EF3" w:rsidRDefault="00E9016A" w:rsidP="001F62C5">
            <w:pPr>
              <w:spacing w:after="0" w:line="240" w:lineRule="auto"/>
              <w:jc w:val="center"/>
              <w:rPr>
                <w:rFonts w:ascii="Calibri" w:eastAsia="Times New Roman" w:hAnsi="Calibri" w:cs="Calibri"/>
                <w:color w:val="000000"/>
                <w:lang w:eastAsia="en-GB"/>
              </w:rPr>
            </w:pPr>
            <w:r w:rsidRPr="00E56EF3">
              <w:rPr>
                <w:rFonts w:ascii="Calibri" w:eastAsia="Times New Roman" w:hAnsi="Calibri" w:cs="Calibri"/>
                <w:color w:val="000000"/>
                <w:lang w:eastAsia="en-GB"/>
              </w:rPr>
              <w:t>21</w:t>
            </w:r>
          </w:p>
        </w:tc>
        <w:tc>
          <w:tcPr>
            <w:tcW w:w="5139" w:type="dxa"/>
            <w:tcBorders>
              <w:top w:val="nil"/>
              <w:left w:val="nil"/>
              <w:bottom w:val="single" w:sz="4" w:space="0" w:color="FFFFFF"/>
              <w:right w:val="single" w:sz="4" w:space="0" w:color="FFFFFF"/>
            </w:tcBorders>
            <w:shd w:val="clear" w:color="000000" w:fill="EFEAE6"/>
            <w:noWrap/>
            <w:vAlign w:val="bottom"/>
            <w:hideMark/>
          </w:tcPr>
          <w:p w14:paraId="338CF90A" w14:textId="77777777" w:rsidR="00E9016A" w:rsidRPr="00E56EF3" w:rsidRDefault="00E9016A" w:rsidP="001F62C5">
            <w:pPr>
              <w:spacing w:after="0" w:line="240" w:lineRule="auto"/>
              <w:rPr>
                <w:rFonts w:ascii="Calibri" w:eastAsia="Times New Roman" w:hAnsi="Calibri" w:cs="Calibri"/>
                <w:color w:val="000000"/>
                <w:lang w:eastAsia="en-GB"/>
              </w:rPr>
            </w:pPr>
            <w:r w:rsidRPr="00E56EF3">
              <w:rPr>
                <w:rFonts w:ascii="Calibri" w:eastAsia="Times New Roman" w:hAnsi="Calibri" w:cs="Calibri"/>
                <w:color w:val="000000"/>
                <w:lang w:eastAsia="en-GB"/>
              </w:rPr>
              <w:t>Malaysia (4), Sri Lanka (3), Greece (3)</w:t>
            </w:r>
          </w:p>
        </w:tc>
      </w:tr>
      <w:tr w:rsidR="00E9016A" w:rsidRPr="00E56EF3" w14:paraId="7CFF988D" w14:textId="77777777" w:rsidTr="001F62C5">
        <w:trPr>
          <w:trHeight w:val="296"/>
        </w:trPr>
        <w:tc>
          <w:tcPr>
            <w:tcW w:w="9187" w:type="dxa"/>
            <w:gridSpan w:val="3"/>
            <w:tcBorders>
              <w:top w:val="nil"/>
              <w:left w:val="nil"/>
              <w:bottom w:val="nil"/>
              <w:right w:val="nil"/>
            </w:tcBorders>
            <w:shd w:val="clear" w:color="auto" w:fill="auto"/>
            <w:noWrap/>
            <w:vAlign w:val="bottom"/>
            <w:hideMark/>
          </w:tcPr>
          <w:p w14:paraId="619A7176" w14:textId="77777777" w:rsidR="00E9016A" w:rsidRPr="00E56EF3" w:rsidRDefault="00E9016A" w:rsidP="001F62C5">
            <w:pPr>
              <w:spacing w:after="0" w:line="240" w:lineRule="auto"/>
              <w:rPr>
                <w:rFonts w:ascii="Calibri" w:eastAsia="Times New Roman" w:hAnsi="Calibri" w:cs="Calibri"/>
                <w:b/>
                <w:bCs/>
                <w:color w:val="5F735C"/>
                <w:lang w:eastAsia="en-GB"/>
              </w:rPr>
            </w:pPr>
            <w:r w:rsidRPr="00E56EF3">
              <w:rPr>
                <w:rFonts w:ascii="Calibri" w:eastAsia="Times New Roman" w:hAnsi="Calibri" w:cs="Calibri"/>
                <w:b/>
                <w:bCs/>
                <w:color w:val="5F735C"/>
                <w:lang w:eastAsia="en-GB"/>
              </w:rPr>
              <w:t>Notes: ( ) are country enrolments rounded to nearest '000.</w:t>
            </w:r>
          </w:p>
        </w:tc>
      </w:tr>
    </w:tbl>
    <w:p w14:paraId="073C325D" w14:textId="77777777" w:rsidR="00E9016A" w:rsidRDefault="00E9016A" w:rsidP="009F4CAA">
      <w:pPr>
        <w:jc w:val="both"/>
        <w:rPr>
          <w:rFonts w:cstheme="minorHAnsi"/>
          <w:sz w:val="28"/>
          <w:szCs w:val="28"/>
        </w:rPr>
      </w:pPr>
    </w:p>
    <w:p w14:paraId="10537D63" w14:textId="77777777" w:rsidR="009F4CAA" w:rsidRPr="00E41C69" w:rsidRDefault="009F4CAA" w:rsidP="009F4CAA">
      <w:pPr>
        <w:jc w:val="both"/>
        <w:rPr>
          <w:rFonts w:cstheme="minorHAnsi"/>
          <w:sz w:val="28"/>
          <w:szCs w:val="28"/>
        </w:rPr>
      </w:pPr>
      <w:r w:rsidRPr="00E41C69">
        <w:rPr>
          <w:rFonts w:cstheme="minorHAnsi"/>
          <w:sz w:val="28"/>
          <w:szCs w:val="28"/>
        </w:rPr>
        <w:t xml:space="preserve">The ten countries with the largest numbers of ODL students studying for UK degrees in 2015/16 were: Singapore (12,271), Hong Kong (6,583), Nigeria (5,252), Malaysia (4,576), USA (4,454), Ireland (3,993), South Africa (3,860), Germany (3,524), Pakistan (3,513), and Trinidad and Tobago (3,365). Larger population countries where </w:t>
      </w:r>
      <w:r>
        <w:rPr>
          <w:rFonts w:cstheme="minorHAnsi"/>
          <w:sz w:val="28"/>
          <w:szCs w:val="28"/>
        </w:rPr>
        <w:t xml:space="preserve">distance learning </w:t>
      </w:r>
      <w:r w:rsidRPr="00E41C69">
        <w:rPr>
          <w:rFonts w:cstheme="minorHAnsi"/>
          <w:sz w:val="28"/>
          <w:szCs w:val="28"/>
        </w:rPr>
        <w:t>students account for more than one-half of all UK offshore provision are Canada (86%), Kenya (71%), Japan (75%), Nigeria (71%), Pakistan (52%), Russia (67%), South Africa (89%) and United States (84%).</w:t>
      </w:r>
    </w:p>
    <w:p w14:paraId="08EDAF72" w14:textId="4C186834" w:rsidR="002F7E89" w:rsidRPr="00E41C69" w:rsidRDefault="00045343" w:rsidP="007E25FE">
      <w:pPr>
        <w:pStyle w:val="Heading2"/>
      </w:pPr>
      <w:bookmarkStart w:id="17" w:name="_Toc531957313"/>
      <w:r>
        <w:t>4</w:t>
      </w:r>
      <w:r w:rsidR="00DB0B22" w:rsidRPr="00E41C69">
        <w:t xml:space="preserve">.6 </w:t>
      </w:r>
      <w:r w:rsidR="002F7E89" w:rsidRPr="00E41C69">
        <w:t>OVERSEAS BRANCH CAMPUSES</w:t>
      </w:r>
      <w:bookmarkEnd w:id="17"/>
    </w:p>
    <w:p w14:paraId="21706868" w14:textId="77777777" w:rsidR="002F7E89" w:rsidRPr="00E41C69" w:rsidRDefault="009B04F5" w:rsidP="00E114E2">
      <w:pPr>
        <w:jc w:val="both"/>
        <w:rPr>
          <w:rFonts w:cstheme="minorHAnsi"/>
          <w:sz w:val="28"/>
          <w:szCs w:val="28"/>
        </w:rPr>
      </w:pPr>
      <w:r w:rsidRPr="00E41C69">
        <w:rPr>
          <w:rFonts w:cstheme="minorHAnsi"/>
          <w:sz w:val="28"/>
          <w:szCs w:val="28"/>
        </w:rPr>
        <w:t xml:space="preserve">The establishment of </w:t>
      </w:r>
      <w:r w:rsidR="00BA22B5">
        <w:rPr>
          <w:rFonts w:cstheme="minorHAnsi"/>
          <w:sz w:val="28"/>
          <w:szCs w:val="28"/>
        </w:rPr>
        <w:t xml:space="preserve">overseas campuses </w:t>
      </w:r>
      <w:r w:rsidRPr="00E41C69">
        <w:rPr>
          <w:rFonts w:cstheme="minorHAnsi"/>
          <w:sz w:val="28"/>
          <w:szCs w:val="28"/>
        </w:rPr>
        <w:t>has been heralded as ‘the highest stage of t</w:t>
      </w:r>
      <w:r w:rsidR="00DB0B22" w:rsidRPr="00E41C69">
        <w:rPr>
          <w:rFonts w:cstheme="minorHAnsi"/>
          <w:sz w:val="28"/>
          <w:szCs w:val="28"/>
        </w:rPr>
        <w:t xml:space="preserve">ransnational education’. The </w:t>
      </w:r>
      <w:r w:rsidR="00BA22B5">
        <w:rPr>
          <w:rFonts w:cstheme="minorHAnsi"/>
          <w:sz w:val="28"/>
          <w:szCs w:val="28"/>
        </w:rPr>
        <w:t xml:space="preserve">OBC </w:t>
      </w:r>
      <w:r w:rsidRPr="00E41C69">
        <w:rPr>
          <w:rFonts w:cstheme="minorHAnsi"/>
          <w:sz w:val="28"/>
          <w:szCs w:val="28"/>
        </w:rPr>
        <w:t xml:space="preserve">is </w:t>
      </w:r>
      <w:r w:rsidR="00D73DEB" w:rsidRPr="00E41C69">
        <w:rPr>
          <w:rFonts w:cstheme="minorHAnsi"/>
          <w:sz w:val="28"/>
          <w:szCs w:val="28"/>
        </w:rPr>
        <w:t xml:space="preserve">likened </w:t>
      </w:r>
      <w:r w:rsidR="002F7E89" w:rsidRPr="00E41C69">
        <w:rPr>
          <w:rFonts w:cstheme="minorHAnsi"/>
          <w:sz w:val="28"/>
          <w:szCs w:val="28"/>
        </w:rPr>
        <w:t xml:space="preserve">to the wholly </w:t>
      </w:r>
      <w:r w:rsidR="00D73DEB" w:rsidRPr="00E41C69">
        <w:rPr>
          <w:rFonts w:cstheme="minorHAnsi"/>
          <w:sz w:val="28"/>
          <w:szCs w:val="28"/>
        </w:rPr>
        <w:t xml:space="preserve">or jointly </w:t>
      </w:r>
      <w:r w:rsidR="002F7E89" w:rsidRPr="00E41C69">
        <w:rPr>
          <w:rFonts w:cstheme="minorHAnsi"/>
          <w:sz w:val="28"/>
          <w:szCs w:val="28"/>
        </w:rPr>
        <w:t xml:space="preserve">owned </w:t>
      </w:r>
      <w:r w:rsidR="00D73DEB" w:rsidRPr="00E41C69">
        <w:rPr>
          <w:rFonts w:cstheme="minorHAnsi"/>
          <w:sz w:val="28"/>
          <w:szCs w:val="28"/>
        </w:rPr>
        <w:t xml:space="preserve">overseas </w:t>
      </w:r>
      <w:r w:rsidR="002F7E89" w:rsidRPr="00E41C69">
        <w:rPr>
          <w:rFonts w:cstheme="minorHAnsi"/>
          <w:sz w:val="28"/>
          <w:szCs w:val="28"/>
        </w:rPr>
        <w:t xml:space="preserve">subsidiary </w:t>
      </w:r>
      <w:r w:rsidRPr="00E41C69">
        <w:rPr>
          <w:rFonts w:cstheme="minorHAnsi"/>
          <w:sz w:val="28"/>
          <w:szCs w:val="28"/>
        </w:rPr>
        <w:t xml:space="preserve">of multinational corporations and, as such, it </w:t>
      </w:r>
      <w:r w:rsidR="00EA21FF" w:rsidRPr="00E41C69">
        <w:rPr>
          <w:rFonts w:cstheme="minorHAnsi"/>
          <w:sz w:val="28"/>
          <w:szCs w:val="28"/>
        </w:rPr>
        <w:t xml:space="preserve">is </w:t>
      </w:r>
      <w:r w:rsidRPr="00E41C69">
        <w:rPr>
          <w:rFonts w:cstheme="minorHAnsi"/>
          <w:sz w:val="28"/>
          <w:szCs w:val="28"/>
        </w:rPr>
        <w:t xml:space="preserve">contended that the </w:t>
      </w:r>
      <w:r w:rsidR="007543DF">
        <w:rPr>
          <w:rFonts w:cstheme="minorHAnsi"/>
          <w:sz w:val="28"/>
          <w:szCs w:val="28"/>
        </w:rPr>
        <w:t>traditional analytical</w:t>
      </w:r>
      <w:r w:rsidR="002F7E89" w:rsidRPr="00E41C69">
        <w:rPr>
          <w:rFonts w:cstheme="minorHAnsi"/>
          <w:sz w:val="28"/>
          <w:szCs w:val="28"/>
        </w:rPr>
        <w:t xml:space="preserve">/theoretical frameworks </w:t>
      </w:r>
      <w:r w:rsidR="00BA22B5">
        <w:rPr>
          <w:rFonts w:cstheme="minorHAnsi"/>
          <w:sz w:val="28"/>
          <w:szCs w:val="28"/>
        </w:rPr>
        <w:t xml:space="preserve">that have been developed to study </w:t>
      </w:r>
      <w:r w:rsidR="002F7E89" w:rsidRPr="00E41C69">
        <w:rPr>
          <w:rFonts w:cstheme="minorHAnsi"/>
          <w:sz w:val="28"/>
          <w:szCs w:val="28"/>
        </w:rPr>
        <w:t xml:space="preserve">multinational corporations, foreign investment and </w:t>
      </w:r>
      <w:r w:rsidRPr="00E41C69">
        <w:rPr>
          <w:rFonts w:cstheme="minorHAnsi"/>
          <w:sz w:val="28"/>
          <w:szCs w:val="28"/>
        </w:rPr>
        <w:t xml:space="preserve">even </w:t>
      </w:r>
      <w:r w:rsidR="002F7E89" w:rsidRPr="00E41C69">
        <w:rPr>
          <w:rFonts w:cstheme="minorHAnsi"/>
          <w:sz w:val="28"/>
          <w:szCs w:val="28"/>
        </w:rPr>
        <w:t>imperialism</w:t>
      </w:r>
      <w:r w:rsidRPr="00E41C69">
        <w:rPr>
          <w:rFonts w:cstheme="minorHAnsi"/>
          <w:sz w:val="28"/>
          <w:szCs w:val="28"/>
        </w:rPr>
        <w:t>/dependency</w:t>
      </w:r>
      <w:r w:rsidR="00BA22B5">
        <w:rPr>
          <w:rFonts w:cstheme="minorHAnsi"/>
          <w:sz w:val="28"/>
          <w:szCs w:val="28"/>
        </w:rPr>
        <w:t xml:space="preserve"> relationships</w:t>
      </w:r>
      <w:r w:rsidRPr="00E41C69">
        <w:rPr>
          <w:rFonts w:cstheme="minorHAnsi"/>
          <w:sz w:val="28"/>
          <w:szCs w:val="28"/>
        </w:rPr>
        <w:t xml:space="preserve"> can be </w:t>
      </w:r>
      <w:r w:rsidR="00EA21FF" w:rsidRPr="00E41C69">
        <w:rPr>
          <w:rFonts w:cstheme="minorHAnsi"/>
          <w:sz w:val="28"/>
          <w:szCs w:val="28"/>
        </w:rPr>
        <w:t xml:space="preserve">utilised in order </w:t>
      </w:r>
      <w:r w:rsidRPr="00E41C69">
        <w:rPr>
          <w:rFonts w:cstheme="minorHAnsi"/>
          <w:sz w:val="28"/>
          <w:szCs w:val="28"/>
        </w:rPr>
        <w:t>to understand the global spread of OBCs</w:t>
      </w:r>
      <w:r w:rsidR="002F7E89" w:rsidRPr="00E41C69">
        <w:rPr>
          <w:rFonts w:cstheme="minorHAnsi"/>
          <w:sz w:val="28"/>
          <w:szCs w:val="28"/>
        </w:rPr>
        <w:t xml:space="preserve">. </w:t>
      </w:r>
    </w:p>
    <w:p w14:paraId="706215E6" w14:textId="2870A439" w:rsidR="002F7E89" w:rsidRPr="00E41C69" w:rsidRDefault="003045D9" w:rsidP="00E114E2">
      <w:pPr>
        <w:jc w:val="both"/>
        <w:rPr>
          <w:rFonts w:cstheme="minorHAnsi"/>
          <w:sz w:val="28"/>
          <w:szCs w:val="28"/>
        </w:rPr>
      </w:pPr>
      <w:r w:rsidRPr="00E41C69">
        <w:rPr>
          <w:rFonts w:cstheme="minorHAnsi"/>
          <w:sz w:val="28"/>
          <w:szCs w:val="28"/>
        </w:rPr>
        <w:t>T</w:t>
      </w:r>
      <w:r w:rsidR="002F7E89" w:rsidRPr="00E41C69">
        <w:rPr>
          <w:rFonts w:cstheme="minorHAnsi"/>
          <w:sz w:val="28"/>
          <w:szCs w:val="28"/>
        </w:rPr>
        <w:t xml:space="preserve">he </w:t>
      </w:r>
      <w:r w:rsidR="009B04F5" w:rsidRPr="00E41C69">
        <w:rPr>
          <w:rFonts w:cstheme="minorHAnsi"/>
          <w:sz w:val="28"/>
          <w:szCs w:val="28"/>
        </w:rPr>
        <w:t xml:space="preserve">major </w:t>
      </w:r>
      <w:r w:rsidR="002F7E89" w:rsidRPr="00E41C69">
        <w:rPr>
          <w:rFonts w:cstheme="minorHAnsi"/>
          <w:sz w:val="28"/>
          <w:szCs w:val="28"/>
        </w:rPr>
        <w:t>incentives for establishing an OBC</w:t>
      </w:r>
      <w:r w:rsidR="009B04F5" w:rsidRPr="00E41C69">
        <w:rPr>
          <w:rFonts w:cstheme="minorHAnsi"/>
          <w:sz w:val="28"/>
          <w:szCs w:val="28"/>
        </w:rPr>
        <w:t xml:space="preserve"> are as seen as internalising risk</w:t>
      </w:r>
      <w:r w:rsidR="00EA21FF" w:rsidRPr="00E41C69">
        <w:rPr>
          <w:rFonts w:cstheme="minorHAnsi"/>
          <w:sz w:val="28"/>
          <w:szCs w:val="28"/>
        </w:rPr>
        <w:t xml:space="preserve"> and reducing transaction costs (opportunistic partner behaviour, bounded rationality, information </w:t>
      </w:r>
      <w:r w:rsidR="00FD14D5">
        <w:rPr>
          <w:rFonts w:cstheme="minorHAnsi"/>
          <w:sz w:val="28"/>
          <w:szCs w:val="28"/>
        </w:rPr>
        <w:t>asymmetry/</w:t>
      </w:r>
      <w:r w:rsidR="00EA21FF" w:rsidRPr="00E41C69">
        <w:rPr>
          <w:rFonts w:cstheme="minorHAnsi"/>
          <w:sz w:val="28"/>
          <w:szCs w:val="28"/>
        </w:rPr>
        <w:t xml:space="preserve">impactedness, </w:t>
      </w:r>
      <w:r w:rsidR="00D73DEB" w:rsidRPr="00E41C69">
        <w:rPr>
          <w:rFonts w:cstheme="minorHAnsi"/>
          <w:sz w:val="28"/>
          <w:szCs w:val="28"/>
        </w:rPr>
        <w:t xml:space="preserve">contingent claims, </w:t>
      </w:r>
      <w:r w:rsidR="00EA21FF" w:rsidRPr="00E41C69">
        <w:rPr>
          <w:rFonts w:cstheme="minorHAnsi"/>
          <w:sz w:val="28"/>
          <w:szCs w:val="28"/>
        </w:rPr>
        <w:t>etc</w:t>
      </w:r>
      <w:r w:rsidR="00FD14D5">
        <w:rPr>
          <w:rFonts w:cstheme="minorHAnsi"/>
          <w:sz w:val="28"/>
          <w:szCs w:val="28"/>
        </w:rPr>
        <w:t>.</w:t>
      </w:r>
      <w:r w:rsidR="00EA21FF" w:rsidRPr="00E41C69">
        <w:rPr>
          <w:rFonts w:cstheme="minorHAnsi"/>
          <w:sz w:val="28"/>
          <w:szCs w:val="28"/>
        </w:rPr>
        <w:t>)</w:t>
      </w:r>
      <w:r w:rsidR="009B04F5" w:rsidRPr="00E41C69">
        <w:rPr>
          <w:rFonts w:cstheme="minorHAnsi"/>
          <w:sz w:val="28"/>
          <w:szCs w:val="28"/>
        </w:rPr>
        <w:t xml:space="preserve">, ensuring </w:t>
      </w:r>
      <w:r w:rsidR="00EA21FF" w:rsidRPr="00E41C69">
        <w:rPr>
          <w:rFonts w:cstheme="minorHAnsi"/>
          <w:sz w:val="28"/>
          <w:szCs w:val="28"/>
        </w:rPr>
        <w:t xml:space="preserve">the </w:t>
      </w:r>
      <w:r w:rsidR="009B04F5" w:rsidRPr="00E41C69">
        <w:rPr>
          <w:rFonts w:cstheme="minorHAnsi"/>
          <w:sz w:val="28"/>
          <w:szCs w:val="28"/>
        </w:rPr>
        <w:t xml:space="preserve">maintenance of high academic standards, significantly improving international </w:t>
      </w:r>
      <w:r w:rsidR="00EA21FF" w:rsidRPr="00E41C69">
        <w:rPr>
          <w:rFonts w:cstheme="minorHAnsi"/>
          <w:sz w:val="28"/>
          <w:szCs w:val="28"/>
        </w:rPr>
        <w:t>‘</w:t>
      </w:r>
      <w:r w:rsidR="009B04F5" w:rsidRPr="00E41C69">
        <w:rPr>
          <w:rFonts w:cstheme="minorHAnsi"/>
          <w:sz w:val="28"/>
          <w:szCs w:val="28"/>
        </w:rPr>
        <w:t>brand recognition</w:t>
      </w:r>
      <w:r w:rsidR="00EA21FF" w:rsidRPr="00E41C69">
        <w:rPr>
          <w:rFonts w:cstheme="minorHAnsi"/>
          <w:sz w:val="28"/>
          <w:szCs w:val="28"/>
        </w:rPr>
        <w:t>’</w:t>
      </w:r>
      <w:r w:rsidR="009B04F5" w:rsidRPr="00E41C69">
        <w:rPr>
          <w:rFonts w:cstheme="minorHAnsi"/>
          <w:sz w:val="28"/>
          <w:szCs w:val="28"/>
        </w:rPr>
        <w:t xml:space="preserve"> and the generation of substantial </w:t>
      </w:r>
      <w:r w:rsidR="00EA21FF" w:rsidRPr="00E41C69">
        <w:rPr>
          <w:rFonts w:cstheme="minorHAnsi"/>
          <w:sz w:val="28"/>
          <w:szCs w:val="28"/>
        </w:rPr>
        <w:t xml:space="preserve">revenue </w:t>
      </w:r>
      <w:r w:rsidR="009B04F5" w:rsidRPr="00E41C69">
        <w:rPr>
          <w:rFonts w:cstheme="minorHAnsi"/>
          <w:sz w:val="28"/>
          <w:szCs w:val="28"/>
        </w:rPr>
        <w:t xml:space="preserve">based on relatively high enrolments and </w:t>
      </w:r>
      <w:r w:rsidR="002F7E89" w:rsidRPr="00E41C69">
        <w:rPr>
          <w:rFonts w:cstheme="minorHAnsi"/>
          <w:sz w:val="28"/>
          <w:szCs w:val="28"/>
        </w:rPr>
        <w:t>high fees</w:t>
      </w:r>
      <w:r w:rsidR="009B04F5" w:rsidRPr="00E41C69">
        <w:rPr>
          <w:rFonts w:cstheme="minorHAnsi"/>
          <w:sz w:val="28"/>
          <w:szCs w:val="28"/>
        </w:rPr>
        <w:t xml:space="preserve"> (</w:t>
      </w:r>
      <w:r w:rsidR="00EA21FF" w:rsidRPr="00E41C69">
        <w:rPr>
          <w:rFonts w:cstheme="minorHAnsi"/>
          <w:sz w:val="28"/>
          <w:szCs w:val="28"/>
        </w:rPr>
        <w:t xml:space="preserve">especially when </w:t>
      </w:r>
      <w:r w:rsidR="009B04F5" w:rsidRPr="00E41C69">
        <w:rPr>
          <w:rFonts w:cstheme="minorHAnsi"/>
          <w:sz w:val="28"/>
          <w:szCs w:val="28"/>
        </w:rPr>
        <w:t>compared to other forms of offshore provision)</w:t>
      </w:r>
      <w:r w:rsidR="002F7E89" w:rsidRPr="00E41C69">
        <w:rPr>
          <w:rFonts w:cstheme="minorHAnsi"/>
          <w:sz w:val="28"/>
          <w:szCs w:val="28"/>
        </w:rPr>
        <w:t>.</w:t>
      </w:r>
    </w:p>
    <w:p w14:paraId="7DEF1AA0" w14:textId="77777777" w:rsidR="002F7E89" w:rsidRPr="00E41C69" w:rsidRDefault="009B04F5" w:rsidP="00E114E2">
      <w:pPr>
        <w:jc w:val="both"/>
        <w:rPr>
          <w:rFonts w:cstheme="minorHAnsi"/>
          <w:sz w:val="28"/>
          <w:szCs w:val="28"/>
        </w:rPr>
      </w:pPr>
      <w:r w:rsidRPr="00E41C69">
        <w:rPr>
          <w:rFonts w:cstheme="minorHAnsi"/>
          <w:sz w:val="28"/>
          <w:szCs w:val="28"/>
        </w:rPr>
        <w:lastRenderedPageBreak/>
        <w:t xml:space="preserve">The </w:t>
      </w:r>
      <w:r w:rsidR="00EA21FF" w:rsidRPr="00E41C69">
        <w:rPr>
          <w:rFonts w:cstheme="minorHAnsi"/>
          <w:sz w:val="28"/>
          <w:szCs w:val="28"/>
        </w:rPr>
        <w:t xml:space="preserve">most </w:t>
      </w:r>
      <w:r w:rsidRPr="00E41C69">
        <w:rPr>
          <w:rFonts w:cstheme="minorHAnsi"/>
          <w:sz w:val="28"/>
          <w:szCs w:val="28"/>
        </w:rPr>
        <w:t>commonly mentioned n</w:t>
      </w:r>
      <w:r w:rsidR="002F7E89" w:rsidRPr="00E41C69">
        <w:rPr>
          <w:rFonts w:cstheme="minorHAnsi"/>
          <w:sz w:val="28"/>
          <w:szCs w:val="28"/>
        </w:rPr>
        <w:t>egative</w:t>
      </w:r>
      <w:r w:rsidRPr="00E41C69">
        <w:rPr>
          <w:rFonts w:cstheme="minorHAnsi"/>
          <w:sz w:val="28"/>
          <w:szCs w:val="28"/>
        </w:rPr>
        <w:t xml:space="preserve"> factors in establishing an OBC are high infrastructure and operational costs, political and economic </w:t>
      </w:r>
      <w:r w:rsidR="002F7E89" w:rsidRPr="00E41C69">
        <w:rPr>
          <w:rFonts w:cstheme="minorHAnsi"/>
          <w:sz w:val="28"/>
          <w:szCs w:val="28"/>
        </w:rPr>
        <w:t>uncertain</w:t>
      </w:r>
      <w:r w:rsidR="00EA21FF" w:rsidRPr="00E41C69">
        <w:rPr>
          <w:rFonts w:cstheme="minorHAnsi"/>
          <w:sz w:val="28"/>
          <w:szCs w:val="28"/>
        </w:rPr>
        <w:t>ties</w:t>
      </w:r>
      <w:r w:rsidRPr="00E41C69">
        <w:rPr>
          <w:rFonts w:cstheme="minorHAnsi"/>
          <w:sz w:val="28"/>
          <w:szCs w:val="28"/>
        </w:rPr>
        <w:t>,</w:t>
      </w:r>
      <w:r w:rsidR="002F7E89" w:rsidRPr="00E41C69">
        <w:rPr>
          <w:rFonts w:cstheme="minorHAnsi"/>
          <w:sz w:val="28"/>
          <w:szCs w:val="28"/>
        </w:rPr>
        <w:t xml:space="preserve"> </w:t>
      </w:r>
      <w:r w:rsidRPr="00E41C69">
        <w:rPr>
          <w:rFonts w:cstheme="minorHAnsi"/>
          <w:sz w:val="28"/>
          <w:szCs w:val="28"/>
        </w:rPr>
        <w:t xml:space="preserve">inadequate domestic demand, cross-cultural differences and </w:t>
      </w:r>
      <w:r w:rsidR="00EA21FF" w:rsidRPr="00E41C69">
        <w:rPr>
          <w:rFonts w:cstheme="minorHAnsi"/>
          <w:sz w:val="28"/>
          <w:szCs w:val="28"/>
        </w:rPr>
        <w:t xml:space="preserve">the ability to recruit adequate numbers of both home country and national/third country </w:t>
      </w:r>
      <w:r w:rsidR="002F7E89" w:rsidRPr="00E41C69">
        <w:rPr>
          <w:rFonts w:cstheme="minorHAnsi"/>
          <w:sz w:val="28"/>
          <w:szCs w:val="28"/>
        </w:rPr>
        <w:t xml:space="preserve">faculty. </w:t>
      </w:r>
      <w:r w:rsidR="007543DF">
        <w:rPr>
          <w:rFonts w:cstheme="minorHAnsi"/>
          <w:sz w:val="28"/>
          <w:szCs w:val="28"/>
        </w:rPr>
        <w:t>Also, m</w:t>
      </w:r>
      <w:r w:rsidR="00EA21FF" w:rsidRPr="00E41C69">
        <w:rPr>
          <w:rFonts w:cstheme="minorHAnsi"/>
          <w:sz w:val="28"/>
          <w:szCs w:val="28"/>
        </w:rPr>
        <w:t>any g</w:t>
      </w:r>
      <w:r w:rsidR="002F7E89" w:rsidRPr="00E41C69">
        <w:rPr>
          <w:rFonts w:cstheme="minorHAnsi"/>
          <w:sz w:val="28"/>
          <w:szCs w:val="28"/>
        </w:rPr>
        <w:t>overnments do not like foreign qualificati</w:t>
      </w:r>
      <w:r w:rsidR="00EA21FF" w:rsidRPr="00E41C69">
        <w:rPr>
          <w:rFonts w:cstheme="minorHAnsi"/>
          <w:sz w:val="28"/>
          <w:szCs w:val="28"/>
        </w:rPr>
        <w:t xml:space="preserve">ons. </w:t>
      </w:r>
    </w:p>
    <w:p w14:paraId="58DD78EA" w14:textId="77777777" w:rsidR="002F7E89" w:rsidRPr="00E41C69" w:rsidRDefault="00A858E8" w:rsidP="00E114E2">
      <w:pPr>
        <w:jc w:val="both"/>
        <w:rPr>
          <w:rFonts w:cstheme="minorHAnsi"/>
          <w:sz w:val="28"/>
          <w:szCs w:val="28"/>
        </w:rPr>
      </w:pPr>
      <w:r w:rsidRPr="00E41C69">
        <w:rPr>
          <w:rFonts w:cstheme="minorHAnsi"/>
          <w:sz w:val="28"/>
          <w:szCs w:val="28"/>
        </w:rPr>
        <w:t xml:space="preserve">C-BERT states that, based on the recent global experience of OBCs, </w:t>
      </w:r>
      <w:r w:rsidR="002F7E89" w:rsidRPr="00E41C69">
        <w:rPr>
          <w:rFonts w:cstheme="minorHAnsi"/>
          <w:sz w:val="28"/>
          <w:szCs w:val="28"/>
        </w:rPr>
        <w:t xml:space="preserve">a minimum of </w:t>
      </w:r>
      <w:r w:rsidRPr="00E41C69">
        <w:rPr>
          <w:rFonts w:cstheme="minorHAnsi"/>
          <w:sz w:val="28"/>
          <w:szCs w:val="28"/>
        </w:rPr>
        <w:t xml:space="preserve">four-five </w:t>
      </w:r>
      <w:r w:rsidR="002F7E89" w:rsidRPr="00E41C69">
        <w:rPr>
          <w:rFonts w:cstheme="minorHAnsi"/>
          <w:sz w:val="28"/>
          <w:szCs w:val="28"/>
        </w:rPr>
        <w:t xml:space="preserve">years is required </w:t>
      </w:r>
      <w:r w:rsidRPr="00E41C69">
        <w:rPr>
          <w:rFonts w:cstheme="minorHAnsi"/>
          <w:sz w:val="28"/>
          <w:szCs w:val="28"/>
        </w:rPr>
        <w:t xml:space="preserve">for most </w:t>
      </w:r>
      <w:r w:rsidR="007543DF">
        <w:rPr>
          <w:rFonts w:cstheme="minorHAnsi"/>
          <w:sz w:val="28"/>
          <w:szCs w:val="28"/>
        </w:rPr>
        <w:t xml:space="preserve">campuses </w:t>
      </w:r>
      <w:r w:rsidR="002F7E89" w:rsidRPr="00E41C69">
        <w:rPr>
          <w:rFonts w:cstheme="minorHAnsi"/>
          <w:sz w:val="28"/>
          <w:szCs w:val="28"/>
        </w:rPr>
        <w:t xml:space="preserve">to </w:t>
      </w:r>
      <w:r w:rsidRPr="00E41C69">
        <w:rPr>
          <w:rFonts w:cstheme="minorHAnsi"/>
          <w:sz w:val="28"/>
          <w:szCs w:val="28"/>
        </w:rPr>
        <w:t xml:space="preserve">become </w:t>
      </w:r>
      <w:r w:rsidR="00940EAF" w:rsidRPr="00E41C69">
        <w:rPr>
          <w:rFonts w:cstheme="minorHAnsi"/>
          <w:sz w:val="28"/>
          <w:szCs w:val="28"/>
        </w:rPr>
        <w:t xml:space="preserve">properly </w:t>
      </w:r>
      <w:r w:rsidRPr="00E41C69">
        <w:rPr>
          <w:rFonts w:cstheme="minorHAnsi"/>
          <w:sz w:val="28"/>
          <w:szCs w:val="28"/>
        </w:rPr>
        <w:t>established a</w:t>
      </w:r>
      <w:r w:rsidR="002F7E89" w:rsidRPr="00E41C69">
        <w:rPr>
          <w:rFonts w:cstheme="minorHAnsi"/>
          <w:sz w:val="28"/>
          <w:szCs w:val="28"/>
        </w:rPr>
        <w:t xml:space="preserve">nd </w:t>
      </w:r>
      <w:r w:rsidRPr="00E41C69">
        <w:rPr>
          <w:rFonts w:cstheme="minorHAnsi"/>
          <w:sz w:val="28"/>
          <w:szCs w:val="28"/>
        </w:rPr>
        <w:t xml:space="preserve">enrolments need to be at least 1,000 </w:t>
      </w:r>
      <w:r w:rsidR="00EA21FF" w:rsidRPr="00E41C69">
        <w:rPr>
          <w:rFonts w:cstheme="minorHAnsi"/>
          <w:sz w:val="28"/>
          <w:szCs w:val="28"/>
        </w:rPr>
        <w:t xml:space="preserve">in order </w:t>
      </w:r>
      <w:r w:rsidR="00940EAF" w:rsidRPr="00E41C69">
        <w:rPr>
          <w:rFonts w:cstheme="minorHAnsi"/>
          <w:sz w:val="28"/>
          <w:szCs w:val="28"/>
        </w:rPr>
        <w:t xml:space="preserve">for a campus </w:t>
      </w:r>
      <w:r w:rsidR="002F7E89" w:rsidRPr="00E41C69">
        <w:rPr>
          <w:rFonts w:cstheme="minorHAnsi"/>
          <w:sz w:val="28"/>
          <w:szCs w:val="28"/>
        </w:rPr>
        <w:t xml:space="preserve">to be </w:t>
      </w:r>
      <w:r w:rsidRPr="00E41C69">
        <w:rPr>
          <w:rFonts w:cstheme="minorHAnsi"/>
          <w:sz w:val="28"/>
          <w:szCs w:val="28"/>
        </w:rPr>
        <w:t xml:space="preserve">educationally and financially </w:t>
      </w:r>
      <w:r w:rsidR="002F7E89" w:rsidRPr="00E41C69">
        <w:rPr>
          <w:rFonts w:cstheme="minorHAnsi"/>
          <w:sz w:val="28"/>
          <w:szCs w:val="28"/>
        </w:rPr>
        <w:t>viable.</w:t>
      </w:r>
      <w:r w:rsidRPr="00E41C69">
        <w:rPr>
          <w:rFonts w:cstheme="minorHAnsi"/>
          <w:sz w:val="28"/>
          <w:szCs w:val="28"/>
        </w:rPr>
        <w:t xml:space="preserve"> Almost one-third of all OBCs </w:t>
      </w:r>
      <w:r w:rsidR="00940EAF" w:rsidRPr="00E41C69">
        <w:rPr>
          <w:rFonts w:cstheme="minorHAnsi"/>
          <w:sz w:val="28"/>
          <w:szCs w:val="28"/>
        </w:rPr>
        <w:t xml:space="preserve">have </w:t>
      </w:r>
      <w:r w:rsidRPr="00E41C69">
        <w:rPr>
          <w:rFonts w:cstheme="minorHAnsi"/>
          <w:sz w:val="28"/>
          <w:szCs w:val="28"/>
        </w:rPr>
        <w:t>received some financial support from host governments.</w:t>
      </w:r>
    </w:p>
    <w:p w14:paraId="4BAA3BD8" w14:textId="77777777" w:rsidR="00432A63" w:rsidRDefault="00432A63" w:rsidP="00E114E2">
      <w:pPr>
        <w:jc w:val="both"/>
        <w:rPr>
          <w:rFonts w:cstheme="minorHAnsi"/>
          <w:b/>
          <w:sz w:val="28"/>
          <w:szCs w:val="28"/>
        </w:rPr>
      </w:pPr>
      <w:r>
        <w:rPr>
          <w:rFonts w:cstheme="minorHAnsi"/>
          <w:b/>
          <w:sz w:val="28"/>
          <w:szCs w:val="28"/>
        </w:rPr>
        <w:t xml:space="preserve">4.6.1 </w:t>
      </w:r>
      <w:r w:rsidR="00EA21FF" w:rsidRPr="00E41C69">
        <w:rPr>
          <w:rFonts w:cstheme="minorHAnsi"/>
          <w:b/>
          <w:sz w:val="28"/>
          <w:szCs w:val="28"/>
        </w:rPr>
        <w:t>Numbers of campuses and enrolments</w:t>
      </w:r>
    </w:p>
    <w:p w14:paraId="43748E89" w14:textId="5CC6A6C8" w:rsidR="00EA21FF" w:rsidRPr="00E41C69" w:rsidRDefault="00EA21FF" w:rsidP="00E114E2">
      <w:pPr>
        <w:jc w:val="both"/>
        <w:rPr>
          <w:rFonts w:cstheme="minorHAnsi"/>
          <w:sz w:val="28"/>
          <w:szCs w:val="28"/>
        </w:rPr>
      </w:pPr>
      <w:r w:rsidRPr="00E41C69">
        <w:rPr>
          <w:rFonts w:cstheme="minorHAnsi"/>
          <w:sz w:val="28"/>
          <w:szCs w:val="28"/>
        </w:rPr>
        <w:t>Definitional issues have complicated the analysis of OBC provisio</w:t>
      </w:r>
      <w:r w:rsidR="00FF665A" w:rsidRPr="00E41C69">
        <w:rPr>
          <w:rFonts w:cstheme="minorHAnsi"/>
          <w:sz w:val="28"/>
          <w:szCs w:val="28"/>
        </w:rPr>
        <w:t>n</w:t>
      </w:r>
      <w:r w:rsidRPr="00E41C69">
        <w:rPr>
          <w:rFonts w:cstheme="minorHAnsi"/>
          <w:sz w:val="28"/>
          <w:szCs w:val="28"/>
        </w:rPr>
        <w:t>. HESA adopts a narrow</w:t>
      </w:r>
      <w:r w:rsidR="00940EAF" w:rsidRPr="00E41C69">
        <w:rPr>
          <w:rFonts w:cstheme="minorHAnsi"/>
          <w:sz w:val="28"/>
          <w:szCs w:val="28"/>
        </w:rPr>
        <w:t xml:space="preserve"> definition in that only wholly-</w:t>
      </w:r>
      <w:r w:rsidRPr="00E41C69">
        <w:rPr>
          <w:rFonts w:cstheme="minorHAnsi"/>
          <w:sz w:val="28"/>
          <w:szCs w:val="28"/>
        </w:rPr>
        <w:t xml:space="preserve">owned overseas campuses with physical facilities/infrastructure </w:t>
      </w:r>
      <w:r w:rsidR="00FF665A" w:rsidRPr="00E41C69">
        <w:rPr>
          <w:rFonts w:cstheme="minorHAnsi"/>
          <w:sz w:val="28"/>
          <w:szCs w:val="28"/>
        </w:rPr>
        <w:t>are included. CB-BERT, on the other hand, adopt</w:t>
      </w:r>
      <w:r w:rsidR="00940EAF" w:rsidRPr="00E41C69">
        <w:rPr>
          <w:rFonts w:cstheme="minorHAnsi"/>
          <w:sz w:val="28"/>
          <w:szCs w:val="28"/>
        </w:rPr>
        <w:t>s a much</w:t>
      </w:r>
      <w:r w:rsidR="003F558D" w:rsidRPr="00E41C69">
        <w:rPr>
          <w:rFonts w:cstheme="minorHAnsi"/>
          <w:sz w:val="28"/>
          <w:szCs w:val="28"/>
        </w:rPr>
        <w:t xml:space="preserve"> looser </w:t>
      </w:r>
      <w:r w:rsidR="00FF665A" w:rsidRPr="00E41C69">
        <w:rPr>
          <w:rFonts w:cstheme="minorHAnsi"/>
          <w:sz w:val="28"/>
          <w:szCs w:val="28"/>
        </w:rPr>
        <w:t xml:space="preserve">definition which includes </w:t>
      </w:r>
      <w:r w:rsidR="003F558D" w:rsidRPr="00E41C69">
        <w:rPr>
          <w:rFonts w:cstheme="minorHAnsi"/>
          <w:sz w:val="28"/>
          <w:szCs w:val="28"/>
        </w:rPr>
        <w:t>‘</w:t>
      </w:r>
      <w:r w:rsidR="00FF665A" w:rsidRPr="00E41C69">
        <w:rPr>
          <w:rFonts w:cstheme="minorHAnsi"/>
          <w:sz w:val="28"/>
          <w:szCs w:val="28"/>
        </w:rPr>
        <w:t>joint-ventures</w:t>
      </w:r>
      <w:r w:rsidR="003F558D" w:rsidRPr="00E41C69">
        <w:rPr>
          <w:rFonts w:cstheme="minorHAnsi"/>
          <w:sz w:val="28"/>
          <w:szCs w:val="28"/>
        </w:rPr>
        <w:t>’</w:t>
      </w:r>
      <w:r w:rsidR="00FF665A" w:rsidRPr="00E41C69">
        <w:rPr>
          <w:rFonts w:cstheme="minorHAnsi"/>
          <w:sz w:val="28"/>
          <w:szCs w:val="28"/>
        </w:rPr>
        <w:t xml:space="preserve"> between UK and local universities and where there is not necessarily </w:t>
      </w:r>
      <w:r w:rsidR="003F558D" w:rsidRPr="00E41C69">
        <w:rPr>
          <w:rFonts w:cstheme="minorHAnsi"/>
          <w:sz w:val="28"/>
          <w:szCs w:val="28"/>
        </w:rPr>
        <w:t xml:space="preserve">any significant </w:t>
      </w:r>
      <w:r w:rsidR="00FF665A" w:rsidRPr="00E41C69">
        <w:rPr>
          <w:rFonts w:cstheme="minorHAnsi"/>
          <w:sz w:val="28"/>
          <w:szCs w:val="28"/>
        </w:rPr>
        <w:t>investment in a free-standing campus or even other physical facilities.</w:t>
      </w:r>
    </w:p>
    <w:p w14:paraId="698CFC54" w14:textId="325757AB" w:rsidR="009E1D9F" w:rsidRPr="00E41C69" w:rsidRDefault="002F7E89" w:rsidP="00E114E2">
      <w:pPr>
        <w:jc w:val="both"/>
        <w:rPr>
          <w:rFonts w:cstheme="minorHAnsi"/>
          <w:sz w:val="28"/>
          <w:szCs w:val="28"/>
        </w:rPr>
      </w:pPr>
      <w:r w:rsidRPr="00E41C69">
        <w:rPr>
          <w:rFonts w:cstheme="minorHAnsi"/>
          <w:sz w:val="28"/>
          <w:szCs w:val="28"/>
        </w:rPr>
        <w:t xml:space="preserve">OBCs were non-existent at the time of the original </w:t>
      </w:r>
      <w:r w:rsidR="000476CC">
        <w:rPr>
          <w:rFonts w:cstheme="minorHAnsi"/>
          <w:sz w:val="28"/>
          <w:szCs w:val="28"/>
        </w:rPr>
        <w:t xml:space="preserve">education </w:t>
      </w:r>
      <w:r w:rsidR="00EA21FF" w:rsidRPr="00E41C69">
        <w:rPr>
          <w:rFonts w:cstheme="minorHAnsi"/>
          <w:sz w:val="28"/>
          <w:szCs w:val="28"/>
        </w:rPr>
        <w:t xml:space="preserve">internationalisation </w:t>
      </w:r>
      <w:r w:rsidRPr="00E41C69">
        <w:rPr>
          <w:rFonts w:cstheme="minorHAnsi"/>
          <w:sz w:val="28"/>
          <w:szCs w:val="28"/>
        </w:rPr>
        <w:t xml:space="preserve">survey in 1996/97. </w:t>
      </w:r>
      <w:r w:rsidR="00FF665A" w:rsidRPr="00E41C69">
        <w:rPr>
          <w:rFonts w:cstheme="minorHAnsi"/>
          <w:sz w:val="28"/>
          <w:szCs w:val="28"/>
        </w:rPr>
        <w:t>The first campuses began to be established in the early 2000s and numbers grew reasonably rapidly</w:t>
      </w:r>
      <w:r w:rsidR="003F558D" w:rsidRPr="00E41C69">
        <w:rPr>
          <w:rFonts w:cstheme="minorHAnsi"/>
          <w:sz w:val="28"/>
          <w:szCs w:val="28"/>
        </w:rPr>
        <w:t xml:space="preserve"> thereafter. HESA statistics for OBCs for the period 2007/08 to 2016/17 are summarised in Table </w:t>
      </w:r>
      <w:r w:rsidR="00432A63">
        <w:rPr>
          <w:rFonts w:cstheme="minorHAnsi"/>
          <w:sz w:val="28"/>
          <w:szCs w:val="28"/>
        </w:rPr>
        <w:t>11</w:t>
      </w:r>
      <w:r w:rsidR="003F558D" w:rsidRPr="00E41C69">
        <w:rPr>
          <w:rFonts w:cstheme="minorHAnsi"/>
          <w:sz w:val="28"/>
          <w:szCs w:val="28"/>
        </w:rPr>
        <w:t>.</w:t>
      </w:r>
      <w:r w:rsidR="00686A82" w:rsidRPr="00E41C69">
        <w:rPr>
          <w:rFonts w:cstheme="minorHAnsi"/>
          <w:sz w:val="28"/>
          <w:szCs w:val="28"/>
        </w:rPr>
        <w:t xml:space="preserve"> Enrolments increased from around </w:t>
      </w:r>
      <w:r w:rsidR="009E1D9F" w:rsidRPr="00E41C69">
        <w:rPr>
          <w:rFonts w:cstheme="minorHAnsi"/>
          <w:sz w:val="28"/>
          <w:szCs w:val="28"/>
        </w:rPr>
        <w:t>10,000 at 9 campuses in 2008/09 to 23,000 at</w:t>
      </w:r>
      <w:r w:rsidR="000476CC">
        <w:rPr>
          <w:rFonts w:cstheme="minorHAnsi"/>
          <w:sz w:val="28"/>
          <w:szCs w:val="28"/>
        </w:rPr>
        <w:t xml:space="preserve"> 18 campuses in 2013/14</w:t>
      </w:r>
      <w:r w:rsidR="00DB0B22" w:rsidRPr="00E41C69">
        <w:rPr>
          <w:rFonts w:cstheme="minorHAnsi"/>
          <w:sz w:val="28"/>
          <w:szCs w:val="28"/>
        </w:rPr>
        <w:t>. Since</w:t>
      </w:r>
      <w:r w:rsidR="009E1D9F" w:rsidRPr="00E41C69">
        <w:rPr>
          <w:rFonts w:cstheme="minorHAnsi"/>
          <w:sz w:val="28"/>
          <w:szCs w:val="28"/>
        </w:rPr>
        <w:t xml:space="preserve"> then, however, enrolments appear to have plateaued (at least temporarily) at just under 26,000 with no additional campuses</w:t>
      </w:r>
      <w:r w:rsidR="000476CC">
        <w:rPr>
          <w:rFonts w:cstheme="minorHAnsi"/>
          <w:sz w:val="28"/>
          <w:szCs w:val="28"/>
        </w:rPr>
        <w:t xml:space="preserve"> being established</w:t>
      </w:r>
      <w:r w:rsidR="009E1D9F" w:rsidRPr="00E41C69">
        <w:rPr>
          <w:rFonts w:cstheme="minorHAnsi"/>
          <w:sz w:val="28"/>
          <w:szCs w:val="28"/>
        </w:rPr>
        <w:t xml:space="preserve">. In relative terms, overall OBC </w:t>
      </w:r>
      <w:r w:rsidR="00BA22B5">
        <w:rPr>
          <w:rFonts w:cstheme="minorHAnsi"/>
          <w:sz w:val="28"/>
          <w:szCs w:val="28"/>
        </w:rPr>
        <w:t xml:space="preserve">enrolments </w:t>
      </w:r>
      <w:r w:rsidR="009E1D9F" w:rsidRPr="00E41C69">
        <w:rPr>
          <w:rFonts w:cstheme="minorHAnsi"/>
          <w:sz w:val="28"/>
          <w:szCs w:val="28"/>
        </w:rPr>
        <w:t xml:space="preserve">remain fairly inconsequential at only </w:t>
      </w:r>
      <w:r w:rsidR="00BA22B5">
        <w:rPr>
          <w:rFonts w:cstheme="minorHAnsi"/>
          <w:sz w:val="28"/>
          <w:szCs w:val="28"/>
        </w:rPr>
        <w:t>7</w:t>
      </w:r>
      <w:r w:rsidR="009E1D9F" w:rsidRPr="00E41C69">
        <w:rPr>
          <w:rFonts w:cstheme="minorHAnsi"/>
          <w:sz w:val="28"/>
          <w:szCs w:val="28"/>
        </w:rPr>
        <w:t xml:space="preserve">% of total offshore enrolments. </w:t>
      </w:r>
    </w:p>
    <w:p w14:paraId="60B90532" w14:textId="77777777" w:rsidR="00E56EF3" w:rsidRDefault="009E1D9F" w:rsidP="00E114E2">
      <w:pPr>
        <w:jc w:val="both"/>
        <w:rPr>
          <w:rFonts w:cstheme="minorHAnsi"/>
          <w:sz w:val="28"/>
          <w:szCs w:val="28"/>
        </w:rPr>
      </w:pPr>
      <w:r w:rsidRPr="00E41C69">
        <w:rPr>
          <w:rFonts w:cstheme="minorHAnsi"/>
          <w:sz w:val="28"/>
          <w:szCs w:val="28"/>
        </w:rPr>
        <w:t xml:space="preserve">The </w:t>
      </w:r>
      <w:r w:rsidR="002E358C" w:rsidRPr="00E41C69">
        <w:rPr>
          <w:rFonts w:cstheme="minorHAnsi"/>
          <w:sz w:val="28"/>
          <w:szCs w:val="28"/>
        </w:rPr>
        <w:t xml:space="preserve">overall </w:t>
      </w:r>
      <w:r w:rsidRPr="00E41C69">
        <w:rPr>
          <w:rFonts w:cstheme="minorHAnsi"/>
          <w:sz w:val="28"/>
          <w:szCs w:val="28"/>
        </w:rPr>
        <w:t>share of OBC</w:t>
      </w:r>
      <w:r w:rsidR="001D522D" w:rsidRPr="00E41C69">
        <w:rPr>
          <w:rFonts w:cstheme="minorHAnsi"/>
          <w:sz w:val="28"/>
          <w:szCs w:val="28"/>
        </w:rPr>
        <w:t xml:space="preserve"> enrolments</w:t>
      </w:r>
      <w:r w:rsidRPr="00E41C69">
        <w:rPr>
          <w:rFonts w:cstheme="minorHAnsi"/>
          <w:sz w:val="28"/>
          <w:szCs w:val="28"/>
        </w:rPr>
        <w:t xml:space="preserve"> of three universities, Nottingham, Heriot-Watt and Middlesex</w:t>
      </w:r>
      <w:r w:rsidR="00BA22B5">
        <w:rPr>
          <w:rFonts w:cstheme="minorHAnsi"/>
          <w:sz w:val="28"/>
          <w:szCs w:val="28"/>
        </w:rPr>
        <w:t>,</w:t>
      </w:r>
      <w:r w:rsidRPr="00E41C69">
        <w:rPr>
          <w:rFonts w:cstheme="minorHAnsi"/>
          <w:sz w:val="28"/>
          <w:szCs w:val="28"/>
        </w:rPr>
        <w:t xml:space="preserve"> remained unchanged at 81% during this period. The top five university share was almost 90% in 2016/17.</w:t>
      </w:r>
      <w:r w:rsidR="00C31C2B" w:rsidRPr="00E41C69">
        <w:rPr>
          <w:rFonts w:cstheme="minorHAnsi"/>
          <w:sz w:val="28"/>
          <w:szCs w:val="28"/>
        </w:rPr>
        <w:t xml:space="preserve"> Undergraduate students comprised 70% of </w:t>
      </w:r>
      <w:r w:rsidR="00666AA6" w:rsidRPr="00E41C69">
        <w:rPr>
          <w:rFonts w:cstheme="minorHAnsi"/>
          <w:sz w:val="28"/>
          <w:szCs w:val="28"/>
        </w:rPr>
        <w:t xml:space="preserve">total </w:t>
      </w:r>
      <w:r w:rsidR="00C31C2B" w:rsidRPr="00E41C69">
        <w:rPr>
          <w:rFonts w:cstheme="minorHAnsi"/>
          <w:sz w:val="28"/>
          <w:szCs w:val="28"/>
        </w:rPr>
        <w:t xml:space="preserve">enrolments. </w:t>
      </w:r>
      <w:r w:rsidR="00BA22B5">
        <w:rPr>
          <w:rFonts w:cstheme="minorHAnsi"/>
          <w:sz w:val="28"/>
          <w:szCs w:val="28"/>
        </w:rPr>
        <w:t xml:space="preserve">Over 70% of campuses are in CHMS. </w:t>
      </w:r>
      <w:r w:rsidRPr="00E41C69">
        <w:rPr>
          <w:rFonts w:cstheme="minorHAnsi"/>
          <w:sz w:val="28"/>
          <w:szCs w:val="28"/>
        </w:rPr>
        <w:t xml:space="preserve">   </w:t>
      </w:r>
      <w:r w:rsidR="003F558D" w:rsidRPr="00E41C69">
        <w:rPr>
          <w:rFonts w:cstheme="minorHAnsi"/>
          <w:sz w:val="28"/>
          <w:szCs w:val="28"/>
        </w:rPr>
        <w:t xml:space="preserve"> </w:t>
      </w:r>
    </w:p>
    <w:p w14:paraId="29A9D2E6" w14:textId="77777777" w:rsidR="000F53FA" w:rsidRDefault="00E25B46" w:rsidP="000F53FA">
      <w:pPr>
        <w:jc w:val="both"/>
        <w:rPr>
          <w:rFonts w:cstheme="minorHAnsi"/>
          <w:sz w:val="28"/>
          <w:szCs w:val="28"/>
        </w:rPr>
      </w:pPr>
      <w:r w:rsidRPr="00E25B46">
        <w:rPr>
          <w:rFonts w:cstheme="minorHAnsi"/>
          <w:sz w:val="28"/>
          <w:szCs w:val="28"/>
        </w:rPr>
        <w:t>HESA statistics indicate that 14 of the campuses established since 2008/09 by UK universities had no enrolments in 2016/17 and that OBC enrolments were</w:t>
      </w:r>
      <w:r w:rsidR="00345FCF">
        <w:rPr>
          <w:rFonts w:cstheme="minorHAnsi"/>
          <w:sz w:val="28"/>
          <w:szCs w:val="28"/>
        </w:rPr>
        <w:t xml:space="preserve"> </w:t>
      </w:r>
      <w:r w:rsidR="00666AA6" w:rsidRPr="00E41C69">
        <w:rPr>
          <w:rFonts w:cstheme="minorHAnsi"/>
          <w:sz w:val="28"/>
          <w:szCs w:val="28"/>
        </w:rPr>
        <w:lastRenderedPageBreak/>
        <w:t xml:space="preserve">stagnant or negative at another 12 universities and were only </w:t>
      </w:r>
      <w:r w:rsidR="006E7490" w:rsidRPr="00E41C69">
        <w:rPr>
          <w:rFonts w:cstheme="minorHAnsi"/>
          <w:sz w:val="28"/>
          <w:szCs w:val="28"/>
        </w:rPr>
        <w:t xml:space="preserve">strongly </w:t>
      </w:r>
      <w:r w:rsidR="00666AA6" w:rsidRPr="00E41C69">
        <w:rPr>
          <w:rFonts w:cstheme="minorHAnsi"/>
          <w:sz w:val="28"/>
          <w:szCs w:val="28"/>
        </w:rPr>
        <w:t>positive at four universities</w:t>
      </w:r>
      <w:r w:rsidR="00E56EF3">
        <w:rPr>
          <w:rFonts w:cstheme="minorHAnsi"/>
          <w:sz w:val="28"/>
          <w:szCs w:val="28"/>
        </w:rPr>
        <w:t xml:space="preserve"> (see table 26</w:t>
      </w:r>
      <w:r w:rsidR="00BA22B5">
        <w:rPr>
          <w:rFonts w:cstheme="minorHAnsi"/>
          <w:sz w:val="28"/>
          <w:szCs w:val="28"/>
        </w:rPr>
        <w:t>)</w:t>
      </w:r>
      <w:r w:rsidR="00666AA6" w:rsidRPr="00E41C69">
        <w:rPr>
          <w:rFonts w:cstheme="minorHAnsi"/>
          <w:sz w:val="28"/>
          <w:szCs w:val="28"/>
        </w:rPr>
        <w:t>.</w:t>
      </w:r>
    </w:p>
    <w:p w14:paraId="34153BA5" w14:textId="730C99BE" w:rsidR="000F53FA" w:rsidRPr="000F53FA" w:rsidRDefault="000F53FA" w:rsidP="000F53FA">
      <w:pPr>
        <w:jc w:val="both"/>
        <w:rPr>
          <w:rFonts w:cstheme="minorHAnsi"/>
          <w:sz w:val="28"/>
          <w:szCs w:val="28"/>
        </w:rPr>
        <w:sectPr w:rsidR="000F53FA" w:rsidRPr="000F53FA" w:rsidSect="00CB3C41">
          <w:footerReference w:type="default" r:id="rId15"/>
          <w:pgSz w:w="11906" w:h="16838"/>
          <w:pgMar w:top="1440" w:right="1440" w:bottom="1440" w:left="1440" w:header="708" w:footer="708" w:gutter="0"/>
          <w:cols w:space="708"/>
          <w:docGrid w:linePitch="360"/>
        </w:sectPr>
      </w:pPr>
      <w:r>
        <w:rPr>
          <w:rFonts w:cstheme="minorHAnsi"/>
          <w:sz w:val="28"/>
          <w:szCs w:val="28"/>
        </w:rPr>
        <w:br w:type="page"/>
      </w:r>
    </w:p>
    <w:tbl>
      <w:tblPr>
        <w:tblW w:w="14231" w:type="dxa"/>
        <w:tblInd w:w="-176" w:type="dxa"/>
        <w:tblLook w:val="04A0" w:firstRow="1" w:lastRow="0" w:firstColumn="1" w:lastColumn="0" w:noHBand="0" w:noVBand="1"/>
      </w:tblPr>
      <w:tblGrid>
        <w:gridCol w:w="1936"/>
        <w:gridCol w:w="1104"/>
        <w:gridCol w:w="1113"/>
        <w:gridCol w:w="1104"/>
        <w:gridCol w:w="1104"/>
        <w:gridCol w:w="1104"/>
        <w:gridCol w:w="1104"/>
        <w:gridCol w:w="1108"/>
        <w:gridCol w:w="1228"/>
        <w:gridCol w:w="1228"/>
        <w:gridCol w:w="2098"/>
      </w:tblGrid>
      <w:tr w:rsidR="00E25B46" w:rsidRPr="00E25B46" w14:paraId="45C52F5C" w14:textId="77777777" w:rsidTr="00CB3C41">
        <w:trPr>
          <w:trHeight w:val="352"/>
        </w:trPr>
        <w:tc>
          <w:tcPr>
            <w:tcW w:w="9677" w:type="dxa"/>
            <w:gridSpan w:val="8"/>
            <w:tcBorders>
              <w:top w:val="nil"/>
              <w:left w:val="nil"/>
              <w:bottom w:val="single" w:sz="8" w:space="0" w:color="FFFFFF"/>
              <w:right w:val="nil"/>
            </w:tcBorders>
            <w:shd w:val="clear" w:color="auto" w:fill="auto"/>
            <w:noWrap/>
            <w:vAlign w:val="bottom"/>
            <w:hideMark/>
          </w:tcPr>
          <w:p w14:paraId="3CBBAE6C" w14:textId="0E36027C" w:rsidR="00E25B46" w:rsidRPr="00E25B46" w:rsidRDefault="00E9016A" w:rsidP="00E25B46">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lastRenderedPageBreak/>
              <w:t>Table 11</w:t>
            </w:r>
            <w:r w:rsidR="00E25B46" w:rsidRPr="00E25B46">
              <w:rPr>
                <w:rFonts w:ascii="Calibri" w:eastAsia="Times New Roman" w:hAnsi="Calibri" w:cs="Calibri"/>
                <w:b/>
                <w:bCs/>
                <w:color w:val="5F735C"/>
                <w:lang w:eastAsia="en-GB"/>
              </w:rPr>
              <w:t>: Enrolments at overseas branch campuses among UK universities, 2008/09-2015/16</w:t>
            </w:r>
          </w:p>
        </w:tc>
        <w:tc>
          <w:tcPr>
            <w:tcW w:w="1228" w:type="dxa"/>
            <w:tcBorders>
              <w:top w:val="nil"/>
              <w:left w:val="nil"/>
              <w:bottom w:val="single" w:sz="8" w:space="0" w:color="FFFFFF"/>
              <w:right w:val="nil"/>
            </w:tcBorders>
            <w:shd w:val="clear" w:color="auto" w:fill="auto"/>
            <w:noWrap/>
            <w:vAlign w:val="bottom"/>
            <w:hideMark/>
          </w:tcPr>
          <w:p w14:paraId="071F394F" w14:textId="77777777" w:rsidR="00E25B46" w:rsidRPr="00E25B46" w:rsidRDefault="00E25B46" w:rsidP="00E25B46">
            <w:pPr>
              <w:spacing w:after="0" w:line="240" w:lineRule="auto"/>
              <w:rPr>
                <w:rFonts w:ascii="Calibri" w:eastAsia="Times New Roman" w:hAnsi="Calibri" w:cs="Calibri"/>
                <w:color w:val="000000"/>
                <w:lang w:eastAsia="en-GB"/>
              </w:rPr>
            </w:pPr>
            <w:r w:rsidRPr="00E25B46">
              <w:rPr>
                <w:rFonts w:ascii="Calibri" w:eastAsia="Times New Roman" w:hAnsi="Calibri" w:cs="Calibri"/>
                <w:color w:val="000000"/>
                <w:lang w:eastAsia="en-GB"/>
              </w:rPr>
              <w:t> </w:t>
            </w:r>
          </w:p>
        </w:tc>
        <w:tc>
          <w:tcPr>
            <w:tcW w:w="1228" w:type="dxa"/>
            <w:tcBorders>
              <w:top w:val="nil"/>
              <w:left w:val="nil"/>
              <w:bottom w:val="single" w:sz="8" w:space="0" w:color="FFFFFF"/>
              <w:right w:val="nil"/>
            </w:tcBorders>
            <w:shd w:val="clear" w:color="auto" w:fill="auto"/>
            <w:noWrap/>
            <w:vAlign w:val="bottom"/>
            <w:hideMark/>
          </w:tcPr>
          <w:p w14:paraId="53E63788" w14:textId="77777777" w:rsidR="00E25B46" w:rsidRPr="00E25B46" w:rsidRDefault="00E25B46" w:rsidP="00E25B46">
            <w:pPr>
              <w:spacing w:after="0" w:line="240" w:lineRule="auto"/>
              <w:rPr>
                <w:rFonts w:ascii="Calibri" w:eastAsia="Times New Roman" w:hAnsi="Calibri" w:cs="Calibri"/>
                <w:color w:val="000000"/>
                <w:lang w:eastAsia="en-GB"/>
              </w:rPr>
            </w:pPr>
            <w:r w:rsidRPr="00E25B46">
              <w:rPr>
                <w:rFonts w:ascii="Calibri" w:eastAsia="Times New Roman" w:hAnsi="Calibri" w:cs="Calibri"/>
                <w:color w:val="000000"/>
                <w:lang w:eastAsia="en-GB"/>
              </w:rPr>
              <w:t> </w:t>
            </w:r>
          </w:p>
        </w:tc>
        <w:tc>
          <w:tcPr>
            <w:tcW w:w="2098" w:type="dxa"/>
            <w:tcBorders>
              <w:top w:val="nil"/>
              <w:left w:val="nil"/>
              <w:bottom w:val="single" w:sz="8" w:space="0" w:color="FFFFFF"/>
              <w:right w:val="nil"/>
            </w:tcBorders>
            <w:shd w:val="clear" w:color="auto" w:fill="auto"/>
            <w:noWrap/>
            <w:vAlign w:val="bottom"/>
            <w:hideMark/>
          </w:tcPr>
          <w:p w14:paraId="41ED4036" w14:textId="77777777" w:rsidR="00E25B46" w:rsidRPr="00E25B46" w:rsidRDefault="00E25B46" w:rsidP="00E25B46">
            <w:pPr>
              <w:spacing w:after="0" w:line="240" w:lineRule="auto"/>
              <w:rPr>
                <w:rFonts w:ascii="Calibri" w:eastAsia="Times New Roman" w:hAnsi="Calibri" w:cs="Calibri"/>
                <w:color w:val="000000"/>
                <w:lang w:eastAsia="en-GB"/>
              </w:rPr>
            </w:pPr>
            <w:r w:rsidRPr="00E25B46">
              <w:rPr>
                <w:rFonts w:ascii="Calibri" w:eastAsia="Times New Roman" w:hAnsi="Calibri" w:cs="Calibri"/>
                <w:color w:val="000000"/>
                <w:lang w:eastAsia="en-GB"/>
              </w:rPr>
              <w:t> </w:t>
            </w:r>
          </w:p>
        </w:tc>
      </w:tr>
      <w:tr w:rsidR="00345FCF" w:rsidRPr="00E25B46" w14:paraId="42301A7E"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38B6AACC"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University</w:t>
            </w:r>
          </w:p>
        </w:tc>
        <w:tc>
          <w:tcPr>
            <w:tcW w:w="1104" w:type="dxa"/>
            <w:tcBorders>
              <w:top w:val="nil"/>
              <w:left w:val="nil"/>
              <w:bottom w:val="single" w:sz="8" w:space="0" w:color="FFFFFF"/>
              <w:right w:val="single" w:sz="8" w:space="0" w:color="FFFFFF"/>
            </w:tcBorders>
            <w:shd w:val="clear" w:color="000000" w:fill="49723B"/>
            <w:noWrap/>
            <w:vAlign w:val="bottom"/>
            <w:hideMark/>
          </w:tcPr>
          <w:p w14:paraId="52C32DCC"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2008/09</w:t>
            </w:r>
          </w:p>
        </w:tc>
        <w:tc>
          <w:tcPr>
            <w:tcW w:w="1113" w:type="dxa"/>
            <w:tcBorders>
              <w:top w:val="nil"/>
              <w:left w:val="nil"/>
              <w:bottom w:val="single" w:sz="8" w:space="0" w:color="FFFFFF"/>
              <w:right w:val="single" w:sz="8" w:space="0" w:color="FFFFFF"/>
            </w:tcBorders>
            <w:shd w:val="clear" w:color="000000" w:fill="49723B"/>
            <w:noWrap/>
            <w:vAlign w:val="bottom"/>
            <w:hideMark/>
          </w:tcPr>
          <w:p w14:paraId="24C0D536"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2009/10</w:t>
            </w:r>
          </w:p>
        </w:tc>
        <w:tc>
          <w:tcPr>
            <w:tcW w:w="1104" w:type="dxa"/>
            <w:tcBorders>
              <w:top w:val="nil"/>
              <w:left w:val="nil"/>
              <w:bottom w:val="single" w:sz="8" w:space="0" w:color="FFFFFF"/>
              <w:right w:val="single" w:sz="8" w:space="0" w:color="FFFFFF"/>
            </w:tcBorders>
            <w:shd w:val="clear" w:color="000000" w:fill="49723B"/>
            <w:noWrap/>
            <w:vAlign w:val="bottom"/>
            <w:hideMark/>
          </w:tcPr>
          <w:p w14:paraId="14C033E3"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2010/11</w:t>
            </w:r>
          </w:p>
        </w:tc>
        <w:tc>
          <w:tcPr>
            <w:tcW w:w="1104" w:type="dxa"/>
            <w:tcBorders>
              <w:top w:val="nil"/>
              <w:left w:val="nil"/>
              <w:bottom w:val="single" w:sz="8" w:space="0" w:color="FFFFFF"/>
              <w:right w:val="single" w:sz="8" w:space="0" w:color="FFFFFF"/>
            </w:tcBorders>
            <w:shd w:val="clear" w:color="000000" w:fill="49723B"/>
            <w:noWrap/>
            <w:vAlign w:val="bottom"/>
            <w:hideMark/>
          </w:tcPr>
          <w:p w14:paraId="2C9358F1"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2011/12</w:t>
            </w:r>
          </w:p>
        </w:tc>
        <w:tc>
          <w:tcPr>
            <w:tcW w:w="1104" w:type="dxa"/>
            <w:tcBorders>
              <w:top w:val="nil"/>
              <w:left w:val="nil"/>
              <w:bottom w:val="single" w:sz="8" w:space="0" w:color="FFFFFF"/>
              <w:right w:val="single" w:sz="8" w:space="0" w:color="FFFFFF"/>
            </w:tcBorders>
            <w:shd w:val="clear" w:color="000000" w:fill="49723B"/>
            <w:noWrap/>
            <w:vAlign w:val="bottom"/>
            <w:hideMark/>
          </w:tcPr>
          <w:p w14:paraId="2BC7E859"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2012/13</w:t>
            </w:r>
          </w:p>
        </w:tc>
        <w:tc>
          <w:tcPr>
            <w:tcW w:w="1104" w:type="dxa"/>
            <w:tcBorders>
              <w:top w:val="nil"/>
              <w:left w:val="nil"/>
              <w:bottom w:val="single" w:sz="8" w:space="0" w:color="FFFFFF"/>
              <w:right w:val="single" w:sz="8" w:space="0" w:color="FFFFFF"/>
            </w:tcBorders>
            <w:shd w:val="clear" w:color="000000" w:fill="49723B"/>
            <w:noWrap/>
            <w:vAlign w:val="bottom"/>
            <w:hideMark/>
          </w:tcPr>
          <w:p w14:paraId="2F296D28"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2013/14</w:t>
            </w:r>
          </w:p>
        </w:tc>
        <w:tc>
          <w:tcPr>
            <w:tcW w:w="1108" w:type="dxa"/>
            <w:tcBorders>
              <w:top w:val="nil"/>
              <w:left w:val="nil"/>
              <w:bottom w:val="single" w:sz="8" w:space="0" w:color="FFFFFF"/>
              <w:right w:val="single" w:sz="8" w:space="0" w:color="FFFFFF"/>
            </w:tcBorders>
            <w:shd w:val="clear" w:color="000000" w:fill="49723B"/>
            <w:noWrap/>
            <w:vAlign w:val="bottom"/>
            <w:hideMark/>
          </w:tcPr>
          <w:p w14:paraId="634D74AA"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2014/15</w:t>
            </w:r>
          </w:p>
        </w:tc>
        <w:tc>
          <w:tcPr>
            <w:tcW w:w="1228" w:type="dxa"/>
            <w:tcBorders>
              <w:top w:val="nil"/>
              <w:left w:val="nil"/>
              <w:bottom w:val="single" w:sz="8" w:space="0" w:color="FFFFFF"/>
              <w:right w:val="single" w:sz="8" w:space="0" w:color="FFFFFF"/>
            </w:tcBorders>
            <w:shd w:val="clear" w:color="000000" w:fill="49723B"/>
            <w:noWrap/>
            <w:vAlign w:val="bottom"/>
            <w:hideMark/>
          </w:tcPr>
          <w:p w14:paraId="2D81957F"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2015/16</w:t>
            </w:r>
          </w:p>
        </w:tc>
        <w:tc>
          <w:tcPr>
            <w:tcW w:w="1228" w:type="dxa"/>
            <w:tcBorders>
              <w:top w:val="nil"/>
              <w:left w:val="nil"/>
              <w:bottom w:val="single" w:sz="8" w:space="0" w:color="FFFFFF"/>
              <w:right w:val="single" w:sz="8" w:space="0" w:color="FFFFFF"/>
            </w:tcBorders>
            <w:shd w:val="clear" w:color="000000" w:fill="49723B"/>
            <w:noWrap/>
            <w:vAlign w:val="bottom"/>
            <w:hideMark/>
          </w:tcPr>
          <w:p w14:paraId="5F50E6A7"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2016/17</w:t>
            </w:r>
          </w:p>
        </w:tc>
        <w:tc>
          <w:tcPr>
            <w:tcW w:w="2098" w:type="dxa"/>
            <w:tcBorders>
              <w:top w:val="nil"/>
              <w:left w:val="nil"/>
              <w:bottom w:val="single" w:sz="8" w:space="0" w:color="FFFFFF"/>
              <w:right w:val="single" w:sz="8" w:space="0" w:color="FFFFFF"/>
            </w:tcBorders>
            <w:shd w:val="clear" w:color="000000" w:fill="49723B"/>
            <w:noWrap/>
            <w:vAlign w:val="bottom"/>
            <w:hideMark/>
          </w:tcPr>
          <w:p w14:paraId="3DAD7361"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Trend</w:t>
            </w:r>
          </w:p>
        </w:tc>
      </w:tr>
      <w:tr w:rsidR="00345FCF" w:rsidRPr="00E25B46" w14:paraId="5A42C9C6"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4A752DD6"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Nottingham</w:t>
            </w:r>
          </w:p>
        </w:tc>
        <w:tc>
          <w:tcPr>
            <w:tcW w:w="1104" w:type="dxa"/>
            <w:tcBorders>
              <w:top w:val="nil"/>
              <w:left w:val="nil"/>
              <w:bottom w:val="single" w:sz="8" w:space="0" w:color="FFFFFF"/>
              <w:right w:val="single" w:sz="8" w:space="0" w:color="FFFFFF"/>
            </w:tcBorders>
            <w:shd w:val="clear" w:color="000000" w:fill="EFEAE6"/>
            <w:noWrap/>
            <w:vAlign w:val="bottom"/>
            <w:hideMark/>
          </w:tcPr>
          <w:p w14:paraId="0C6C515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6442</w:t>
            </w:r>
          </w:p>
        </w:tc>
        <w:tc>
          <w:tcPr>
            <w:tcW w:w="1113" w:type="dxa"/>
            <w:tcBorders>
              <w:top w:val="nil"/>
              <w:left w:val="nil"/>
              <w:bottom w:val="single" w:sz="8" w:space="0" w:color="FFFFFF"/>
              <w:right w:val="single" w:sz="8" w:space="0" w:color="FFFFFF"/>
            </w:tcBorders>
            <w:shd w:val="clear" w:color="000000" w:fill="EFEAE6"/>
            <w:noWrap/>
            <w:vAlign w:val="bottom"/>
            <w:hideMark/>
          </w:tcPr>
          <w:p w14:paraId="327883D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7031</w:t>
            </w:r>
          </w:p>
        </w:tc>
        <w:tc>
          <w:tcPr>
            <w:tcW w:w="1104" w:type="dxa"/>
            <w:tcBorders>
              <w:top w:val="nil"/>
              <w:left w:val="nil"/>
              <w:bottom w:val="single" w:sz="8" w:space="0" w:color="FFFFFF"/>
              <w:right w:val="single" w:sz="8" w:space="0" w:color="FFFFFF"/>
            </w:tcBorders>
            <w:shd w:val="clear" w:color="000000" w:fill="EFEAE6"/>
            <w:noWrap/>
            <w:vAlign w:val="bottom"/>
            <w:hideMark/>
          </w:tcPr>
          <w:p w14:paraId="5465B84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7797</w:t>
            </w:r>
          </w:p>
        </w:tc>
        <w:tc>
          <w:tcPr>
            <w:tcW w:w="1104" w:type="dxa"/>
            <w:tcBorders>
              <w:top w:val="nil"/>
              <w:left w:val="nil"/>
              <w:bottom w:val="single" w:sz="8" w:space="0" w:color="FFFFFF"/>
              <w:right w:val="single" w:sz="8" w:space="0" w:color="FFFFFF"/>
            </w:tcBorders>
            <w:shd w:val="clear" w:color="000000" w:fill="EFEAE6"/>
            <w:noWrap/>
            <w:vAlign w:val="bottom"/>
            <w:hideMark/>
          </w:tcPr>
          <w:p w14:paraId="5D5B3CF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8505</w:t>
            </w:r>
          </w:p>
        </w:tc>
        <w:tc>
          <w:tcPr>
            <w:tcW w:w="1104" w:type="dxa"/>
            <w:tcBorders>
              <w:top w:val="nil"/>
              <w:left w:val="nil"/>
              <w:bottom w:val="single" w:sz="8" w:space="0" w:color="FFFFFF"/>
              <w:right w:val="single" w:sz="8" w:space="0" w:color="FFFFFF"/>
            </w:tcBorders>
            <w:shd w:val="clear" w:color="000000" w:fill="EFEAE6"/>
            <w:noWrap/>
            <w:vAlign w:val="bottom"/>
            <w:hideMark/>
          </w:tcPr>
          <w:p w14:paraId="103F441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9220</w:t>
            </w:r>
          </w:p>
        </w:tc>
        <w:tc>
          <w:tcPr>
            <w:tcW w:w="1104" w:type="dxa"/>
            <w:tcBorders>
              <w:top w:val="nil"/>
              <w:left w:val="nil"/>
              <w:bottom w:val="single" w:sz="8" w:space="0" w:color="FFFFFF"/>
              <w:right w:val="single" w:sz="8" w:space="0" w:color="FFFFFF"/>
            </w:tcBorders>
            <w:shd w:val="clear" w:color="000000" w:fill="EFEAE6"/>
            <w:noWrap/>
            <w:vAlign w:val="bottom"/>
            <w:hideMark/>
          </w:tcPr>
          <w:p w14:paraId="66234D0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9945</w:t>
            </w:r>
          </w:p>
        </w:tc>
        <w:tc>
          <w:tcPr>
            <w:tcW w:w="1108" w:type="dxa"/>
            <w:tcBorders>
              <w:top w:val="nil"/>
              <w:left w:val="nil"/>
              <w:bottom w:val="single" w:sz="8" w:space="0" w:color="FFFFFF"/>
              <w:right w:val="single" w:sz="8" w:space="0" w:color="FFFFFF"/>
            </w:tcBorders>
            <w:shd w:val="clear" w:color="000000" w:fill="EFEAE6"/>
            <w:noWrap/>
            <w:vAlign w:val="bottom"/>
            <w:hideMark/>
          </w:tcPr>
          <w:p w14:paraId="734F650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10836</w:t>
            </w:r>
          </w:p>
        </w:tc>
        <w:tc>
          <w:tcPr>
            <w:tcW w:w="1228" w:type="dxa"/>
            <w:tcBorders>
              <w:top w:val="nil"/>
              <w:left w:val="nil"/>
              <w:bottom w:val="single" w:sz="8" w:space="0" w:color="FFFFFF"/>
              <w:right w:val="single" w:sz="8" w:space="0" w:color="FFFFFF"/>
            </w:tcBorders>
            <w:shd w:val="clear" w:color="000000" w:fill="EFEAE6"/>
            <w:noWrap/>
            <w:vAlign w:val="bottom"/>
            <w:hideMark/>
          </w:tcPr>
          <w:p w14:paraId="47E49D8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11588</w:t>
            </w:r>
          </w:p>
        </w:tc>
        <w:tc>
          <w:tcPr>
            <w:tcW w:w="1228" w:type="dxa"/>
            <w:tcBorders>
              <w:top w:val="nil"/>
              <w:left w:val="nil"/>
              <w:bottom w:val="single" w:sz="8" w:space="0" w:color="FFFFFF"/>
              <w:right w:val="single" w:sz="8" w:space="0" w:color="FFFFFF"/>
            </w:tcBorders>
            <w:shd w:val="clear" w:color="000000" w:fill="EFEAE6"/>
            <w:noWrap/>
            <w:vAlign w:val="bottom"/>
            <w:hideMark/>
          </w:tcPr>
          <w:p w14:paraId="287D37E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11740</w:t>
            </w:r>
          </w:p>
        </w:tc>
        <w:tc>
          <w:tcPr>
            <w:tcW w:w="2098" w:type="dxa"/>
            <w:tcBorders>
              <w:top w:val="nil"/>
              <w:left w:val="nil"/>
              <w:bottom w:val="single" w:sz="8" w:space="0" w:color="FFFFFF"/>
              <w:right w:val="single" w:sz="8" w:space="0" w:color="FFFFFF"/>
            </w:tcBorders>
            <w:shd w:val="clear" w:color="000000" w:fill="EFEAE6"/>
            <w:noWrap/>
            <w:vAlign w:val="bottom"/>
            <w:hideMark/>
          </w:tcPr>
          <w:p w14:paraId="66D6D1F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Positive/stagnant</w:t>
            </w:r>
          </w:p>
        </w:tc>
      </w:tr>
      <w:tr w:rsidR="00345FCF" w:rsidRPr="00E25B46" w14:paraId="75AF76C9"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4F439C3A"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Heriot-Watt</w:t>
            </w:r>
          </w:p>
        </w:tc>
        <w:tc>
          <w:tcPr>
            <w:tcW w:w="1104" w:type="dxa"/>
            <w:tcBorders>
              <w:top w:val="nil"/>
              <w:left w:val="nil"/>
              <w:bottom w:val="single" w:sz="8" w:space="0" w:color="FFFFFF"/>
              <w:right w:val="single" w:sz="8" w:space="0" w:color="FFFFFF"/>
            </w:tcBorders>
            <w:shd w:val="clear" w:color="000000" w:fill="EFEAE6"/>
            <w:noWrap/>
            <w:vAlign w:val="bottom"/>
            <w:hideMark/>
          </w:tcPr>
          <w:p w14:paraId="6FCD3B1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1054</w:t>
            </w:r>
          </w:p>
        </w:tc>
        <w:tc>
          <w:tcPr>
            <w:tcW w:w="1113" w:type="dxa"/>
            <w:tcBorders>
              <w:top w:val="nil"/>
              <w:left w:val="nil"/>
              <w:bottom w:val="single" w:sz="8" w:space="0" w:color="FFFFFF"/>
              <w:right w:val="single" w:sz="8" w:space="0" w:color="FFFFFF"/>
            </w:tcBorders>
            <w:shd w:val="clear" w:color="000000" w:fill="EFEAE6"/>
            <w:noWrap/>
            <w:vAlign w:val="bottom"/>
            <w:hideMark/>
          </w:tcPr>
          <w:p w14:paraId="2F61531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1639</w:t>
            </w:r>
          </w:p>
        </w:tc>
        <w:tc>
          <w:tcPr>
            <w:tcW w:w="1104" w:type="dxa"/>
            <w:tcBorders>
              <w:top w:val="nil"/>
              <w:left w:val="nil"/>
              <w:bottom w:val="single" w:sz="8" w:space="0" w:color="FFFFFF"/>
              <w:right w:val="single" w:sz="8" w:space="0" w:color="FFFFFF"/>
            </w:tcBorders>
            <w:shd w:val="clear" w:color="000000" w:fill="EFEAE6"/>
            <w:noWrap/>
            <w:vAlign w:val="bottom"/>
            <w:hideMark/>
          </w:tcPr>
          <w:p w14:paraId="43BCD8D8"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2118</w:t>
            </w:r>
          </w:p>
        </w:tc>
        <w:tc>
          <w:tcPr>
            <w:tcW w:w="1104" w:type="dxa"/>
            <w:tcBorders>
              <w:top w:val="nil"/>
              <w:left w:val="nil"/>
              <w:bottom w:val="single" w:sz="8" w:space="0" w:color="FFFFFF"/>
              <w:right w:val="single" w:sz="8" w:space="0" w:color="FFFFFF"/>
            </w:tcBorders>
            <w:shd w:val="clear" w:color="000000" w:fill="EFEAE6"/>
            <w:noWrap/>
            <w:vAlign w:val="bottom"/>
            <w:hideMark/>
          </w:tcPr>
          <w:p w14:paraId="3ED7A13F"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3012</w:t>
            </w:r>
          </w:p>
        </w:tc>
        <w:tc>
          <w:tcPr>
            <w:tcW w:w="1104" w:type="dxa"/>
            <w:tcBorders>
              <w:top w:val="nil"/>
              <w:left w:val="nil"/>
              <w:bottom w:val="single" w:sz="8" w:space="0" w:color="FFFFFF"/>
              <w:right w:val="single" w:sz="8" w:space="0" w:color="FFFFFF"/>
            </w:tcBorders>
            <w:shd w:val="clear" w:color="000000" w:fill="EFEAE6"/>
            <w:noWrap/>
            <w:vAlign w:val="bottom"/>
            <w:hideMark/>
          </w:tcPr>
          <w:p w14:paraId="7151D25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3733</w:t>
            </w:r>
          </w:p>
        </w:tc>
        <w:tc>
          <w:tcPr>
            <w:tcW w:w="1104" w:type="dxa"/>
            <w:tcBorders>
              <w:top w:val="nil"/>
              <w:left w:val="nil"/>
              <w:bottom w:val="single" w:sz="8" w:space="0" w:color="FFFFFF"/>
              <w:right w:val="single" w:sz="8" w:space="0" w:color="FFFFFF"/>
            </w:tcBorders>
            <w:shd w:val="clear" w:color="000000" w:fill="EFEAE6"/>
            <w:noWrap/>
            <w:vAlign w:val="bottom"/>
            <w:hideMark/>
          </w:tcPr>
          <w:p w14:paraId="6B0029E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4127</w:t>
            </w:r>
          </w:p>
        </w:tc>
        <w:tc>
          <w:tcPr>
            <w:tcW w:w="1108" w:type="dxa"/>
            <w:tcBorders>
              <w:top w:val="nil"/>
              <w:left w:val="nil"/>
              <w:bottom w:val="single" w:sz="8" w:space="0" w:color="FFFFFF"/>
              <w:right w:val="single" w:sz="8" w:space="0" w:color="FFFFFF"/>
            </w:tcBorders>
            <w:shd w:val="clear" w:color="000000" w:fill="EFEAE6"/>
            <w:noWrap/>
            <w:vAlign w:val="bottom"/>
            <w:hideMark/>
          </w:tcPr>
          <w:p w14:paraId="00536C6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4731</w:t>
            </w:r>
          </w:p>
        </w:tc>
        <w:tc>
          <w:tcPr>
            <w:tcW w:w="1228" w:type="dxa"/>
            <w:tcBorders>
              <w:top w:val="nil"/>
              <w:left w:val="nil"/>
              <w:bottom w:val="single" w:sz="8" w:space="0" w:color="FFFFFF"/>
              <w:right w:val="single" w:sz="8" w:space="0" w:color="FFFFFF"/>
            </w:tcBorders>
            <w:shd w:val="clear" w:color="000000" w:fill="EFEAE6"/>
            <w:noWrap/>
            <w:vAlign w:val="bottom"/>
            <w:hideMark/>
          </w:tcPr>
          <w:p w14:paraId="1B71EF1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5042</w:t>
            </w:r>
          </w:p>
        </w:tc>
        <w:tc>
          <w:tcPr>
            <w:tcW w:w="1228" w:type="dxa"/>
            <w:tcBorders>
              <w:top w:val="nil"/>
              <w:left w:val="nil"/>
              <w:bottom w:val="single" w:sz="8" w:space="0" w:color="FFFFFF"/>
              <w:right w:val="single" w:sz="8" w:space="0" w:color="FFFFFF"/>
            </w:tcBorders>
            <w:shd w:val="clear" w:color="000000" w:fill="EFEAE6"/>
            <w:noWrap/>
            <w:vAlign w:val="bottom"/>
            <w:hideMark/>
          </w:tcPr>
          <w:p w14:paraId="7CEE89D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5025</w:t>
            </w:r>
          </w:p>
        </w:tc>
        <w:tc>
          <w:tcPr>
            <w:tcW w:w="2098" w:type="dxa"/>
            <w:tcBorders>
              <w:top w:val="nil"/>
              <w:left w:val="nil"/>
              <w:bottom w:val="single" w:sz="8" w:space="0" w:color="FFFFFF"/>
              <w:right w:val="single" w:sz="8" w:space="0" w:color="FFFFFF"/>
            </w:tcBorders>
            <w:shd w:val="clear" w:color="000000" w:fill="EFEAE6"/>
            <w:noWrap/>
            <w:vAlign w:val="bottom"/>
            <w:hideMark/>
          </w:tcPr>
          <w:p w14:paraId="662A093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Stagnant</w:t>
            </w:r>
          </w:p>
        </w:tc>
      </w:tr>
      <w:tr w:rsidR="00345FCF" w:rsidRPr="00E25B46" w14:paraId="6F79CD04"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676D02FD"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Middlesex</w:t>
            </w:r>
          </w:p>
        </w:tc>
        <w:tc>
          <w:tcPr>
            <w:tcW w:w="1104" w:type="dxa"/>
            <w:tcBorders>
              <w:top w:val="nil"/>
              <w:left w:val="nil"/>
              <w:bottom w:val="single" w:sz="8" w:space="0" w:color="FFFFFF"/>
              <w:right w:val="single" w:sz="8" w:space="0" w:color="FFFFFF"/>
            </w:tcBorders>
            <w:shd w:val="clear" w:color="000000" w:fill="EFEAE6"/>
            <w:noWrap/>
            <w:vAlign w:val="bottom"/>
            <w:hideMark/>
          </w:tcPr>
          <w:p w14:paraId="5C189B6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853</w:t>
            </w:r>
          </w:p>
        </w:tc>
        <w:tc>
          <w:tcPr>
            <w:tcW w:w="1113" w:type="dxa"/>
            <w:tcBorders>
              <w:top w:val="nil"/>
              <w:left w:val="nil"/>
              <w:bottom w:val="single" w:sz="8" w:space="0" w:color="FFFFFF"/>
              <w:right w:val="single" w:sz="8" w:space="0" w:color="FFFFFF"/>
            </w:tcBorders>
            <w:shd w:val="clear" w:color="000000" w:fill="EFEAE6"/>
            <w:noWrap/>
            <w:vAlign w:val="bottom"/>
            <w:hideMark/>
          </w:tcPr>
          <w:p w14:paraId="370F4D3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1039</w:t>
            </w:r>
          </w:p>
        </w:tc>
        <w:tc>
          <w:tcPr>
            <w:tcW w:w="1104" w:type="dxa"/>
            <w:tcBorders>
              <w:top w:val="nil"/>
              <w:left w:val="nil"/>
              <w:bottom w:val="single" w:sz="8" w:space="0" w:color="FFFFFF"/>
              <w:right w:val="single" w:sz="8" w:space="0" w:color="FFFFFF"/>
            </w:tcBorders>
            <w:shd w:val="clear" w:color="000000" w:fill="EFEAE6"/>
            <w:noWrap/>
            <w:vAlign w:val="bottom"/>
            <w:hideMark/>
          </w:tcPr>
          <w:p w14:paraId="6111D55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1484</w:t>
            </w:r>
          </w:p>
        </w:tc>
        <w:tc>
          <w:tcPr>
            <w:tcW w:w="1104" w:type="dxa"/>
            <w:tcBorders>
              <w:top w:val="nil"/>
              <w:left w:val="nil"/>
              <w:bottom w:val="single" w:sz="8" w:space="0" w:color="FFFFFF"/>
              <w:right w:val="single" w:sz="8" w:space="0" w:color="FFFFFF"/>
            </w:tcBorders>
            <w:shd w:val="clear" w:color="000000" w:fill="EFEAE6"/>
            <w:noWrap/>
            <w:vAlign w:val="bottom"/>
            <w:hideMark/>
          </w:tcPr>
          <w:p w14:paraId="0431C0A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2356</w:t>
            </w:r>
          </w:p>
        </w:tc>
        <w:tc>
          <w:tcPr>
            <w:tcW w:w="1104" w:type="dxa"/>
            <w:tcBorders>
              <w:top w:val="nil"/>
              <w:left w:val="nil"/>
              <w:bottom w:val="single" w:sz="8" w:space="0" w:color="FFFFFF"/>
              <w:right w:val="single" w:sz="8" w:space="0" w:color="FFFFFF"/>
            </w:tcBorders>
            <w:shd w:val="clear" w:color="000000" w:fill="EFEAE6"/>
            <w:noWrap/>
            <w:vAlign w:val="bottom"/>
            <w:hideMark/>
          </w:tcPr>
          <w:p w14:paraId="03B85E9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3049</w:t>
            </w:r>
          </w:p>
        </w:tc>
        <w:tc>
          <w:tcPr>
            <w:tcW w:w="1104" w:type="dxa"/>
            <w:tcBorders>
              <w:top w:val="nil"/>
              <w:left w:val="nil"/>
              <w:bottom w:val="single" w:sz="8" w:space="0" w:color="FFFFFF"/>
              <w:right w:val="single" w:sz="8" w:space="0" w:color="FFFFFF"/>
            </w:tcBorders>
            <w:shd w:val="clear" w:color="000000" w:fill="EFEAE6"/>
            <w:noWrap/>
            <w:vAlign w:val="bottom"/>
            <w:hideMark/>
          </w:tcPr>
          <w:p w14:paraId="5310DEB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3291</w:t>
            </w:r>
          </w:p>
        </w:tc>
        <w:tc>
          <w:tcPr>
            <w:tcW w:w="1108" w:type="dxa"/>
            <w:tcBorders>
              <w:top w:val="nil"/>
              <w:left w:val="nil"/>
              <w:bottom w:val="single" w:sz="8" w:space="0" w:color="FFFFFF"/>
              <w:right w:val="single" w:sz="8" w:space="0" w:color="FFFFFF"/>
            </w:tcBorders>
            <w:shd w:val="clear" w:color="000000" w:fill="EFEAE6"/>
            <w:noWrap/>
            <w:vAlign w:val="bottom"/>
            <w:hideMark/>
          </w:tcPr>
          <w:p w14:paraId="493C8D2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3230</w:t>
            </w:r>
          </w:p>
        </w:tc>
        <w:tc>
          <w:tcPr>
            <w:tcW w:w="1228" w:type="dxa"/>
            <w:tcBorders>
              <w:top w:val="nil"/>
              <w:left w:val="nil"/>
              <w:bottom w:val="single" w:sz="8" w:space="0" w:color="FFFFFF"/>
              <w:right w:val="single" w:sz="8" w:space="0" w:color="FFFFFF"/>
            </w:tcBorders>
            <w:shd w:val="clear" w:color="000000" w:fill="EFEAE6"/>
            <w:noWrap/>
            <w:vAlign w:val="bottom"/>
            <w:hideMark/>
          </w:tcPr>
          <w:p w14:paraId="33003BB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4219</w:t>
            </w:r>
          </w:p>
        </w:tc>
        <w:tc>
          <w:tcPr>
            <w:tcW w:w="1228" w:type="dxa"/>
            <w:tcBorders>
              <w:top w:val="nil"/>
              <w:left w:val="nil"/>
              <w:bottom w:val="single" w:sz="8" w:space="0" w:color="FFFFFF"/>
              <w:right w:val="single" w:sz="8" w:space="0" w:color="FFFFFF"/>
            </w:tcBorders>
            <w:shd w:val="clear" w:color="000000" w:fill="EFEAE6"/>
            <w:noWrap/>
            <w:vAlign w:val="bottom"/>
            <w:hideMark/>
          </w:tcPr>
          <w:p w14:paraId="2AFF521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3885</w:t>
            </w:r>
          </w:p>
        </w:tc>
        <w:tc>
          <w:tcPr>
            <w:tcW w:w="2098" w:type="dxa"/>
            <w:tcBorders>
              <w:top w:val="nil"/>
              <w:left w:val="nil"/>
              <w:bottom w:val="single" w:sz="8" w:space="0" w:color="FFFFFF"/>
              <w:right w:val="single" w:sz="8" w:space="0" w:color="FFFFFF"/>
            </w:tcBorders>
            <w:shd w:val="clear" w:color="000000" w:fill="EFEAE6"/>
            <w:noWrap/>
            <w:vAlign w:val="bottom"/>
            <w:hideMark/>
          </w:tcPr>
          <w:p w14:paraId="1FFE07B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Stagnant/negative</w:t>
            </w:r>
          </w:p>
        </w:tc>
      </w:tr>
      <w:tr w:rsidR="00345FCF" w:rsidRPr="00E25B46" w14:paraId="2F8DF0E1"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2EBB09BE"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Strathclyde</w:t>
            </w:r>
          </w:p>
        </w:tc>
        <w:tc>
          <w:tcPr>
            <w:tcW w:w="1104" w:type="dxa"/>
            <w:tcBorders>
              <w:top w:val="nil"/>
              <w:left w:val="nil"/>
              <w:bottom w:val="single" w:sz="8" w:space="0" w:color="FFFFFF"/>
              <w:right w:val="single" w:sz="8" w:space="0" w:color="FFFFFF"/>
            </w:tcBorders>
            <w:shd w:val="clear" w:color="000000" w:fill="EFEAE6"/>
            <w:noWrap/>
            <w:vAlign w:val="bottom"/>
            <w:hideMark/>
          </w:tcPr>
          <w:p w14:paraId="5871781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141901C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E6690C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5FCC04F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0E680A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5E3084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41C12B5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1745</w:t>
            </w:r>
          </w:p>
        </w:tc>
        <w:tc>
          <w:tcPr>
            <w:tcW w:w="1228" w:type="dxa"/>
            <w:tcBorders>
              <w:top w:val="nil"/>
              <w:left w:val="nil"/>
              <w:bottom w:val="single" w:sz="8" w:space="0" w:color="FFFFFF"/>
              <w:right w:val="single" w:sz="8" w:space="0" w:color="FFFFFF"/>
            </w:tcBorders>
            <w:shd w:val="clear" w:color="000000" w:fill="EFEAE6"/>
            <w:noWrap/>
            <w:vAlign w:val="bottom"/>
            <w:hideMark/>
          </w:tcPr>
          <w:p w14:paraId="2AA86E2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1565</w:t>
            </w:r>
          </w:p>
        </w:tc>
        <w:tc>
          <w:tcPr>
            <w:tcW w:w="1228" w:type="dxa"/>
            <w:tcBorders>
              <w:top w:val="nil"/>
              <w:left w:val="nil"/>
              <w:bottom w:val="single" w:sz="8" w:space="0" w:color="FFFFFF"/>
              <w:right w:val="single" w:sz="8" w:space="0" w:color="FFFFFF"/>
            </w:tcBorders>
            <w:shd w:val="clear" w:color="000000" w:fill="EFEAE6"/>
            <w:noWrap/>
            <w:vAlign w:val="bottom"/>
            <w:hideMark/>
          </w:tcPr>
          <w:p w14:paraId="1A96242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1395</w:t>
            </w:r>
          </w:p>
        </w:tc>
        <w:tc>
          <w:tcPr>
            <w:tcW w:w="2098" w:type="dxa"/>
            <w:tcBorders>
              <w:top w:val="nil"/>
              <w:left w:val="nil"/>
              <w:bottom w:val="single" w:sz="8" w:space="0" w:color="FFFFFF"/>
              <w:right w:val="single" w:sz="8" w:space="0" w:color="FFFFFF"/>
            </w:tcBorders>
            <w:shd w:val="clear" w:color="000000" w:fill="EFEAE6"/>
            <w:noWrap/>
            <w:vAlign w:val="bottom"/>
            <w:hideMark/>
          </w:tcPr>
          <w:p w14:paraId="0CF50A0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New Stagnant/negative</w:t>
            </w:r>
          </w:p>
        </w:tc>
      </w:tr>
      <w:tr w:rsidR="00345FCF" w:rsidRPr="00E25B46" w14:paraId="7698B2F3"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735EAEC4"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Newcastle</w:t>
            </w:r>
          </w:p>
        </w:tc>
        <w:tc>
          <w:tcPr>
            <w:tcW w:w="1104" w:type="dxa"/>
            <w:tcBorders>
              <w:top w:val="nil"/>
              <w:left w:val="nil"/>
              <w:bottom w:val="single" w:sz="8" w:space="0" w:color="FFFFFF"/>
              <w:right w:val="single" w:sz="8" w:space="0" w:color="FFFFFF"/>
            </w:tcBorders>
            <w:shd w:val="clear" w:color="000000" w:fill="EFEAE6"/>
            <w:noWrap/>
            <w:vAlign w:val="bottom"/>
            <w:hideMark/>
          </w:tcPr>
          <w:p w14:paraId="12639CE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1286FB9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5F6EE07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BA624C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FDE91B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252</w:t>
            </w:r>
          </w:p>
        </w:tc>
        <w:tc>
          <w:tcPr>
            <w:tcW w:w="1104" w:type="dxa"/>
            <w:tcBorders>
              <w:top w:val="nil"/>
              <w:left w:val="nil"/>
              <w:bottom w:val="single" w:sz="8" w:space="0" w:color="FFFFFF"/>
              <w:right w:val="single" w:sz="8" w:space="0" w:color="FFFFFF"/>
            </w:tcBorders>
            <w:shd w:val="clear" w:color="000000" w:fill="EFEAE6"/>
            <w:noWrap/>
            <w:vAlign w:val="bottom"/>
            <w:hideMark/>
          </w:tcPr>
          <w:p w14:paraId="4888A04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375</w:t>
            </w:r>
          </w:p>
        </w:tc>
        <w:tc>
          <w:tcPr>
            <w:tcW w:w="1108" w:type="dxa"/>
            <w:tcBorders>
              <w:top w:val="nil"/>
              <w:left w:val="nil"/>
              <w:bottom w:val="single" w:sz="8" w:space="0" w:color="FFFFFF"/>
              <w:right w:val="single" w:sz="8" w:space="0" w:color="FFFFFF"/>
            </w:tcBorders>
            <w:shd w:val="clear" w:color="000000" w:fill="EFEAE6"/>
            <w:noWrap/>
            <w:vAlign w:val="bottom"/>
            <w:hideMark/>
          </w:tcPr>
          <w:p w14:paraId="3C7A71D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476</w:t>
            </w:r>
          </w:p>
        </w:tc>
        <w:tc>
          <w:tcPr>
            <w:tcW w:w="1228" w:type="dxa"/>
            <w:tcBorders>
              <w:top w:val="nil"/>
              <w:left w:val="nil"/>
              <w:bottom w:val="single" w:sz="8" w:space="0" w:color="FFFFFF"/>
              <w:right w:val="single" w:sz="8" w:space="0" w:color="FFFFFF"/>
            </w:tcBorders>
            <w:shd w:val="clear" w:color="000000" w:fill="EFEAE6"/>
            <w:noWrap/>
            <w:vAlign w:val="bottom"/>
            <w:hideMark/>
          </w:tcPr>
          <w:p w14:paraId="406DB34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569</w:t>
            </w:r>
          </w:p>
        </w:tc>
        <w:tc>
          <w:tcPr>
            <w:tcW w:w="1228" w:type="dxa"/>
            <w:tcBorders>
              <w:top w:val="nil"/>
              <w:left w:val="nil"/>
              <w:bottom w:val="single" w:sz="8" w:space="0" w:color="FFFFFF"/>
              <w:right w:val="single" w:sz="8" w:space="0" w:color="FFFFFF"/>
            </w:tcBorders>
            <w:shd w:val="clear" w:color="000000" w:fill="EFEAE6"/>
            <w:noWrap/>
            <w:vAlign w:val="bottom"/>
            <w:hideMark/>
          </w:tcPr>
          <w:p w14:paraId="4B83556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710</w:t>
            </w:r>
          </w:p>
        </w:tc>
        <w:tc>
          <w:tcPr>
            <w:tcW w:w="2098" w:type="dxa"/>
            <w:tcBorders>
              <w:top w:val="nil"/>
              <w:left w:val="nil"/>
              <w:bottom w:val="single" w:sz="8" w:space="0" w:color="FFFFFF"/>
              <w:right w:val="single" w:sz="8" w:space="0" w:color="FFFFFF"/>
            </w:tcBorders>
            <w:shd w:val="clear" w:color="000000" w:fill="EFEAE6"/>
            <w:noWrap/>
            <w:vAlign w:val="bottom"/>
            <w:hideMark/>
          </w:tcPr>
          <w:p w14:paraId="08711E0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 xml:space="preserve">New Positive </w:t>
            </w:r>
          </w:p>
        </w:tc>
      </w:tr>
      <w:tr w:rsidR="00345FCF" w:rsidRPr="00E25B46" w14:paraId="6FF621BC"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5B160305"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Bangor</w:t>
            </w:r>
          </w:p>
        </w:tc>
        <w:tc>
          <w:tcPr>
            <w:tcW w:w="1104" w:type="dxa"/>
            <w:tcBorders>
              <w:top w:val="nil"/>
              <w:left w:val="nil"/>
              <w:bottom w:val="single" w:sz="8" w:space="0" w:color="FFFFFF"/>
              <w:right w:val="single" w:sz="8" w:space="0" w:color="FFFFFF"/>
            </w:tcBorders>
            <w:shd w:val="clear" w:color="000000" w:fill="EFEAE6"/>
            <w:noWrap/>
            <w:vAlign w:val="bottom"/>
            <w:hideMark/>
          </w:tcPr>
          <w:p w14:paraId="767EC2A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77FDCFA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5F148EB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2B2DF5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32FBC1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294EA46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4904ECA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265</w:t>
            </w:r>
          </w:p>
        </w:tc>
        <w:tc>
          <w:tcPr>
            <w:tcW w:w="1228" w:type="dxa"/>
            <w:tcBorders>
              <w:top w:val="nil"/>
              <w:left w:val="nil"/>
              <w:bottom w:val="single" w:sz="8" w:space="0" w:color="FFFFFF"/>
              <w:right w:val="single" w:sz="8" w:space="0" w:color="FFFFFF"/>
            </w:tcBorders>
            <w:shd w:val="clear" w:color="000000" w:fill="EFEAE6"/>
            <w:noWrap/>
            <w:vAlign w:val="bottom"/>
            <w:hideMark/>
          </w:tcPr>
          <w:p w14:paraId="5CF7FDE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447</w:t>
            </w:r>
          </w:p>
        </w:tc>
        <w:tc>
          <w:tcPr>
            <w:tcW w:w="1228" w:type="dxa"/>
            <w:tcBorders>
              <w:top w:val="nil"/>
              <w:left w:val="nil"/>
              <w:bottom w:val="single" w:sz="8" w:space="0" w:color="FFFFFF"/>
              <w:right w:val="single" w:sz="8" w:space="0" w:color="FFFFFF"/>
            </w:tcBorders>
            <w:shd w:val="clear" w:color="000000" w:fill="EFEAE6"/>
            <w:noWrap/>
            <w:vAlign w:val="bottom"/>
            <w:hideMark/>
          </w:tcPr>
          <w:p w14:paraId="30D4D0C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540</w:t>
            </w:r>
          </w:p>
        </w:tc>
        <w:tc>
          <w:tcPr>
            <w:tcW w:w="2098" w:type="dxa"/>
            <w:tcBorders>
              <w:top w:val="nil"/>
              <w:left w:val="nil"/>
              <w:bottom w:val="single" w:sz="8" w:space="0" w:color="FFFFFF"/>
              <w:right w:val="single" w:sz="8" w:space="0" w:color="FFFFFF"/>
            </w:tcBorders>
            <w:shd w:val="clear" w:color="000000" w:fill="EFEAE6"/>
            <w:noWrap/>
            <w:vAlign w:val="bottom"/>
            <w:hideMark/>
          </w:tcPr>
          <w:p w14:paraId="6F5A22C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 xml:space="preserve">New Positive </w:t>
            </w:r>
          </w:p>
        </w:tc>
      </w:tr>
      <w:tr w:rsidR="00345FCF" w:rsidRPr="00E25B46" w14:paraId="771951C9"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50790E86"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Kent</w:t>
            </w:r>
          </w:p>
        </w:tc>
        <w:tc>
          <w:tcPr>
            <w:tcW w:w="1104" w:type="dxa"/>
            <w:tcBorders>
              <w:top w:val="nil"/>
              <w:left w:val="nil"/>
              <w:bottom w:val="single" w:sz="8" w:space="0" w:color="FFFFFF"/>
              <w:right w:val="single" w:sz="8" w:space="0" w:color="FFFFFF"/>
            </w:tcBorders>
            <w:shd w:val="clear" w:color="000000" w:fill="EFEAE6"/>
            <w:noWrap/>
            <w:vAlign w:val="bottom"/>
            <w:hideMark/>
          </w:tcPr>
          <w:p w14:paraId="4F2F13C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349</w:t>
            </w:r>
          </w:p>
        </w:tc>
        <w:tc>
          <w:tcPr>
            <w:tcW w:w="1113" w:type="dxa"/>
            <w:tcBorders>
              <w:top w:val="nil"/>
              <w:left w:val="nil"/>
              <w:bottom w:val="single" w:sz="8" w:space="0" w:color="FFFFFF"/>
              <w:right w:val="single" w:sz="8" w:space="0" w:color="FFFFFF"/>
            </w:tcBorders>
            <w:shd w:val="clear" w:color="000000" w:fill="EFEAE6"/>
            <w:noWrap/>
            <w:vAlign w:val="bottom"/>
            <w:hideMark/>
          </w:tcPr>
          <w:p w14:paraId="5C17999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333</w:t>
            </w:r>
          </w:p>
        </w:tc>
        <w:tc>
          <w:tcPr>
            <w:tcW w:w="1104" w:type="dxa"/>
            <w:tcBorders>
              <w:top w:val="nil"/>
              <w:left w:val="nil"/>
              <w:bottom w:val="single" w:sz="8" w:space="0" w:color="FFFFFF"/>
              <w:right w:val="single" w:sz="8" w:space="0" w:color="FFFFFF"/>
            </w:tcBorders>
            <w:shd w:val="clear" w:color="000000" w:fill="EFEAE6"/>
            <w:noWrap/>
            <w:vAlign w:val="bottom"/>
            <w:hideMark/>
          </w:tcPr>
          <w:p w14:paraId="106CAC0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383</w:t>
            </w:r>
          </w:p>
        </w:tc>
        <w:tc>
          <w:tcPr>
            <w:tcW w:w="1104" w:type="dxa"/>
            <w:tcBorders>
              <w:top w:val="nil"/>
              <w:left w:val="nil"/>
              <w:bottom w:val="single" w:sz="8" w:space="0" w:color="FFFFFF"/>
              <w:right w:val="single" w:sz="8" w:space="0" w:color="FFFFFF"/>
            </w:tcBorders>
            <w:shd w:val="clear" w:color="000000" w:fill="EFEAE6"/>
            <w:noWrap/>
            <w:vAlign w:val="bottom"/>
            <w:hideMark/>
          </w:tcPr>
          <w:p w14:paraId="340F239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319</w:t>
            </w:r>
          </w:p>
        </w:tc>
        <w:tc>
          <w:tcPr>
            <w:tcW w:w="1104" w:type="dxa"/>
            <w:tcBorders>
              <w:top w:val="nil"/>
              <w:left w:val="nil"/>
              <w:bottom w:val="single" w:sz="8" w:space="0" w:color="FFFFFF"/>
              <w:right w:val="single" w:sz="8" w:space="0" w:color="FFFFFF"/>
            </w:tcBorders>
            <w:shd w:val="clear" w:color="000000" w:fill="EFEAE6"/>
            <w:noWrap/>
            <w:vAlign w:val="bottom"/>
            <w:hideMark/>
          </w:tcPr>
          <w:p w14:paraId="43D4218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278</w:t>
            </w:r>
          </w:p>
        </w:tc>
        <w:tc>
          <w:tcPr>
            <w:tcW w:w="1104" w:type="dxa"/>
            <w:tcBorders>
              <w:top w:val="nil"/>
              <w:left w:val="nil"/>
              <w:bottom w:val="single" w:sz="8" w:space="0" w:color="FFFFFF"/>
              <w:right w:val="single" w:sz="8" w:space="0" w:color="FFFFFF"/>
            </w:tcBorders>
            <w:shd w:val="clear" w:color="000000" w:fill="EFEAE6"/>
            <w:noWrap/>
            <w:vAlign w:val="bottom"/>
            <w:hideMark/>
          </w:tcPr>
          <w:p w14:paraId="3C18210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330</w:t>
            </w:r>
          </w:p>
        </w:tc>
        <w:tc>
          <w:tcPr>
            <w:tcW w:w="1108" w:type="dxa"/>
            <w:tcBorders>
              <w:top w:val="nil"/>
              <w:left w:val="nil"/>
              <w:bottom w:val="single" w:sz="8" w:space="0" w:color="FFFFFF"/>
              <w:right w:val="single" w:sz="8" w:space="0" w:color="FFFFFF"/>
            </w:tcBorders>
            <w:shd w:val="clear" w:color="000000" w:fill="EFEAE6"/>
            <w:noWrap/>
            <w:vAlign w:val="bottom"/>
            <w:hideMark/>
          </w:tcPr>
          <w:p w14:paraId="04B8A8BF"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303</w:t>
            </w:r>
          </w:p>
        </w:tc>
        <w:tc>
          <w:tcPr>
            <w:tcW w:w="1228" w:type="dxa"/>
            <w:tcBorders>
              <w:top w:val="nil"/>
              <w:left w:val="nil"/>
              <w:bottom w:val="single" w:sz="8" w:space="0" w:color="FFFFFF"/>
              <w:right w:val="single" w:sz="8" w:space="0" w:color="FFFFFF"/>
            </w:tcBorders>
            <w:shd w:val="clear" w:color="000000" w:fill="EFEAE6"/>
            <w:noWrap/>
            <w:vAlign w:val="bottom"/>
            <w:hideMark/>
          </w:tcPr>
          <w:p w14:paraId="3B2E63A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358</w:t>
            </w:r>
          </w:p>
        </w:tc>
        <w:tc>
          <w:tcPr>
            <w:tcW w:w="1228" w:type="dxa"/>
            <w:tcBorders>
              <w:top w:val="nil"/>
              <w:left w:val="nil"/>
              <w:bottom w:val="single" w:sz="8" w:space="0" w:color="FFFFFF"/>
              <w:right w:val="single" w:sz="8" w:space="0" w:color="FFFFFF"/>
            </w:tcBorders>
            <w:shd w:val="clear" w:color="000000" w:fill="EFEAE6"/>
            <w:noWrap/>
            <w:vAlign w:val="bottom"/>
            <w:hideMark/>
          </w:tcPr>
          <w:p w14:paraId="7DB0F2D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400</w:t>
            </w:r>
          </w:p>
        </w:tc>
        <w:tc>
          <w:tcPr>
            <w:tcW w:w="2098" w:type="dxa"/>
            <w:tcBorders>
              <w:top w:val="nil"/>
              <w:left w:val="nil"/>
              <w:bottom w:val="single" w:sz="8" w:space="0" w:color="FFFFFF"/>
              <w:right w:val="single" w:sz="8" w:space="0" w:color="FFFFFF"/>
            </w:tcBorders>
            <w:shd w:val="clear" w:color="000000" w:fill="EFEAE6"/>
            <w:noWrap/>
            <w:vAlign w:val="bottom"/>
            <w:hideMark/>
          </w:tcPr>
          <w:p w14:paraId="0860729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Stagnant</w:t>
            </w:r>
          </w:p>
        </w:tc>
      </w:tr>
      <w:tr w:rsidR="00345FCF" w:rsidRPr="00E25B46" w14:paraId="06ECD12B"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2163960A"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Cranfield</w:t>
            </w:r>
          </w:p>
        </w:tc>
        <w:tc>
          <w:tcPr>
            <w:tcW w:w="1104" w:type="dxa"/>
            <w:tcBorders>
              <w:top w:val="nil"/>
              <w:left w:val="nil"/>
              <w:bottom w:val="single" w:sz="8" w:space="0" w:color="FFFFFF"/>
              <w:right w:val="single" w:sz="8" w:space="0" w:color="FFFFFF"/>
            </w:tcBorders>
            <w:shd w:val="clear" w:color="000000" w:fill="EFEAE6"/>
            <w:noWrap/>
            <w:vAlign w:val="bottom"/>
            <w:hideMark/>
          </w:tcPr>
          <w:p w14:paraId="047FC79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752</w:t>
            </w:r>
          </w:p>
        </w:tc>
        <w:tc>
          <w:tcPr>
            <w:tcW w:w="1113" w:type="dxa"/>
            <w:tcBorders>
              <w:top w:val="nil"/>
              <w:left w:val="nil"/>
              <w:bottom w:val="single" w:sz="8" w:space="0" w:color="FFFFFF"/>
              <w:right w:val="single" w:sz="8" w:space="0" w:color="FFFFFF"/>
            </w:tcBorders>
            <w:shd w:val="clear" w:color="000000" w:fill="EFEAE6"/>
            <w:noWrap/>
            <w:vAlign w:val="bottom"/>
            <w:hideMark/>
          </w:tcPr>
          <w:p w14:paraId="3518AA0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905</w:t>
            </w:r>
          </w:p>
        </w:tc>
        <w:tc>
          <w:tcPr>
            <w:tcW w:w="1104" w:type="dxa"/>
            <w:tcBorders>
              <w:top w:val="nil"/>
              <w:left w:val="nil"/>
              <w:bottom w:val="single" w:sz="8" w:space="0" w:color="FFFFFF"/>
              <w:right w:val="single" w:sz="8" w:space="0" w:color="FFFFFF"/>
            </w:tcBorders>
            <w:shd w:val="clear" w:color="000000" w:fill="EFEAE6"/>
            <w:noWrap/>
            <w:vAlign w:val="bottom"/>
            <w:hideMark/>
          </w:tcPr>
          <w:p w14:paraId="0E405F0F"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568B8DF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2D28D4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2281E3D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441</w:t>
            </w:r>
          </w:p>
        </w:tc>
        <w:tc>
          <w:tcPr>
            <w:tcW w:w="1108" w:type="dxa"/>
            <w:tcBorders>
              <w:top w:val="nil"/>
              <w:left w:val="nil"/>
              <w:bottom w:val="single" w:sz="8" w:space="0" w:color="FFFFFF"/>
              <w:right w:val="single" w:sz="8" w:space="0" w:color="FFFFFF"/>
            </w:tcBorders>
            <w:shd w:val="clear" w:color="000000" w:fill="EFEAE6"/>
            <w:noWrap/>
            <w:vAlign w:val="bottom"/>
            <w:hideMark/>
          </w:tcPr>
          <w:p w14:paraId="6C0F425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322</w:t>
            </w:r>
          </w:p>
        </w:tc>
        <w:tc>
          <w:tcPr>
            <w:tcW w:w="1228" w:type="dxa"/>
            <w:tcBorders>
              <w:top w:val="nil"/>
              <w:left w:val="nil"/>
              <w:bottom w:val="single" w:sz="8" w:space="0" w:color="FFFFFF"/>
              <w:right w:val="single" w:sz="8" w:space="0" w:color="FFFFFF"/>
            </w:tcBorders>
            <w:shd w:val="clear" w:color="000000" w:fill="EFEAE6"/>
            <w:noWrap/>
            <w:vAlign w:val="bottom"/>
            <w:hideMark/>
          </w:tcPr>
          <w:p w14:paraId="206FFDA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307</w:t>
            </w:r>
          </w:p>
        </w:tc>
        <w:tc>
          <w:tcPr>
            <w:tcW w:w="1228" w:type="dxa"/>
            <w:tcBorders>
              <w:top w:val="nil"/>
              <w:left w:val="nil"/>
              <w:bottom w:val="single" w:sz="8" w:space="0" w:color="FFFFFF"/>
              <w:right w:val="single" w:sz="8" w:space="0" w:color="FFFFFF"/>
            </w:tcBorders>
            <w:shd w:val="clear" w:color="000000" w:fill="EFEAE6"/>
            <w:noWrap/>
            <w:vAlign w:val="bottom"/>
            <w:hideMark/>
          </w:tcPr>
          <w:p w14:paraId="0362126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285</w:t>
            </w:r>
          </w:p>
        </w:tc>
        <w:tc>
          <w:tcPr>
            <w:tcW w:w="2098" w:type="dxa"/>
            <w:tcBorders>
              <w:top w:val="nil"/>
              <w:left w:val="nil"/>
              <w:bottom w:val="single" w:sz="8" w:space="0" w:color="FFFFFF"/>
              <w:right w:val="single" w:sz="8" w:space="0" w:color="FFFFFF"/>
            </w:tcBorders>
            <w:shd w:val="clear" w:color="000000" w:fill="EFEAE6"/>
            <w:noWrap/>
            <w:vAlign w:val="bottom"/>
            <w:hideMark/>
          </w:tcPr>
          <w:p w14:paraId="64680DF8"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Negative</w:t>
            </w:r>
          </w:p>
        </w:tc>
      </w:tr>
      <w:tr w:rsidR="00345FCF" w:rsidRPr="00E25B46" w14:paraId="68180C62"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46210B94"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Reading</w:t>
            </w:r>
          </w:p>
        </w:tc>
        <w:tc>
          <w:tcPr>
            <w:tcW w:w="1104" w:type="dxa"/>
            <w:tcBorders>
              <w:top w:val="nil"/>
              <w:left w:val="nil"/>
              <w:bottom w:val="single" w:sz="8" w:space="0" w:color="FFFFFF"/>
              <w:right w:val="single" w:sz="8" w:space="0" w:color="FFFFFF"/>
            </w:tcBorders>
            <w:shd w:val="clear" w:color="000000" w:fill="EFEAE6"/>
            <w:noWrap/>
            <w:vAlign w:val="bottom"/>
            <w:hideMark/>
          </w:tcPr>
          <w:p w14:paraId="7CC6060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53E13B0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02A1DC9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698B2C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7B0E291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94A86A8"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28</w:t>
            </w:r>
          </w:p>
        </w:tc>
        <w:tc>
          <w:tcPr>
            <w:tcW w:w="1108" w:type="dxa"/>
            <w:tcBorders>
              <w:top w:val="nil"/>
              <w:left w:val="nil"/>
              <w:bottom w:val="single" w:sz="8" w:space="0" w:color="FFFFFF"/>
              <w:right w:val="single" w:sz="8" w:space="0" w:color="FFFFFF"/>
            </w:tcBorders>
            <w:shd w:val="clear" w:color="000000" w:fill="EFEAE6"/>
            <w:noWrap/>
            <w:vAlign w:val="bottom"/>
            <w:hideMark/>
          </w:tcPr>
          <w:p w14:paraId="6B1CC34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96</w:t>
            </w:r>
          </w:p>
        </w:tc>
        <w:tc>
          <w:tcPr>
            <w:tcW w:w="1228" w:type="dxa"/>
            <w:tcBorders>
              <w:top w:val="nil"/>
              <w:left w:val="nil"/>
              <w:bottom w:val="single" w:sz="8" w:space="0" w:color="FFFFFF"/>
              <w:right w:val="single" w:sz="8" w:space="0" w:color="FFFFFF"/>
            </w:tcBorders>
            <w:shd w:val="clear" w:color="000000" w:fill="EFEAE6"/>
            <w:noWrap/>
            <w:vAlign w:val="bottom"/>
            <w:hideMark/>
          </w:tcPr>
          <w:p w14:paraId="497B87D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301</w:t>
            </w:r>
          </w:p>
        </w:tc>
        <w:tc>
          <w:tcPr>
            <w:tcW w:w="1228" w:type="dxa"/>
            <w:tcBorders>
              <w:top w:val="nil"/>
              <w:left w:val="nil"/>
              <w:bottom w:val="single" w:sz="8" w:space="0" w:color="FFFFFF"/>
              <w:right w:val="single" w:sz="8" w:space="0" w:color="FFFFFF"/>
            </w:tcBorders>
            <w:shd w:val="clear" w:color="000000" w:fill="EFEAE6"/>
            <w:noWrap/>
            <w:vAlign w:val="bottom"/>
            <w:hideMark/>
          </w:tcPr>
          <w:p w14:paraId="23179E1F"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600</w:t>
            </w:r>
          </w:p>
        </w:tc>
        <w:tc>
          <w:tcPr>
            <w:tcW w:w="2098" w:type="dxa"/>
            <w:tcBorders>
              <w:top w:val="nil"/>
              <w:left w:val="nil"/>
              <w:bottom w:val="single" w:sz="8" w:space="0" w:color="FFFFFF"/>
              <w:right w:val="single" w:sz="8" w:space="0" w:color="FFFFFF"/>
            </w:tcBorders>
            <w:shd w:val="clear" w:color="000000" w:fill="EFEAE6"/>
            <w:noWrap/>
            <w:vAlign w:val="bottom"/>
            <w:hideMark/>
          </w:tcPr>
          <w:p w14:paraId="5C19E2A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 xml:space="preserve">New Positive </w:t>
            </w:r>
          </w:p>
        </w:tc>
      </w:tr>
      <w:tr w:rsidR="00345FCF" w:rsidRPr="00E25B46" w14:paraId="743C68FC"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7D9FF9E4"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London Business School</w:t>
            </w:r>
          </w:p>
        </w:tc>
        <w:tc>
          <w:tcPr>
            <w:tcW w:w="1104" w:type="dxa"/>
            <w:tcBorders>
              <w:top w:val="nil"/>
              <w:left w:val="nil"/>
              <w:bottom w:val="single" w:sz="8" w:space="0" w:color="FFFFFF"/>
              <w:right w:val="single" w:sz="8" w:space="0" w:color="FFFFFF"/>
            </w:tcBorders>
            <w:shd w:val="clear" w:color="000000" w:fill="EFEAE6"/>
            <w:noWrap/>
            <w:vAlign w:val="bottom"/>
            <w:hideMark/>
          </w:tcPr>
          <w:p w14:paraId="7D42AE6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022A0BD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2214661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039E0C7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150852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275</w:t>
            </w:r>
          </w:p>
        </w:tc>
        <w:tc>
          <w:tcPr>
            <w:tcW w:w="1104" w:type="dxa"/>
            <w:tcBorders>
              <w:top w:val="nil"/>
              <w:left w:val="nil"/>
              <w:bottom w:val="single" w:sz="8" w:space="0" w:color="FFFFFF"/>
              <w:right w:val="single" w:sz="8" w:space="0" w:color="FFFFFF"/>
            </w:tcBorders>
            <w:shd w:val="clear" w:color="000000" w:fill="EFEAE6"/>
            <w:noWrap/>
            <w:vAlign w:val="bottom"/>
            <w:hideMark/>
          </w:tcPr>
          <w:p w14:paraId="6911CA5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270</w:t>
            </w:r>
          </w:p>
        </w:tc>
        <w:tc>
          <w:tcPr>
            <w:tcW w:w="1108" w:type="dxa"/>
            <w:tcBorders>
              <w:top w:val="nil"/>
              <w:left w:val="nil"/>
              <w:bottom w:val="single" w:sz="8" w:space="0" w:color="FFFFFF"/>
              <w:right w:val="single" w:sz="8" w:space="0" w:color="FFFFFF"/>
            </w:tcBorders>
            <w:shd w:val="clear" w:color="000000" w:fill="EFEAE6"/>
            <w:noWrap/>
            <w:vAlign w:val="bottom"/>
            <w:hideMark/>
          </w:tcPr>
          <w:p w14:paraId="6A8B5D6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274</w:t>
            </w:r>
          </w:p>
        </w:tc>
        <w:tc>
          <w:tcPr>
            <w:tcW w:w="1228" w:type="dxa"/>
            <w:tcBorders>
              <w:top w:val="nil"/>
              <w:left w:val="nil"/>
              <w:bottom w:val="single" w:sz="8" w:space="0" w:color="FFFFFF"/>
              <w:right w:val="single" w:sz="8" w:space="0" w:color="FFFFFF"/>
            </w:tcBorders>
            <w:shd w:val="clear" w:color="000000" w:fill="EFEAE6"/>
            <w:noWrap/>
            <w:vAlign w:val="bottom"/>
            <w:hideMark/>
          </w:tcPr>
          <w:p w14:paraId="7F8AA89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281</w:t>
            </w:r>
          </w:p>
        </w:tc>
        <w:tc>
          <w:tcPr>
            <w:tcW w:w="1228" w:type="dxa"/>
            <w:tcBorders>
              <w:top w:val="nil"/>
              <w:left w:val="nil"/>
              <w:bottom w:val="single" w:sz="8" w:space="0" w:color="FFFFFF"/>
              <w:right w:val="single" w:sz="8" w:space="0" w:color="FFFFFF"/>
            </w:tcBorders>
            <w:shd w:val="clear" w:color="000000" w:fill="EFEAE6"/>
            <w:noWrap/>
            <w:vAlign w:val="bottom"/>
            <w:hideMark/>
          </w:tcPr>
          <w:p w14:paraId="0573360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285</w:t>
            </w:r>
          </w:p>
        </w:tc>
        <w:tc>
          <w:tcPr>
            <w:tcW w:w="2098" w:type="dxa"/>
            <w:tcBorders>
              <w:top w:val="nil"/>
              <w:left w:val="nil"/>
              <w:bottom w:val="single" w:sz="8" w:space="0" w:color="FFFFFF"/>
              <w:right w:val="single" w:sz="8" w:space="0" w:color="FFFFFF"/>
            </w:tcBorders>
            <w:shd w:val="clear" w:color="000000" w:fill="EFEAE6"/>
            <w:noWrap/>
            <w:vAlign w:val="bottom"/>
            <w:hideMark/>
          </w:tcPr>
          <w:p w14:paraId="2FEB62D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 xml:space="preserve">New Stagnant </w:t>
            </w:r>
          </w:p>
        </w:tc>
      </w:tr>
      <w:tr w:rsidR="00345FCF" w:rsidRPr="00E25B46" w14:paraId="6CE06C33"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4C948E4C"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UC Birmingham</w:t>
            </w:r>
          </w:p>
        </w:tc>
        <w:tc>
          <w:tcPr>
            <w:tcW w:w="1104" w:type="dxa"/>
            <w:tcBorders>
              <w:top w:val="nil"/>
              <w:left w:val="nil"/>
              <w:bottom w:val="single" w:sz="8" w:space="0" w:color="FFFFFF"/>
              <w:right w:val="single" w:sz="8" w:space="0" w:color="FFFFFF"/>
            </w:tcBorders>
            <w:shd w:val="clear" w:color="000000" w:fill="EFEAE6"/>
            <w:noWrap/>
            <w:vAlign w:val="bottom"/>
            <w:hideMark/>
          </w:tcPr>
          <w:p w14:paraId="7A23D21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264</w:t>
            </w:r>
          </w:p>
        </w:tc>
        <w:tc>
          <w:tcPr>
            <w:tcW w:w="1113" w:type="dxa"/>
            <w:tcBorders>
              <w:top w:val="nil"/>
              <w:left w:val="nil"/>
              <w:bottom w:val="single" w:sz="8" w:space="0" w:color="FFFFFF"/>
              <w:right w:val="single" w:sz="8" w:space="0" w:color="FFFFFF"/>
            </w:tcBorders>
            <w:shd w:val="clear" w:color="000000" w:fill="EFEAE6"/>
            <w:noWrap/>
            <w:vAlign w:val="bottom"/>
            <w:hideMark/>
          </w:tcPr>
          <w:p w14:paraId="4B3FF6C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245</w:t>
            </w:r>
          </w:p>
        </w:tc>
        <w:tc>
          <w:tcPr>
            <w:tcW w:w="1104" w:type="dxa"/>
            <w:tcBorders>
              <w:top w:val="nil"/>
              <w:left w:val="nil"/>
              <w:bottom w:val="single" w:sz="8" w:space="0" w:color="FFFFFF"/>
              <w:right w:val="single" w:sz="8" w:space="0" w:color="FFFFFF"/>
            </w:tcBorders>
            <w:shd w:val="clear" w:color="000000" w:fill="EFEAE6"/>
            <w:noWrap/>
            <w:vAlign w:val="bottom"/>
            <w:hideMark/>
          </w:tcPr>
          <w:p w14:paraId="6FEB072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201</w:t>
            </w:r>
          </w:p>
        </w:tc>
        <w:tc>
          <w:tcPr>
            <w:tcW w:w="1104" w:type="dxa"/>
            <w:tcBorders>
              <w:top w:val="nil"/>
              <w:left w:val="nil"/>
              <w:bottom w:val="single" w:sz="8" w:space="0" w:color="FFFFFF"/>
              <w:right w:val="single" w:sz="8" w:space="0" w:color="FFFFFF"/>
            </w:tcBorders>
            <w:shd w:val="clear" w:color="000000" w:fill="EFEAE6"/>
            <w:noWrap/>
            <w:vAlign w:val="bottom"/>
            <w:hideMark/>
          </w:tcPr>
          <w:p w14:paraId="267D913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257</w:t>
            </w:r>
          </w:p>
        </w:tc>
        <w:tc>
          <w:tcPr>
            <w:tcW w:w="1104" w:type="dxa"/>
            <w:tcBorders>
              <w:top w:val="nil"/>
              <w:left w:val="nil"/>
              <w:bottom w:val="single" w:sz="8" w:space="0" w:color="FFFFFF"/>
              <w:right w:val="single" w:sz="8" w:space="0" w:color="FFFFFF"/>
            </w:tcBorders>
            <w:shd w:val="clear" w:color="000000" w:fill="EFEAE6"/>
            <w:noWrap/>
            <w:vAlign w:val="bottom"/>
            <w:hideMark/>
          </w:tcPr>
          <w:p w14:paraId="3A381018"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319</w:t>
            </w:r>
          </w:p>
        </w:tc>
        <w:tc>
          <w:tcPr>
            <w:tcW w:w="1104" w:type="dxa"/>
            <w:tcBorders>
              <w:top w:val="nil"/>
              <w:left w:val="nil"/>
              <w:bottom w:val="single" w:sz="8" w:space="0" w:color="FFFFFF"/>
              <w:right w:val="single" w:sz="8" w:space="0" w:color="FFFFFF"/>
            </w:tcBorders>
            <w:shd w:val="clear" w:color="000000" w:fill="EFEAE6"/>
            <w:noWrap/>
            <w:vAlign w:val="bottom"/>
            <w:hideMark/>
          </w:tcPr>
          <w:p w14:paraId="13CE35E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261</w:t>
            </w:r>
          </w:p>
        </w:tc>
        <w:tc>
          <w:tcPr>
            <w:tcW w:w="1108" w:type="dxa"/>
            <w:tcBorders>
              <w:top w:val="nil"/>
              <w:left w:val="nil"/>
              <w:bottom w:val="single" w:sz="8" w:space="0" w:color="FFFFFF"/>
              <w:right w:val="single" w:sz="8" w:space="0" w:color="FFFFFF"/>
            </w:tcBorders>
            <w:shd w:val="clear" w:color="000000" w:fill="EFEAE6"/>
            <w:noWrap/>
            <w:vAlign w:val="bottom"/>
            <w:hideMark/>
          </w:tcPr>
          <w:p w14:paraId="68F66F7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269</w:t>
            </w:r>
          </w:p>
        </w:tc>
        <w:tc>
          <w:tcPr>
            <w:tcW w:w="1228" w:type="dxa"/>
            <w:tcBorders>
              <w:top w:val="nil"/>
              <w:left w:val="nil"/>
              <w:bottom w:val="single" w:sz="8" w:space="0" w:color="FFFFFF"/>
              <w:right w:val="single" w:sz="8" w:space="0" w:color="FFFFFF"/>
            </w:tcBorders>
            <w:shd w:val="clear" w:color="000000" w:fill="EFEAE6"/>
            <w:noWrap/>
            <w:vAlign w:val="bottom"/>
            <w:hideMark/>
          </w:tcPr>
          <w:p w14:paraId="511F7AA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246</w:t>
            </w:r>
          </w:p>
        </w:tc>
        <w:tc>
          <w:tcPr>
            <w:tcW w:w="1228" w:type="dxa"/>
            <w:tcBorders>
              <w:top w:val="nil"/>
              <w:left w:val="nil"/>
              <w:bottom w:val="single" w:sz="8" w:space="0" w:color="FFFFFF"/>
              <w:right w:val="single" w:sz="8" w:space="0" w:color="FFFFFF"/>
            </w:tcBorders>
            <w:shd w:val="clear" w:color="000000" w:fill="EFEAE6"/>
            <w:noWrap/>
            <w:vAlign w:val="bottom"/>
            <w:hideMark/>
          </w:tcPr>
          <w:p w14:paraId="3FB04E2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195</w:t>
            </w:r>
          </w:p>
        </w:tc>
        <w:tc>
          <w:tcPr>
            <w:tcW w:w="2098" w:type="dxa"/>
            <w:tcBorders>
              <w:top w:val="nil"/>
              <w:left w:val="nil"/>
              <w:bottom w:val="single" w:sz="8" w:space="0" w:color="FFFFFF"/>
              <w:right w:val="single" w:sz="8" w:space="0" w:color="FFFFFF"/>
            </w:tcBorders>
            <w:shd w:val="clear" w:color="000000" w:fill="EFEAE6"/>
            <w:noWrap/>
            <w:vAlign w:val="bottom"/>
            <w:hideMark/>
          </w:tcPr>
          <w:p w14:paraId="69B2011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Negative</w:t>
            </w:r>
          </w:p>
        </w:tc>
      </w:tr>
      <w:tr w:rsidR="00345FCF" w:rsidRPr="00E25B46" w14:paraId="10636DC1"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78A3DE1B"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UCL</w:t>
            </w:r>
          </w:p>
        </w:tc>
        <w:tc>
          <w:tcPr>
            <w:tcW w:w="1104" w:type="dxa"/>
            <w:tcBorders>
              <w:top w:val="nil"/>
              <w:left w:val="nil"/>
              <w:bottom w:val="single" w:sz="8" w:space="0" w:color="FFFFFF"/>
              <w:right w:val="single" w:sz="8" w:space="0" w:color="FFFFFF"/>
            </w:tcBorders>
            <w:shd w:val="clear" w:color="000000" w:fill="EFEAE6"/>
            <w:noWrap/>
            <w:vAlign w:val="bottom"/>
            <w:hideMark/>
          </w:tcPr>
          <w:p w14:paraId="418C9C2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4A4E949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20</w:t>
            </w:r>
          </w:p>
        </w:tc>
        <w:tc>
          <w:tcPr>
            <w:tcW w:w="1104" w:type="dxa"/>
            <w:tcBorders>
              <w:top w:val="nil"/>
              <w:left w:val="nil"/>
              <w:bottom w:val="single" w:sz="8" w:space="0" w:color="FFFFFF"/>
              <w:right w:val="single" w:sz="8" w:space="0" w:color="FFFFFF"/>
            </w:tcBorders>
            <w:shd w:val="clear" w:color="000000" w:fill="EFEAE6"/>
            <w:noWrap/>
            <w:vAlign w:val="bottom"/>
            <w:hideMark/>
          </w:tcPr>
          <w:p w14:paraId="43A7A00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68</w:t>
            </w:r>
          </w:p>
        </w:tc>
        <w:tc>
          <w:tcPr>
            <w:tcW w:w="1104" w:type="dxa"/>
            <w:tcBorders>
              <w:top w:val="nil"/>
              <w:left w:val="nil"/>
              <w:bottom w:val="single" w:sz="8" w:space="0" w:color="FFFFFF"/>
              <w:right w:val="single" w:sz="8" w:space="0" w:color="FFFFFF"/>
            </w:tcBorders>
            <w:shd w:val="clear" w:color="000000" w:fill="EFEAE6"/>
            <w:noWrap/>
            <w:vAlign w:val="bottom"/>
            <w:hideMark/>
          </w:tcPr>
          <w:p w14:paraId="10B2FC58"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126</w:t>
            </w:r>
          </w:p>
        </w:tc>
        <w:tc>
          <w:tcPr>
            <w:tcW w:w="1104" w:type="dxa"/>
            <w:tcBorders>
              <w:top w:val="nil"/>
              <w:left w:val="nil"/>
              <w:bottom w:val="single" w:sz="8" w:space="0" w:color="FFFFFF"/>
              <w:right w:val="single" w:sz="8" w:space="0" w:color="FFFFFF"/>
            </w:tcBorders>
            <w:shd w:val="clear" w:color="000000" w:fill="EFEAE6"/>
            <w:noWrap/>
            <w:vAlign w:val="bottom"/>
            <w:hideMark/>
          </w:tcPr>
          <w:p w14:paraId="3D87809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218</w:t>
            </w:r>
          </w:p>
        </w:tc>
        <w:tc>
          <w:tcPr>
            <w:tcW w:w="1104" w:type="dxa"/>
            <w:tcBorders>
              <w:top w:val="nil"/>
              <w:left w:val="nil"/>
              <w:bottom w:val="single" w:sz="8" w:space="0" w:color="FFFFFF"/>
              <w:right w:val="single" w:sz="8" w:space="0" w:color="FFFFFF"/>
            </w:tcBorders>
            <w:shd w:val="clear" w:color="000000" w:fill="EFEAE6"/>
            <w:noWrap/>
            <w:vAlign w:val="bottom"/>
            <w:hideMark/>
          </w:tcPr>
          <w:p w14:paraId="125D7C7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279</w:t>
            </w:r>
          </w:p>
        </w:tc>
        <w:tc>
          <w:tcPr>
            <w:tcW w:w="1108" w:type="dxa"/>
            <w:tcBorders>
              <w:top w:val="nil"/>
              <w:left w:val="nil"/>
              <w:bottom w:val="single" w:sz="8" w:space="0" w:color="FFFFFF"/>
              <w:right w:val="single" w:sz="8" w:space="0" w:color="FFFFFF"/>
            </w:tcBorders>
            <w:shd w:val="clear" w:color="000000" w:fill="EFEAE6"/>
            <w:noWrap/>
            <w:vAlign w:val="bottom"/>
            <w:hideMark/>
          </w:tcPr>
          <w:p w14:paraId="277CF058"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311</w:t>
            </w:r>
          </w:p>
        </w:tc>
        <w:tc>
          <w:tcPr>
            <w:tcW w:w="1228" w:type="dxa"/>
            <w:tcBorders>
              <w:top w:val="nil"/>
              <w:left w:val="nil"/>
              <w:bottom w:val="single" w:sz="8" w:space="0" w:color="FFFFFF"/>
              <w:right w:val="single" w:sz="8" w:space="0" w:color="FFFFFF"/>
            </w:tcBorders>
            <w:shd w:val="clear" w:color="000000" w:fill="EFEAE6"/>
            <w:noWrap/>
            <w:vAlign w:val="bottom"/>
            <w:hideMark/>
          </w:tcPr>
          <w:p w14:paraId="7F1D374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218</w:t>
            </w:r>
          </w:p>
        </w:tc>
        <w:tc>
          <w:tcPr>
            <w:tcW w:w="1228" w:type="dxa"/>
            <w:tcBorders>
              <w:top w:val="nil"/>
              <w:left w:val="nil"/>
              <w:bottom w:val="single" w:sz="8" w:space="0" w:color="FFFFFF"/>
              <w:right w:val="single" w:sz="8" w:space="0" w:color="FFFFFF"/>
            </w:tcBorders>
            <w:shd w:val="clear" w:color="000000" w:fill="EFEAE6"/>
            <w:noWrap/>
            <w:vAlign w:val="bottom"/>
            <w:hideMark/>
          </w:tcPr>
          <w:p w14:paraId="1EDDD04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170</w:t>
            </w:r>
          </w:p>
        </w:tc>
        <w:tc>
          <w:tcPr>
            <w:tcW w:w="2098" w:type="dxa"/>
            <w:tcBorders>
              <w:top w:val="nil"/>
              <w:left w:val="nil"/>
              <w:bottom w:val="single" w:sz="8" w:space="0" w:color="FFFFFF"/>
              <w:right w:val="single" w:sz="8" w:space="0" w:color="FFFFFF"/>
            </w:tcBorders>
            <w:shd w:val="clear" w:color="000000" w:fill="EFEAE6"/>
            <w:noWrap/>
            <w:vAlign w:val="bottom"/>
            <w:hideMark/>
          </w:tcPr>
          <w:p w14:paraId="3E8BB31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Negative</w:t>
            </w:r>
          </w:p>
        </w:tc>
      </w:tr>
      <w:tr w:rsidR="00345FCF" w:rsidRPr="00E25B46" w14:paraId="1D171FDC"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51762F26"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Liverpool</w:t>
            </w:r>
          </w:p>
        </w:tc>
        <w:tc>
          <w:tcPr>
            <w:tcW w:w="1104" w:type="dxa"/>
            <w:tcBorders>
              <w:top w:val="nil"/>
              <w:left w:val="nil"/>
              <w:bottom w:val="single" w:sz="8" w:space="0" w:color="FFFFFF"/>
              <w:right w:val="single" w:sz="8" w:space="0" w:color="FFFFFF"/>
            </w:tcBorders>
            <w:shd w:val="clear" w:color="000000" w:fill="EFEAE6"/>
            <w:noWrap/>
            <w:vAlign w:val="bottom"/>
            <w:hideMark/>
          </w:tcPr>
          <w:p w14:paraId="3DFB9AD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786F583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297D50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75D342A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4B00E5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1227F7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1380AEA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4AB82B6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204</w:t>
            </w:r>
          </w:p>
        </w:tc>
        <w:tc>
          <w:tcPr>
            <w:tcW w:w="1228" w:type="dxa"/>
            <w:tcBorders>
              <w:top w:val="nil"/>
              <w:left w:val="nil"/>
              <w:bottom w:val="single" w:sz="8" w:space="0" w:color="FFFFFF"/>
              <w:right w:val="single" w:sz="8" w:space="0" w:color="FFFFFF"/>
            </w:tcBorders>
            <w:shd w:val="clear" w:color="000000" w:fill="EFEAE6"/>
            <w:noWrap/>
            <w:vAlign w:val="bottom"/>
            <w:hideMark/>
          </w:tcPr>
          <w:p w14:paraId="166520B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40A5360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 xml:space="preserve">New </w:t>
            </w:r>
          </w:p>
        </w:tc>
      </w:tr>
      <w:tr w:rsidR="00345FCF" w:rsidRPr="00E25B46" w14:paraId="5E57C640"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1B2E08ED"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Queen Mary</w:t>
            </w:r>
          </w:p>
        </w:tc>
        <w:tc>
          <w:tcPr>
            <w:tcW w:w="1104" w:type="dxa"/>
            <w:tcBorders>
              <w:top w:val="nil"/>
              <w:left w:val="nil"/>
              <w:bottom w:val="single" w:sz="8" w:space="0" w:color="FFFFFF"/>
              <w:right w:val="single" w:sz="8" w:space="0" w:color="FFFFFF"/>
            </w:tcBorders>
            <w:shd w:val="clear" w:color="000000" w:fill="EFEAE6"/>
            <w:noWrap/>
            <w:vAlign w:val="bottom"/>
            <w:hideMark/>
          </w:tcPr>
          <w:p w14:paraId="501922F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6F5E764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5EB7B6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05E8CAC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EB6D60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573EBAA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66</w:t>
            </w:r>
          </w:p>
        </w:tc>
        <w:tc>
          <w:tcPr>
            <w:tcW w:w="1108" w:type="dxa"/>
            <w:tcBorders>
              <w:top w:val="nil"/>
              <w:left w:val="nil"/>
              <w:bottom w:val="single" w:sz="8" w:space="0" w:color="FFFFFF"/>
              <w:right w:val="single" w:sz="8" w:space="0" w:color="FFFFFF"/>
            </w:tcBorders>
            <w:shd w:val="clear" w:color="000000" w:fill="EFEAE6"/>
            <w:noWrap/>
            <w:vAlign w:val="bottom"/>
            <w:hideMark/>
          </w:tcPr>
          <w:p w14:paraId="1C8BF4F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86</w:t>
            </w:r>
          </w:p>
        </w:tc>
        <w:tc>
          <w:tcPr>
            <w:tcW w:w="1228" w:type="dxa"/>
            <w:tcBorders>
              <w:top w:val="nil"/>
              <w:left w:val="nil"/>
              <w:bottom w:val="single" w:sz="8" w:space="0" w:color="FFFFFF"/>
              <w:right w:val="single" w:sz="8" w:space="0" w:color="FFFFFF"/>
            </w:tcBorders>
            <w:shd w:val="clear" w:color="000000" w:fill="EFEAE6"/>
            <w:noWrap/>
            <w:vAlign w:val="bottom"/>
            <w:hideMark/>
          </w:tcPr>
          <w:p w14:paraId="404135B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88</w:t>
            </w:r>
          </w:p>
        </w:tc>
        <w:tc>
          <w:tcPr>
            <w:tcW w:w="1228" w:type="dxa"/>
            <w:tcBorders>
              <w:top w:val="nil"/>
              <w:left w:val="nil"/>
              <w:bottom w:val="single" w:sz="8" w:space="0" w:color="FFFFFF"/>
              <w:right w:val="single" w:sz="8" w:space="0" w:color="FFFFFF"/>
            </w:tcBorders>
            <w:shd w:val="clear" w:color="000000" w:fill="EFEAE6"/>
            <w:noWrap/>
            <w:vAlign w:val="bottom"/>
            <w:hideMark/>
          </w:tcPr>
          <w:p w14:paraId="20B7929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110</w:t>
            </w:r>
          </w:p>
        </w:tc>
        <w:tc>
          <w:tcPr>
            <w:tcW w:w="2098" w:type="dxa"/>
            <w:tcBorders>
              <w:top w:val="nil"/>
              <w:left w:val="nil"/>
              <w:bottom w:val="single" w:sz="8" w:space="0" w:color="FFFFFF"/>
              <w:right w:val="single" w:sz="8" w:space="0" w:color="FFFFFF"/>
            </w:tcBorders>
            <w:shd w:val="clear" w:color="000000" w:fill="EFEAE6"/>
            <w:noWrap/>
            <w:vAlign w:val="bottom"/>
            <w:hideMark/>
          </w:tcPr>
          <w:p w14:paraId="3D7F7928"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 xml:space="preserve">New Stagnant </w:t>
            </w:r>
          </w:p>
        </w:tc>
      </w:tr>
      <w:tr w:rsidR="00345FCF" w:rsidRPr="00E25B46" w14:paraId="27201458"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685D7378"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Exeter</w:t>
            </w:r>
          </w:p>
        </w:tc>
        <w:tc>
          <w:tcPr>
            <w:tcW w:w="1104" w:type="dxa"/>
            <w:tcBorders>
              <w:top w:val="nil"/>
              <w:left w:val="nil"/>
              <w:bottom w:val="single" w:sz="8" w:space="0" w:color="FFFFFF"/>
              <w:right w:val="single" w:sz="8" w:space="0" w:color="FFFFFF"/>
            </w:tcBorders>
            <w:shd w:val="clear" w:color="000000" w:fill="EFEAE6"/>
            <w:noWrap/>
            <w:vAlign w:val="bottom"/>
            <w:hideMark/>
          </w:tcPr>
          <w:p w14:paraId="6423A3D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51</w:t>
            </w:r>
          </w:p>
        </w:tc>
        <w:tc>
          <w:tcPr>
            <w:tcW w:w="1113" w:type="dxa"/>
            <w:tcBorders>
              <w:top w:val="nil"/>
              <w:left w:val="nil"/>
              <w:bottom w:val="single" w:sz="8" w:space="0" w:color="FFFFFF"/>
              <w:right w:val="single" w:sz="8" w:space="0" w:color="FFFFFF"/>
            </w:tcBorders>
            <w:shd w:val="clear" w:color="000000" w:fill="EFEAE6"/>
            <w:noWrap/>
            <w:vAlign w:val="bottom"/>
            <w:hideMark/>
          </w:tcPr>
          <w:p w14:paraId="4651B33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63</w:t>
            </w:r>
          </w:p>
        </w:tc>
        <w:tc>
          <w:tcPr>
            <w:tcW w:w="1104" w:type="dxa"/>
            <w:tcBorders>
              <w:top w:val="nil"/>
              <w:left w:val="nil"/>
              <w:bottom w:val="single" w:sz="8" w:space="0" w:color="FFFFFF"/>
              <w:right w:val="single" w:sz="8" w:space="0" w:color="FFFFFF"/>
            </w:tcBorders>
            <w:shd w:val="clear" w:color="000000" w:fill="EFEAE6"/>
            <w:noWrap/>
            <w:vAlign w:val="bottom"/>
            <w:hideMark/>
          </w:tcPr>
          <w:p w14:paraId="4754463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64</w:t>
            </w:r>
          </w:p>
        </w:tc>
        <w:tc>
          <w:tcPr>
            <w:tcW w:w="1104" w:type="dxa"/>
            <w:tcBorders>
              <w:top w:val="nil"/>
              <w:left w:val="nil"/>
              <w:bottom w:val="single" w:sz="8" w:space="0" w:color="FFFFFF"/>
              <w:right w:val="single" w:sz="8" w:space="0" w:color="FFFFFF"/>
            </w:tcBorders>
            <w:shd w:val="clear" w:color="000000" w:fill="EFEAE6"/>
            <w:noWrap/>
            <w:vAlign w:val="bottom"/>
            <w:hideMark/>
          </w:tcPr>
          <w:p w14:paraId="071605D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64</w:t>
            </w:r>
          </w:p>
        </w:tc>
        <w:tc>
          <w:tcPr>
            <w:tcW w:w="1104" w:type="dxa"/>
            <w:tcBorders>
              <w:top w:val="nil"/>
              <w:left w:val="nil"/>
              <w:bottom w:val="single" w:sz="8" w:space="0" w:color="FFFFFF"/>
              <w:right w:val="single" w:sz="8" w:space="0" w:color="FFFFFF"/>
            </w:tcBorders>
            <w:shd w:val="clear" w:color="000000" w:fill="EFEAE6"/>
            <w:noWrap/>
            <w:vAlign w:val="bottom"/>
            <w:hideMark/>
          </w:tcPr>
          <w:p w14:paraId="72EAF7D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70</w:t>
            </w:r>
          </w:p>
        </w:tc>
        <w:tc>
          <w:tcPr>
            <w:tcW w:w="1104" w:type="dxa"/>
            <w:tcBorders>
              <w:top w:val="nil"/>
              <w:left w:val="nil"/>
              <w:bottom w:val="single" w:sz="8" w:space="0" w:color="FFFFFF"/>
              <w:right w:val="single" w:sz="8" w:space="0" w:color="FFFFFF"/>
            </w:tcBorders>
            <w:shd w:val="clear" w:color="000000" w:fill="EFEAE6"/>
            <w:noWrap/>
            <w:vAlign w:val="bottom"/>
            <w:hideMark/>
          </w:tcPr>
          <w:p w14:paraId="3B332B8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68</w:t>
            </w:r>
          </w:p>
        </w:tc>
        <w:tc>
          <w:tcPr>
            <w:tcW w:w="1108" w:type="dxa"/>
            <w:tcBorders>
              <w:top w:val="nil"/>
              <w:left w:val="nil"/>
              <w:bottom w:val="single" w:sz="8" w:space="0" w:color="FFFFFF"/>
              <w:right w:val="single" w:sz="8" w:space="0" w:color="FFFFFF"/>
            </w:tcBorders>
            <w:shd w:val="clear" w:color="000000" w:fill="EFEAE6"/>
            <w:noWrap/>
            <w:vAlign w:val="bottom"/>
            <w:hideMark/>
          </w:tcPr>
          <w:p w14:paraId="3518CE7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65</w:t>
            </w:r>
          </w:p>
        </w:tc>
        <w:tc>
          <w:tcPr>
            <w:tcW w:w="1228" w:type="dxa"/>
            <w:tcBorders>
              <w:top w:val="nil"/>
              <w:left w:val="nil"/>
              <w:bottom w:val="single" w:sz="8" w:space="0" w:color="FFFFFF"/>
              <w:right w:val="single" w:sz="8" w:space="0" w:color="FFFFFF"/>
            </w:tcBorders>
            <w:shd w:val="clear" w:color="000000" w:fill="EFEAE6"/>
            <w:noWrap/>
            <w:vAlign w:val="bottom"/>
            <w:hideMark/>
          </w:tcPr>
          <w:p w14:paraId="13B502C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60</w:t>
            </w:r>
          </w:p>
        </w:tc>
        <w:tc>
          <w:tcPr>
            <w:tcW w:w="1228" w:type="dxa"/>
            <w:tcBorders>
              <w:top w:val="nil"/>
              <w:left w:val="nil"/>
              <w:bottom w:val="single" w:sz="8" w:space="0" w:color="FFFFFF"/>
              <w:right w:val="single" w:sz="8" w:space="0" w:color="FFFFFF"/>
            </w:tcBorders>
            <w:shd w:val="clear" w:color="000000" w:fill="EFEAE6"/>
            <w:noWrap/>
            <w:vAlign w:val="bottom"/>
            <w:hideMark/>
          </w:tcPr>
          <w:p w14:paraId="2238161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55</w:t>
            </w:r>
          </w:p>
        </w:tc>
        <w:tc>
          <w:tcPr>
            <w:tcW w:w="2098" w:type="dxa"/>
            <w:tcBorders>
              <w:top w:val="nil"/>
              <w:left w:val="nil"/>
              <w:bottom w:val="single" w:sz="8" w:space="0" w:color="FFFFFF"/>
              <w:right w:val="single" w:sz="8" w:space="0" w:color="FFFFFF"/>
            </w:tcBorders>
            <w:shd w:val="clear" w:color="000000" w:fill="EFEAE6"/>
            <w:noWrap/>
            <w:vAlign w:val="bottom"/>
            <w:hideMark/>
          </w:tcPr>
          <w:p w14:paraId="5CB5022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Stagnant</w:t>
            </w:r>
          </w:p>
        </w:tc>
      </w:tr>
      <w:tr w:rsidR="00345FCF" w:rsidRPr="00E25B46" w14:paraId="009A4E38"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14B931B6"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Northampton</w:t>
            </w:r>
          </w:p>
        </w:tc>
        <w:tc>
          <w:tcPr>
            <w:tcW w:w="1104" w:type="dxa"/>
            <w:tcBorders>
              <w:top w:val="nil"/>
              <w:left w:val="nil"/>
              <w:bottom w:val="single" w:sz="8" w:space="0" w:color="FFFFFF"/>
              <w:right w:val="single" w:sz="8" w:space="0" w:color="FFFFFF"/>
            </w:tcBorders>
            <w:shd w:val="clear" w:color="000000" w:fill="EFEAE6"/>
            <w:noWrap/>
            <w:vAlign w:val="bottom"/>
            <w:hideMark/>
          </w:tcPr>
          <w:p w14:paraId="1FB4E05F"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79105A6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0368FC9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DAFA26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05F5DF9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48FC16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37</w:t>
            </w:r>
          </w:p>
        </w:tc>
        <w:tc>
          <w:tcPr>
            <w:tcW w:w="1108" w:type="dxa"/>
            <w:tcBorders>
              <w:top w:val="nil"/>
              <w:left w:val="nil"/>
              <w:bottom w:val="single" w:sz="8" w:space="0" w:color="FFFFFF"/>
              <w:right w:val="single" w:sz="8" w:space="0" w:color="FFFFFF"/>
            </w:tcBorders>
            <w:shd w:val="clear" w:color="000000" w:fill="EFEAE6"/>
            <w:noWrap/>
            <w:vAlign w:val="bottom"/>
            <w:hideMark/>
          </w:tcPr>
          <w:p w14:paraId="59FC726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33</w:t>
            </w:r>
          </w:p>
        </w:tc>
        <w:tc>
          <w:tcPr>
            <w:tcW w:w="1228" w:type="dxa"/>
            <w:tcBorders>
              <w:top w:val="nil"/>
              <w:left w:val="nil"/>
              <w:bottom w:val="single" w:sz="8" w:space="0" w:color="FFFFFF"/>
              <w:right w:val="single" w:sz="8" w:space="0" w:color="FFFFFF"/>
            </w:tcBorders>
            <w:shd w:val="clear" w:color="000000" w:fill="EFEAE6"/>
            <w:noWrap/>
            <w:vAlign w:val="bottom"/>
            <w:hideMark/>
          </w:tcPr>
          <w:p w14:paraId="44BE94C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58</w:t>
            </w:r>
          </w:p>
        </w:tc>
        <w:tc>
          <w:tcPr>
            <w:tcW w:w="1228" w:type="dxa"/>
            <w:tcBorders>
              <w:top w:val="nil"/>
              <w:left w:val="nil"/>
              <w:bottom w:val="single" w:sz="8" w:space="0" w:color="FFFFFF"/>
              <w:right w:val="single" w:sz="8" w:space="0" w:color="FFFFFF"/>
            </w:tcBorders>
            <w:shd w:val="clear" w:color="000000" w:fill="EFEAE6"/>
            <w:noWrap/>
            <w:vAlign w:val="bottom"/>
            <w:hideMark/>
          </w:tcPr>
          <w:p w14:paraId="5E5EF76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60</w:t>
            </w:r>
          </w:p>
        </w:tc>
        <w:tc>
          <w:tcPr>
            <w:tcW w:w="2098" w:type="dxa"/>
            <w:tcBorders>
              <w:top w:val="nil"/>
              <w:left w:val="nil"/>
              <w:bottom w:val="single" w:sz="8" w:space="0" w:color="FFFFFF"/>
              <w:right w:val="single" w:sz="8" w:space="0" w:color="FFFFFF"/>
            </w:tcBorders>
            <w:shd w:val="clear" w:color="000000" w:fill="EFEAE6"/>
            <w:noWrap/>
            <w:vAlign w:val="bottom"/>
            <w:hideMark/>
          </w:tcPr>
          <w:p w14:paraId="7C451096"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 xml:space="preserve">New Stagnant </w:t>
            </w:r>
          </w:p>
        </w:tc>
      </w:tr>
      <w:tr w:rsidR="00345FCF" w:rsidRPr="00E25B46" w14:paraId="5275FDA6"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3AB77A68" w14:textId="3FDD4862" w:rsidR="00E25B46" w:rsidRPr="00E25B46" w:rsidRDefault="00CF0D52" w:rsidP="00E25B46">
            <w:pPr>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Aber</w:t>
            </w:r>
            <w:r w:rsidR="00E25B46" w:rsidRPr="00E25B46">
              <w:rPr>
                <w:rFonts w:ascii="Calibri" w:eastAsia="Times New Roman" w:hAnsi="Calibri" w:cs="Calibri"/>
                <w:b/>
                <w:bCs/>
                <w:color w:val="FFFFFF"/>
                <w:lang w:eastAsia="en-GB"/>
              </w:rPr>
              <w:t>ys</w:t>
            </w:r>
            <w:r>
              <w:rPr>
                <w:rFonts w:ascii="Calibri" w:eastAsia="Times New Roman" w:hAnsi="Calibri" w:cs="Calibri"/>
                <w:b/>
                <w:bCs/>
                <w:color w:val="FFFFFF"/>
                <w:lang w:eastAsia="en-GB"/>
              </w:rPr>
              <w:t>t</w:t>
            </w:r>
            <w:r w:rsidR="00E25B46" w:rsidRPr="00E25B46">
              <w:rPr>
                <w:rFonts w:ascii="Calibri" w:eastAsia="Times New Roman" w:hAnsi="Calibri" w:cs="Calibri"/>
                <w:b/>
                <w:bCs/>
                <w:color w:val="FFFFFF"/>
                <w:lang w:eastAsia="en-GB"/>
              </w:rPr>
              <w:t>wyth</w:t>
            </w:r>
          </w:p>
        </w:tc>
        <w:tc>
          <w:tcPr>
            <w:tcW w:w="1104" w:type="dxa"/>
            <w:tcBorders>
              <w:top w:val="nil"/>
              <w:left w:val="nil"/>
              <w:bottom w:val="single" w:sz="8" w:space="0" w:color="FFFFFF"/>
              <w:right w:val="single" w:sz="8" w:space="0" w:color="FFFFFF"/>
            </w:tcBorders>
            <w:shd w:val="clear" w:color="000000" w:fill="EFEAE6"/>
            <w:noWrap/>
            <w:vAlign w:val="bottom"/>
            <w:hideMark/>
          </w:tcPr>
          <w:p w14:paraId="2BDFCD3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43D159D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5170DEF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271</w:t>
            </w:r>
          </w:p>
        </w:tc>
        <w:tc>
          <w:tcPr>
            <w:tcW w:w="1104" w:type="dxa"/>
            <w:tcBorders>
              <w:top w:val="nil"/>
              <w:left w:val="nil"/>
              <w:bottom w:val="single" w:sz="8" w:space="0" w:color="FFFFFF"/>
              <w:right w:val="single" w:sz="8" w:space="0" w:color="FFFFFF"/>
            </w:tcBorders>
            <w:shd w:val="clear" w:color="000000" w:fill="EFEAE6"/>
            <w:noWrap/>
            <w:vAlign w:val="bottom"/>
            <w:hideMark/>
          </w:tcPr>
          <w:p w14:paraId="7227146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046AFB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2D0333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584A554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36B6150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41</w:t>
            </w:r>
          </w:p>
        </w:tc>
        <w:tc>
          <w:tcPr>
            <w:tcW w:w="1228" w:type="dxa"/>
            <w:tcBorders>
              <w:top w:val="nil"/>
              <w:left w:val="nil"/>
              <w:bottom w:val="single" w:sz="8" w:space="0" w:color="FFFFFF"/>
              <w:right w:val="single" w:sz="8" w:space="0" w:color="FFFFFF"/>
            </w:tcBorders>
            <w:shd w:val="clear" w:color="000000" w:fill="EFEAE6"/>
            <w:noWrap/>
            <w:vAlign w:val="bottom"/>
            <w:hideMark/>
          </w:tcPr>
          <w:p w14:paraId="02527D8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90</w:t>
            </w:r>
          </w:p>
        </w:tc>
        <w:tc>
          <w:tcPr>
            <w:tcW w:w="2098" w:type="dxa"/>
            <w:tcBorders>
              <w:top w:val="nil"/>
              <w:left w:val="nil"/>
              <w:bottom w:val="single" w:sz="8" w:space="0" w:color="FFFFFF"/>
              <w:right w:val="single" w:sz="8" w:space="0" w:color="FFFFFF"/>
            </w:tcBorders>
            <w:shd w:val="clear" w:color="000000" w:fill="EFEAE6"/>
            <w:noWrap/>
            <w:vAlign w:val="bottom"/>
            <w:hideMark/>
          </w:tcPr>
          <w:p w14:paraId="31A6437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Negative</w:t>
            </w:r>
          </w:p>
        </w:tc>
      </w:tr>
      <w:tr w:rsidR="00345FCF" w:rsidRPr="00E25B46" w14:paraId="361064EF"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1390B19C"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Sunderland</w:t>
            </w:r>
          </w:p>
        </w:tc>
        <w:tc>
          <w:tcPr>
            <w:tcW w:w="1104" w:type="dxa"/>
            <w:tcBorders>
              <w:top w:val="nil"/>
              <w:left w:val="nil"/>
              <w:bottom w:val="single" w:sz="8" w:space="0" w:color="FFFFFF"/>
              <w:right w:val="single" w:sz="8" w:space="0" w:color="FFFFFF"/>
            </w:tcBorders>
            <w:shd w:val="clear" w:color="000000" w:fill="EFEAE6"/>
            <w:noWrap/>
            <w:vAlign w:val="bottom"/>
            <w:hideMark/>
          </w:tcPr>
          <w:p w14:paraId="30FA5B28"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0F87CAD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77CCA7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96FC11F"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0F509B3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225EE4A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2D77589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568ED5A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40A81D7F"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70</w:t>
            </w:r>
          </w:p>
        </w:tc>
        <w:tc>
          <w:tcPr>
            <w:tcW w:w="2098" w:type="dxa"/>
            <w:tcBorders>
              <w:top w:val="nil"/>
              <w:left w:val="nil"/>
              <w:bottom w:val="single" w:sz="8" w:space="0" w:color="FFFFFF"/>
              <w:right w:val="single" w:sz="8" w:space="0" w:color="FFFFFF"/>
            </w:tcBorders>
            <w:shd w:val="clear" w:color="000000" w:fill="EFEAE6"/>
            <w:noWrap/>
            <w:vAlign w:val="bottom"/>
            <w:hideMark/>
          </w:tcPr>
          <w:p w14:paraId="0C806E3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New</w:t>
            </w:r>
          </w:p>
        </w:tc>
      </w:tr>
      <w:tr w:rsidR="00345FCF" w:rsidRPr="00E25B46" w14:paraId="3EAD4672"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2DFCE676"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Glyndwr</w:t>
            </w:r>
          </w:p>
        </w:tc>
        <w:tc>
          <w:tcPr>
            <w:tcW w:w="1104" w:type="dxa"/>
            <w:tcBorders>
              <w:top w:val="nil"/>
              <w:left w:val="nil"/>
              <w:bottom w:val="single" w:sz="8" w:space="0" w:color="FFFFFF"/>
              <w:right w:val="single" w:sz="8" w:space="0" w:color="FFFFFF"/>
            </w:tcBorders>
            <w:shd w:val="clear" w:color="000000" w:fill="EFEAE6"/>
            <w:noWrap/>
            <w:vAlign w:val="bottom"/>
            <w:hideMark/>
          </w:tcPr>
          <w:p w14:paraId="5A221B3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697A67A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7E7D36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3A6E14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241E259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39594F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0C80593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32EA6CA4"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15</w:t>
            </w:r>
          </w:p>
        </w:tc>
        <w:tc>
          <w:tcPr>
            <w:tcW w:w="1228" w:type="dxa"/>
            <w:tcBorders>
              <w:top w:val="nil"/>
              <w:left w:val="nil"/>
              <w:bottom w:val="single" w:sz="8" w:space="0" w:color="FFFFFF"/>
              <w:right w:val="single" w:sz="8" w:space="0" w:color="FFFFFF"/>
            </w:tcBorders>
            <w:shd w:val="clear" w:color="000000" w:fill="EFEAE6"/>
            <w:noWrap/>
            <w:vAlign w:val="bottom"/>
            <w:hideMark/>
          </w:tcPr>
          <w:p w14:paraId="6656A02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2449CF9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New</w:t>
            </w:r>
          </w:p>
        </w:tc>
      </w:tr>
      <w:tr w:rsidR="00345FCF" w:rsidRPr="00E25B46" w14:paraId="598CFE3C"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1874498D"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Falmouth</w:t>
            </w:r>
          </w:p>
        </w:tc>
        <w:tc>
          <w:tcPr>
            <w:tcW w:w="1104" w:type="dxa"/>
            <w:tcBorders>
              <w:top w:val="nil"/>
              <w:left w:val="nil"/>
              <w:bottom w:val="single" w:sz="8" w:space="0" w:color="FFFFFF"/>
              <w:right w:val="single" w:sz="8" w:space="0" w:color="FFFFFF"/>
            </w:tcBorders>
            <w:shd w:val="clear" w:color="000000" w:fill="EFEAE6"/>
            <w:noWrap/>
            <w:vAlign w:val="bottom"/>
            <w:hideMark/>
          </w:tcPr>
          <w:p w14:paraId="40365A4C"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0032F8A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E7A708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7A3C55B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77B1582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15</w:t>
            </w:r>
          </w:p>
        </w:tc>
        <w:tc>
          <w:tcPr>
            <w:tcW w:w="1104" w:type="dxa"/>
            <w:tcBorders>
              <w:top w:val="nil"/>
              <w:left w:val="nil"/>
              <w:bottom w:val="single" w:sz="8" w:space="0" w:color="FFFFFF"/>
              <w:right w:val="single" w:sz="8" w:space="0" w:color="FFFFFF"/>
            </w:tcBorders>
            <w:shd w:val="clear" w:color="000000" w:fill="EFEAE6"/>
            <w:noWrap/>
            <w:vAlign w:val="bottom"/>
            <w:hideMark/>
          </w:tcPr>
          <w:p w14:paraId="6990723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657A86EA"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28969E2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353EA553"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3F59227D"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345FCF" w:rsidRPr="00E25B46" w14:paraId="3A982F8D"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1102220F" w14:textId="77777777" w:rsidR="00E25B46" w:rsidRPr="00E25B46" w:rsidRDefault="00E25B46" w:rsidP="00E25B46">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Southampton</w:t>
            </w:r>
          </w:p>
        </w:tc>
        <w:tc>
          <w:tcPr>
            <w:tcW w:w="1104" w:type="dxa"/>
            <w:tcBorders>
              <w:top w:val="nil"/>
              <w:left w:val="nil"/>
              <w:bottom w:val="single" w:sz="8" w:space="0" w:color="FFFFFF"/>
              <w:right w:val="single" w:sz="8" w:space="0" w:color="FFFFFF"/>
            </w:tcBorders>
            <w:shd w:val="clear" w:color="000000" w:fill="EFEAE6"/>
            <w:noWrap/>
            <w:vAlign w:val="bottom"/>
            <w:hideMark/>
          </w:tcPr>
          <w:p w14:paraId="19E1604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76369067"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264EA3C0"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1ECB89E"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173644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20</w:t>
            </w:r>
          </w:p>
        </w:tc>
        <w:tc>
          <w:tcPr>
            <w:tcW w:w="1104" w:type="dxa"/>
            <w:tcBorders>
              <w:top w:val="nil"/>
              <w:left w:val="nil"/>
              <w:bottom w:val="single" w:sz="8" w:space="0" w:color="FFFFFF"/>
              <w:right w:val="single" w:sz="8" w:space="0" w:color="FFFFFF"/>
            </w:tcBorders>
            <w:shd w:val="clear" w:color="000000" w:fill="EFEAE6"/>
            <w:noWrap/>
            <w:vAlign w:val="bottom"/>
            <w:hideMark/>
          </w:tcPr>
          <w:p w14:paraId="22DA102B"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56</w:t>
            </w:r>
          </w:p>
        </w:tc>
        <w:tc>
          <w:tcPr>
            <w:tcW w:w="1108" w:type="dxa"/>
            <w:tcBorders>
              <w:top w:val="nil"/>
              <w:left w:val="nil"/>
              <w:bottom w:val="single" w:sz="8" w:space="0" w:color="FFFFFF"/>
              <w:right w:val="single" w:sz="8" w:space="0" w:color="FFFFFF"/>
            </w:tcBorders>
            <w:shd w:val="clear" w:color="000000" w:fill="EFEAE6"/>
            <w:noWrap/>
            <w:vAlign w:val="bottom"/>
            <w:hideMark/>
          </w:tcPr>
          <w:p w14:paraId="22AB1372"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1815BD61"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150EF839"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7A556F35" w14:textId="77777777" w:rsidR="00E25B46" w:rsidRPr="00E25B46" w:rsidRDefault="00E25B46" w:rsidP="00E25B46">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bl>
    <w:p w14:paraId="3C28FCB1" w14:textId="0B72F416" w:rsidR="00CB3C41" w:rsidRDefault="00CB3C41" w:rsidP="00E114E2">
      <w:pPr>
        <w:jc w:val="both"/>
        <w:rPr>
          <w:rFonts w:cstheme="minorHAnsi"/>
          <w:sz w:val="28"/>
          <w:szCs w:val="28"/>
        </w:rPr>
      </w:pPr>
    </w:p>
    <w:tbl>
      <w:tblPr>
        <w:tblW w:w="14231" w:type="dxa"/>
        <w:tblInd w:w="-176" w:type="dxa"/>
        <w:tblLook w:val="04A0" w:firstRow="1" w:lastRow="0" w:firstColumn="1" w:lastColumn="0" w:noHBand="0" w:noVBand="1"/>
      </w:tblPr>
      <w:tblGrid>
        <w:gridCol w:w="1936"/>
        <w:gridCol w:w="1104"/>
        <w:gridCol w:w="1113"/>
        <w:gridCol w:w="1104"/>
        <w:gridCol w:w="1104"/>
        <w:gridCol w:w="1104"/>
        <w:gridCol w:w="1104"/>
        <w:gridCol w:w="1108"/>
        <w:gridCol w:w="1228"/>
        <w:gridCol w:w="1228"/>
        <w:gridCol w:w="2098"/>
      </w:tblGrid>
      <w:tr w:rsidR="000F53FA" w:rsidRPr="00E25B46" w14:paraId="41FF2D1A" w14:textId="77777777" w:rsidTr="000F53FA">
        <w:trPr>
          <w:trHeight w:val="352"/>
        </w:trPr>
        <w:tc>
          <w:tcPr>
            <w:tcW w:w="9677" w:type="dxa"/>
            <w:gridSpan w:val="8"/>
            <w:tcBorders>
              <w:top w:val="nil"/>
              <w:left w:val="nil"/>
              <w:bottom w:val="single" w:sz="8" w:space="0" w:color="FFFFFF"/>
              <w:right w:val="nil"/>
            </w:tcBorders>
            <w:shd w:val="clear" w:color="auto" w:fill="auto"/>
            <w:noWrap/>
            <w:vAlign w:val="bottom"/>
            <w:hideMark/>
          </w:tcPr>
          <w:p w14:paraId="318B2744" w14:textId="700908CB" w:rsidR="000F53FA" w:rsidRPr="00E25B46" w:rsidRDefault="00432A63" w:rsidP="000F53FA">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 xml:space="preserve">Table 11 </w:t>
            </w:r>
            <w:r w:rsidR="000F53FA">
              <w:rPr>
                <w:rFonts w:ascii="Calibri" w:eastAsia="Times New Roman" w:hAnsi="Calibri" w:cs="Calibri"/>
                <w:b/>
                <w:bCs/>
                <w:color w:val="5F735C"/>
                <w:lang w:eastAsia="en-GB"/>
              </w:rPr>
              <w:t>cont.</w:t>
            </w:r>
            <w:r w:rsidR="000F53FA" w:rsidRPr="00E25B46">
              <w:rPr>
                <w:rFonts w:ascii="Calibri" w:eastAsia="Times New Roman" w:hAnsi="Calibri" w:cs="Calibri"/>
                <w:b/>
                <w:bCs/>
                <w:color w:val="5F735C"/>
                <w:lang w:eastAsia="en-GB"/>
              </w:rPr>
              <w:t>: Enrolments at overseas branch campuses among UK universities, 2008/09-2015/16</w:t>
            </w:r>
          </w:p>
        </w:tc>
        <w:tc>
          <w:tcPr>
            <w:tcW w:w="1228" w:type="dxa"/>
            <w:tcBorders>
              <w:top w:val="nil"/>
              <w:left w:val="nil"/>
              <w:bottom w:val="single" w:sz="8" w:space="0" w:color="FFFFFF"/>
              <w:right w:val="nil"/>
            </w:tcBorders>
            <w:shd w:val="clear" w:color="auto" w:fill="auto"/>
            <w:noWrap/>
            <w:vAlign w:val="bottom"/>
            <w:hideMark/>
          </w:tcPr>
          <w:p w14:paraId="426E3AA3" w14:textId="77777777" w:rsidR="000F53FA" w:rsidRPr="00E25B46" w:rsidRDefault="000F53FA" w:rsidP="000F53FA">
            <w:pPr>
              <w:spacing w:after="0" w:line="240" w:lineRule="auto"/>
              <w:rPr>
                <w:rFonts w:ascii="Calibri" w:eastAsia="Times New Roman" w:hAnsi="Calibri" w:cs="Calibri"/>
                <w:color w:val="000000"/>
                <w:lang w:eastAsia="en-GB"/>
              </w:rPr>
            </w:pPr>
            <w:r w:rsidRPr="00E25B46">
              <w:rPr>
                <w:rFonts w:ascii="Calibri" w:eastAsia="Times New Roman" w:hAnsi="Calibri" w:cs="Calibri"/>
                <w:color w:val="000000"/>
                <w:lang w:eastAsia="en-GB"/>
              </w:rPr>
              <w:t> </w:t>
            </w:r>
          </w:p>
        </w:tc>
        <w:tc>
          <w:tcPr>
            <w:tcW w:w="1228" w:type="dxa"/>
            <w:tcBorders>
              <w:top w:val="nil"/>
              <w:left w:val="nil"/>
              <w:bottom w:val="single" w:sz="8" w:space="0" w:color="FFFFFF"/>
              <w:right w:val="nil"/>
            </w:tcBorders>
            <w:shd w:val="clear" w:color="auto" w:fill="auto"/>
            <w:noWrap/>
            <w:vAlign w:val="bottom"/>
            <w:hideMark/>
          </w:tcPr>
          <w:p w14:paraId="19CC5E60" w14:textId="77777777" w:rsidR="000F53FA" w:rsidRPr="00E25B46" w:rsidRDefault="000F53FA" w:rsidP="000F53FA">
            <w:pPr>
              <w:spacing w:after="0" w:line="240" w:lineRule="auto"/>
              <w:rPr>
                <w:rFonts w:ascii="Calibri" w:eastAsia="Times New Roman" w:hAnsi="Calibri" w:cs="Calibri"/>
                <w:color w:val="000000"/>
                <w:lang w:eastAsia="en-GB"/>
              </w:rPr>
            </w:pPr>
            <w:r w:rsidRPr="00E25B46">
              <w:rPr>
                <w:rFonts w:ascii="Calibri" w:eastAsia="Times New Roman" w:hAnsi="Calibri" w:cs="Calibri"/>
                <w:color w:val="000000"/>
                <w:lang w:eastAsia="en-GB"/>
              </w:rPr>
              <w:t> </w:t>
            </w:r>
          </w:p>
        </w:tc>
        <w:tc>
          <w:tcPr>
            <w:tcW w:w="2098" w:type="dxa"/>
            <w:tcBorders>
              <w:top w:val="nil"/>
              <w:left w:val="nil"/>
              <w:bottom w:val="single" w:sz="8" w:space="0" w:color="FFFFFF"/>
              <w:right w:val="nil"/>
            </w:tcBorders>
            <w:shd w:val="clear" w:color="auto" w:fill="auto"/>
            <w:noWrap/>
            <w:vAlign w:val="bottom"/>
            <w:hideMark/>
          </w:tcPr>
          <w:p w14:paraId="504D5693" w14:textId="77777777" w:rsidR="000F53FA" w:rsidRPr="00E25B46" w:rsidRDefault="000F53FA" w:rsidP="000F53FA">
            <w:pPr>
              <w:spacing w:after="0" w:line="240" w:lineRule="auto"/>
              <w:rPr>
                <w:rFonts w:ascii="Calibri" w:eastAsia="Times New Roman" w:hAnsi="Calibri" w:cs="Calibri"/>
                <w:color w:val="000000"/>
                <w:lang w:eastAsia="en-GB"/>
              </w:rPr>
            </w:pPr>
            <w:r w:rsidRPr="00E25B46">
              <w:rPr>
                <w:rFonts w:ascii="Calibri" w:eastAsia="Times New Roman" w:hAnsi="Calibri" w:cs="Calibri"/>
                <w:color w:val="000000"/>
                <w:lang w:eastAsia="en-GB"/>
              </w:rPr>
              <w:t> </w:t>
            </w:r>
          </w:p>
        </w:tc>
      </w:tr>
      <w:tr w:rsidR="000F53FA" w:rsidRPr="00E25B46" w14:paraId="4FF715BF"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48C6A1CF"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University</w:t>
            </w:r>
          </w:p>
        </w:tc>
        <w:tc>
          <w:tcPr>
            <w:tcW w:w="1104" w:type="dxa"/>
            <w:tcBorders>
              <w:top w:val="nil"/>
              <w:left w:val="nil"/>
              <w:bottom w:val="single" w:sz="8" w:space="0" w:color="FFFFFF"/>
              <w:right w:val="single" w:sz="8" w:space="0" w:color="FFFFFF"/>
            </w:tcBorders>
            <w:shd w:val="clear" w:color="000000" w:fill="49723B"/>
            <w:noWrap/>
            <w:vAlign w:val="bottom"/>
            <w:hideMark/>
          </w:tcPr>
          <w:p w14:paraId="073A4D82"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2008/09</w:t>
            </w:r>
          </w:p>
        </w:tc>
        <w:tc>
          <w:tcPr>
            <w:tcW w:w="1113" w:type="dxa"/>
            <w:tcBorders>
              <w:top w:val="nil"/>
              <w:left w:val="nil"/>
              <w:bottom w:val="single" w:sz="8" w:space="0" w:color="FFFFFF"/>
              <w:right w:val="single" w:sz="8" w:space="0" w:color="FFFFFF"/>
            </w:tcBorders>
            <w:shd w:val="clear" w:color="000000" w:fill="49723B"/>
            <w:noWrap/>
            <w:vAlign w:val="bottom"/>
            <w:hideMark/>
          </w:tcPr>
          <w:p w14:paraId="62BC1664"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2009/10</w:t>
            </w:r>
          </w:p>
        </w:tc>
        <w:tc>
          <w:tcPr>
            <w:tcW w:w="1104" w:type="dxa"/>
            <w:tcBorders>
              <w:top w:val="nil"/>
              <w:left w:val="nil"/>
              <w:bottom w:val="single" w:sz="8" w:space="0" w:color="FFFFFF"/>
              <w:right w:val="single" w:sz="8" w:space="0" w:color="FFFFFF"/>
            </w:tcBorders>
            <w:shd w:val="clear" w:color="000000" w:fill="49723B"/>
            <w:noWrap/>
            <w:vAlign w:val="bottom"/>
            <w:hideMark/>
          </w:tcPr>
          <w:p w14:paraId="64B3F3EF"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2010/11</w:t>
            </w:r>
          </w:p>
        </w:tc>
        <w:tc>
          <w:tcPr>
            <w:tcW w:w="1104" w:type="dxa"/>
            <w:tcBorders>
              <w:top w:val="nil"/>
              <w:left w:val="nil"/>
              <w:bottom w:val="single" w:sz="8" w:space="0" w:color="FFFFFF"/>
              <w:right w:val="single" w:sz="8" w:space="0" w:color="FFFFFF"/>
            </w:tcBorders>
            <w:shd w:val="clear" w:color="000000" w:fill="49723B"/>
            <w:noWrap/>
            <w:vAlign w:val="bottom"/>
            <w:hideMark/>
          </w:tcPr>
          <w:p w14:paraId="66A21075"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2011/12</w:t>
            </w:r>
          </w:p>
        </w:tc>
        <w:tc>
          <w:tcPr>
            <w:tcW w:w="1104" w:type="dxa"/>
            <w:tcBorders>
              <w:top w:val="nil"/>
              <w:left w:val="nil"/>
              <w:bottom w:val="single" w:sz="8" w:space="0" w:color="FFFFFF"/>
              <w:right w:val="single" w:sz="8" w:space="0" w:color="FFFFFF"/>
            </w:tcBorders>
            <w:shd w:val="clear" w:color="000000" w:fill="49723B"/>
            <w:noWrap/>
            <w:vAlign w:val="bottom"/>
            <w:hideMark/>
          </w:tcPr>
          <w:p w14:paraId="725E4346"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2012/13</w:t>
            </w:r>
          </w:p>
        </w:tc>
        <w:tc>
          <w:tcPr>
            <w:tcW w:w="1104" w:type="dxa"/>
            <w:tcBorders>
              <w:top w:val="nil"/>
              <w:left w:val="nil"/>
              <w:bottom w:val="single" w:sz="8" w:space="0" w:color="FFFFFF"/>
              <w:right w:val="single" w:sz="8" w:space="0" w:color="FFFFFF"/>
            </w:tcBorders>
            <w:shd w:val="clear" w:color="000000" w:fill="49723B"/>
            <w:noWrap/>
            <w:vAlign w:val="bottom"/>
            <w:hideMark/>
          </w:tcPr>
          <w:p w14:paraId="2547CE6A"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2013/14</w:t>
            </w:r>
          </w:p>
        </w:tc>
        <w:tc>
          <w:tcPr>
            <w:tcW w:w="1108" w:type="dxa"/>
            <w:tcBorders>
              <w:top w:val="nil"/>
              <w:left w:val="nil"/>
              <w:bottom w:val="single" w:sz="8" w:space="0" w:color="FFFFFF"/>
              <w:right w:val="single" w:sz="8" w:space="0" w:color="FFFFFF"/>
            </w:tcBorders>
            <w:shd w:val="clear" w:color="000000" w:fill="49723B"/>
            <w:noWrap/>
            <w:vAlign w:val="bottom"/>
            <w:hideMark/>
          </w:tcPr>
          <w:p w14:paraId="4EC68742"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2014/15</w:t>
            </w:r>
          </w:p>
        </w:tc>
        <w:tc>
          <w:tcPr>
            <w:tcW w:w="1228" w:type="dxa"/>
            <w:tcBorders>
              <w:top w:val="nil"/>
              <w:left w:val="nil"/>
              <w:bottom w:val="single" w:sz="8" w:space="0" w:color="FFFFFF"/>
              <w:right w:val="single" w:sz="8" w:space="0" w:color="FFFFFF"/>
            </w:tcBorders>
            <w:shd w:val="clear" w:color="000000" w:fill="49723B"/>
            <w:noWrap/>
            <w:vAlign w:val="bottom"/>
            <w:hideMark/>
          </w:tcPr>
          <w:p w14:paraId="313FC525"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2015/16</w:t>
            </w:r>
          </w:p>
        </w:tc>
        <w:tc>
          <w:tcPr>
            <w:tcW w:w="1228" w:type="dxa"/>
            <w:tcBorders>
              <w:top w:val="nil"/>
              <w:left w:val="nil"/>
              <w:bottom w:val="single" w:sz="8" w:space="0" w:color="FFFFFF"/>
              <w:right w:val="single" w:sz="8" w:space="0" w:color="FFFFFF"/>
            </w:tcBorders>
            <w:shd w:val="clear" w:color="000000" w:fill="49723B"/>
            <w:noWrap/>
            <w:vAlign w:val="bottom"/>
            <w:hideMark/>
          </w:tcPr>
          <w:p w14:paraId="767AF1EE"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2016/17</w:t>
            </w:r>
          </w:p>
        </w:tc>
        <w:tc>
          <w:tcPr>
            <w:tcW w:w="2098" w:type="dxa"/>
            <w:tcBorders>
              <w:top w:val="nil"/>
              <w:left w:val="nil"/>
              <w:bottom w:val="single" w:sz="8" w:space="0" w:color="FFFFFF"/>
              <w:right w:val="single" w:sz="8" w:space="0" w:color="FFFFFF"/>
            </w:tcBorders>
            <w:shd w:val="clear" w:color="000000" w:fill="49723B"/>
            <w:noWrap/>
            <w:vAlign w:val="bottom"/>
            <w:hideMark/>
          </w:tcPr>
          <w:p w14:paraId="65A04154"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Trend</w:t>
            </w:r>
          </w:p>
        </w:tc>
      </w:tr>
      <w:tr w:rsidR="000F53FA" w:rsidRPr="00E25B46" w14:paraId="2ED6D7D5"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5B21309A"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Chichester</w:t>
            </w:r>
          </w:p>
        </w:tc>
        <w:tc>
          <w:tcPr>
            <w:tcW w:w="1104" w:type="dxa"/>
            <w:tcBorders>
              <w:top w:val="nil"/>
              <w:left w:val="nil"/>
              <w:bottom w:val="single" w:sz="8" w:space="0" w:color="FFFFFF"/>
              <w:right w:val="single" w:sz="8" w:space="0" w:color="FFFFFF"/>
            </w:tcBorders>
            <w:shd w:val="clear" w:color="000000" w:fill="EFEAE6"/>
            <w:noWrap/>
            <w:vAlign w:val="bottom"/>
            <w:hideMark/>
          </w:tcPr>
          <w:p w14:paraId="23526488"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61</w:t>
            </w:r>
          </w:p>
        </w:tc>
        <w:tc>
          <w:tcPr>
            <w:tcW w:w="1113" w:type="dxa"/>
            <w:tcBorders>
              <w:top w:val="nil"/>
              <w:left w:val="nil"/>
              <w:bottom w:val="single" w:sz="8" w:space="0" w:color="FFFFFF"/>
              <w:right w:val="single" w:sz="8" w:space="0" w:color="FFFFFF"/>
            </w:tcBorders>
            <w:shd w:val="clear" w:color="000000" w:fill="EFEAE6"/>
            <w:noWrap/>
            <w:vAlign w:val="bottom"/>
            <w:hideMark/>
          </w:tcPr>
          <w:p w14:paraId="2AE76E0E"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55</w:t>
            </w:r>
          </w:p>
        </w:tc>
        <w:tc>
          <w:tcPr>
            <w:tcW w:w="1104" w:type="dxa"/>
            <w:tcBorders>
              <w:top w:val="nil"/>
              <w:left w:val="nil"/>
              <w:bottom w:val="single" w:sz="8" w:space="0" w:color="FFFFFF"/>
              <w:right w:val="single" w:sz="8" w:space="0" w:color="FFFFFF"/>
            </w:tcBorders>
            <w:shd w:val="clear" w:color="000000" w:fill="EFEAE6"/>
            <w:noWrap/>
            <w:vAlign w:val="bottom"/>
            <w:hideMark/>
          </w:tcPr>
          <w:p w14:paraId="0B75CEDA"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52</w:t>
            </w:r>
          </w:p>
        </w:tc>
        <w:tc>
          <w:tcPr>
            <w:tcW w:w="1104" w:type="dxa"/>
            <w:tcBorders>
              <w:top w:val="nil"/>
              <w:left w:val="nil"/>
              <w:bottom w:val="single" w:sz="8" w:space="0" w:color="FFFFFF"/>
              <w:right w:val="single" w:sz="8" w:space="0" w:color="FFFFFF"/>
            </w:tcBorders>
            <w:shd w:val="clear" w:color="000000" w:fill="EFEAE6"/>
            <w:noWrap/>
            <w:vAlign w:val="bottom"/>
            <w:hideMark/>
          </w:tcPr>
          <w:p w14:paraId="418D4AC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30</w:t>
            </w:r>
          </w:p>
        </w:tc>
        <w:tc>
          <w:tcPr>
            <w:tcW w:w="1104" w:type="dxa"/>
            <w:tcBorders>
              <w:top w:val="nil"/>
              <w:left w:val="nil"/>
              <w:bottom w:val="single" w:sz="8" w:space="0" w:color="FFFFFF"/>
              <w:right w:val="single" w:sz="8" w:space="0" w:color="FFFFFF"/>
            </w:tcBorders>
            <w:shd w:val="clear" w:color="000000" w:fill="EFEAE6"/>
            <w:noWrap/>
            <w:vAlign w:val="bottom"/>
            <w:hideMark/>
          </w:tcPr>
          <w:p w14:paraId="647A7601"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10</w:t>
            </w:r>
          </w:p>
        </w:tc>
        <w:tc>
          <w:tcPr>
            <w:tcW w:w="1104" w:type="dxa"/>
            <w:tcBorders>
              <w:top w:val="nil"/>
              <w:left w:val="nil"/>
              <w:bottom w:val="single" w:sz="8" w:space="0" w:color="FFFFFF"/>
              <w:right w:val="single" w:sz="8" w:space="0" w:color="FFFFFF"/>
            </w:tcBorders>
            <w:shd w:val="clear" w:color="000000" w:fill="EFEAE6"/>
            <w:noWrap/>
            <w:vAlign w:val="bottom"/>
            <w:hideMark/>
          </w:tcPr>
          <w:p w14:paraId="490DE9AB"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7</w:t>
            </w:r>
          </w:p>
        </w:tc>
        <w:tc>
          <w:tcPr>
            <w:tcW w:w="1108" w:type="dxa"/>
            <w:tcBorders>
              <w:top w:val="nil"/>
              <w:left w:val="nil"/>
              <w:bottom w:val="single" w:sz="8" w:space="0" w:color="FFFFFF"/>
              <w:right w:val="single" w:sz="8" w:space="0" w:color="FFFFFF"/>
            </w:tcBorders>
            <w:shd w:val="clear" w:color="000000" w:fill="EFEAE6"/>
            <w:noWrap/>
            <w:vAlign w:val="bottom"/>
            <w:hideMark/>
          </w:tcPr>
          <w:p w14:paraId="35CA0EC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w:t>
            </w:r>
          </w:p>
        </w:tc>
        <w:tc>
          <w:tcPr>
            <w:tcW w:w="1228" w:type="dxa"/>
            <w:tcBorders>
              <w:top w:val="nil"/>
              <w:left w:val="nil"/>
              <w:bottom w:val="single" w:sz="8" w:space="0" w:color="FFFFFF"/>
              <w:right w:val="single" w:sz="8" w:space="0" w:color="FFFFFF"/>
            </w:tcBorders>
            <w:shd w:val="clear" w:color="000000" w:fill="EFEAE6"/>
            <w:noWrap/>
            <w:vAlign w:val="bottom"/>
            <w:hideMark/>
          </w:tcPr>
          <w:p w14:paraId="23A5B0FA"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268321A4"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0FAE5A9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1757DEC9"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0322D2F6"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Swansea Metropolitan</w:t>
            </w:r>
          </w:p>
        </w:tc>
        <w:tc>
          <w:tcPr>
            <w:tcW w:w="1104" w:type="dxa"/>
            <w:tcBorders>
              <w:top w:val="nil"/>
              <w:left w:val="nil"/>
              <w:bottom w:val="single" w:sz="8" w:space="0" w:color="FFFFFF"/>
              <w:right w:val="single" w:sz="8" w:space="0" w:color="FFFFFF"/>
            </w:tcBorders>
            <w:shd w:val="clear" w:color="000000" w:fill="EFEAE6"/>
            <w:noWrap/>
            <w:vAlign w:val="bottom"/>
            <w:hideMark/>
          </w:tcPr>
          <w:p w14:paraId="6A03CCE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59</w:t>
            </w:r>
          </w:p>
        </w:tc>
        <w:tc>
          <w:tcPr>
            <w:tcW w:w="1113" w:type="dxa"/>
            <w:tcBorders>
              <w:top w:val="nil"/>
              <w:left w:val="nil"/>
              <w:bottom w:val="single" w:sz="8" w:space="0" w:color="FFFFFF"/>
              <w:right w:val="single" w:sz="8" w:space="0" w:color="FFFFFF"/>
            </w:tcBorders>
            <w:shd w:val="clear" w:color="000000" w:fill="EFEAE6"/>
            <w:noWrap/>
            <w:vAlign w:val="bottom"/>
            <w:hideMark/>
          </w:tcPr>
          <w:p w14:paraId="2ED8BA33"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74</w:t>
            </w:r>
          </w:p>
        </w:tc>
        <w:tc>
          <w:tcPr>
            <w:tcW w:w="1104" w:type="dxa"/>
            <w:tcBorders>
              <w:top w:val="nil"/>
              <w:left w:val="nil"/>
              <w:bottom w:val="single" w:sz="8" w:space="0" w:color="FFFFFF"/>
              <w:right w:val="single" w:sz="8" w:space="0" w:color="FFFFFF"/>
            </w:tcBorders>
            <w:shd w:val="clear" w:color="000000" w:fill="EFEAE6"/>
            <w:noWrap/>
            <w:vAlign w:val="bottom"/>
            <w:hideMark/>
          </w:tcPr>
          <w:p w14:paraId="4B6BFFCF"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71</w:t>
            </w:r>
          </w:p>
        </w:tc>
        <w:tc>
          <w:tcPr>
            <w:tcW w:w="1104" w:type="dxa"/>
            <w:tcBorders>
              <w:top w:val="nil"/>
              <w:left w:val="nil"/>
              <w:bottom w:val="single" w:sz="8" w:space="0" w:color="FFFFFF"/>
              <w:right w:val="single" w:sz="8" w:space="0" w:color="FFFFFF"/>
            </w:tcBorders>
            <w:shd w:val="clear" w:color="000000" w:fill="EFEAE6"/>
            <w:noWrap/>
            <w:vAlign w:val="bottom"/>
            <w:hideMark/>
          </w:tcPr>
          <w:p w14:paraId="09417468"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61</w:t>
            </w:r>
          </w:p>
        </w:tc>
        <w:tc>
          <w:tcPr>
            <w:tcW w:w="1104" w:type="dxa"/>
            <w:tcBorders>
              <w:top w:val="nil"/>
              <w:left w:val="nil"/>
              <w:bottom w:val="single" w:sz="8" w:space="0" w:color="FFFFFF"/>
              <w:right w:val="single" w:sz="8" w:space="0" w:color="FFFFFF"/>
            </w:tcBorders>
            <w:shd w:val="clear" w:color="000000" w:fill="EFEAE6"/>
            <w:noWrap/>
            <w:vAlign w:val="bottom"/>
            <w:hideMark/>
          </w:tcPr>
          <w:p w14:paraId="2F1B62D8"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8ABC0A0"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000990E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0A0861B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7E991F4A"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53524CC4"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252318C0"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210A87DC"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Wales Trinity St. David</w:t>
            </w:r>
          </w:p>
        </w:tc>
        <w:tc>
          <w:tcPr>
            <w:tcW w:w="1104" w:type="dxa"/>
            <w:tcBorders>
              <w:top w:val="nil"/>
              <w:left w:val="nil"/>
              <w:bottom w:val="single" w:sz="8" w:space="0" w:color="FFFFFF"/>
              <w:right w:val="single" w:sz="8" w:space="0" w:color="FFFFFF"/>
            </w:tcBorders>
            <w:shd w:val="clear" w:color="000000" w:fill="EFEAE6"/>
            <w:noWrap/>
            <w:vAlign w:val="bottom"/>
            <w:hideMark/>
          </w:tcPr>
          <w:p w14:paraId="2C0AB74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3226B72D"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24E07A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56883E0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3C05A6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46</w:t>
            </w:r>
          </w:p>
        </w:tc>
        <w:tc>
          <w:tcPr>
            <w:tcW w:w="1104" w:type="dxa"/>
            <w:tcBorders>
              <w:top w:val="nil"/>
              <w:left w:val="nil"/>
              <w:bottom w:val="single" w:sz="8" w:space="0" w:color="FFFFFF"/>
              <w:right w:val="single" w:sz="8" w:space="0" w:color="FFFFFF"/>
            </w:tcBorders>
            <w:shd w:val="clear" w:color="000000" w:fill="EFEAE6"/>
            <w:noWrap/>
            <w:vAlign w:val="bottom"/>
            <w:hideMark/>
          </w:tcPr>
          <w:p w14:paraId="4558DC50"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27</w:t>
            </w:r>
          </w:p>
        </w:tc>
        <w:tc>
          <w:tcPr>
            <w:tcW w:w="1108" w:type="dxa"/>
            <w:tcBorders>
              <w:top w:val="nil"/>
              <w:left w:val="nil"/>
              <w:bottom w:val="single" w:sz="8" w:space="0" w:color="FFFFFF"/>
              <w:right w:val="single" w:sz="8" w:space="0" w:color="FFFFFF"/>
            </w:tcBorders>
            <w:shd w:val="clear" w:color="000000" w:fill="EFEAE6"/>
            <w:noWrap/>
            <w:vAlign w:val="bottom"/>
            <w:hideMark/>
          </w:tcPr>
          <w:p w14:paraId="7D08BA0E"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16</w:t>
            </w:r>
          </w:p>
        </w:tc>
        <w:tc>
          <w:tcPr>
            <w:tcW w:w="1228" w:type="dxa"/>
            <w:tcBorders>
              <w:top w:val="nil"/>
              <w:left w:val="nil"/>
              <w:bottom w:val="single" w:sz="8" w:space="0" w:color="FFFFFF"/>
              <w:right w:val="single" w:sz="8" w:space="0" w:color="FFFFFF"/>
            </w:tcBorders>
            <w:shd w:val="clear" w:color="000000" w:fill="EFEAE6"/>
            <w:noWrap/>
            <w:vAlign w:val="bottom"/>
            <w:hideMark/>
          </w:tcPr>
          <w:p w14:paraId="52D6B8D9"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127E502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12D58A30"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5FFD0ACA"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4E7931E6"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 xml:space="preserve">Swansea </w:t>
            </w:r>
          </w:p>
        </w:tc>
        <w:tc>
          <w:tcPr>
            <w:tcW w:w="1104" w:type="dxa"/>
            <w:tcBorders>
              <w:top w:val="nil"/>
              <w:left w:val="nil"/>
              <w:bottom w:val="single" w:sz="8" w:space="0" w:color="FFFFFF"/>
              <w:right w:val="single" w:sz="8" w:space="0" w:color="FFFFFF"/>
            </w:tcBorders>
            <w:shd w:val="clear" w:color="000000" w:fill="EFEAE6"/>
            <w:noWrap/>
            <w:vAlign w:val="bottom"/>
            <w:hideMark/>
          </w:tcPr>
          <w:p w14:paraId="1A7C2E9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2913BE6E"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757D538E"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3FB675E"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EB979D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C84B84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w:t>
            </w:r>
          </w:p>
        </w:tc>
        <w:tc>
          <w:tcPr>
            <w:tcW w:w="1108" w:type="dxa"/>
            <w:tcBorders>
              <w:top w:val="nil"/>
              <w:left w:val="nil"/>
              <w:bottom w:val="single" w:sz="8" w:space="0" w:color="FFFFFF"/>
              <w:right w:val="single" w:sz="8" w:space="0" w:color="FFFFFF"/>
            </w:tcBorders>
            <w:shd w:val="clear" w:color="000000" w:fill="EFEAE6"/>
            <w:noWrap/>
            <w:vAlign w:val="bottom"/>
            <w:hideMark/>
          </w:tcPr>
          <w:p w14:paraId="3A9F3179"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12</w:t>
            </w:r>
          </w:p>
        </w:tc>
        <w:tc>
          <w:tcPr>
            <w:tcW w:w="1228" w:type="dxa"/>
            <w:tcBorders>
              <w:top w:val="nil"/>
              <w:left w:val="nil"/>
              <w:bottom w:val="single" w:sz="8" w:space="0" w:color="FFFFFF"/>
              <w:right w:val="single" w:sz="8" w:space="0" w:color="FFFFFF"/>
            </w:tcBorders>
            <w:shd w:val="clear" w:color="000000" w:fill="EFEAE6"/>
            <w:noWrap/>
            <w:vAlign w:val="bottom"/>
            <w:hideMark/>
          </w:tcPr>
          <w:p w14:paraId="0839BE29"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2A40DE2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15971493"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3CBB8E18"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0993DADA"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University Arts</w:t>
            </w:r>
          </w:p>
        </w:tc>
        <w:tc>
          <w:tcPr>
            <w:tcW w:w="1104" w:type="dxa"/>
            <w:tcBorders>
              <w:top w:val="nil"/>
              <w:left w:val="nil"/>
              <w:bottom w:val="single" w:sz="8" w:space="0" w:color="FFFFFF"/>
              <w:right w:val="single" w:sz="8" w:space="0" w:color="FFFFFF"/>
            </w:tcBorders>
            <w:shd w:val="clear" w:color="000000" w:fill="EFEAE6"/>
            <w:noWrap/>
            <w:vAlign w:val="bottom"/>
            <w:hideMark/>
          </w:tcPr>
          <w:p w14:paraId="083F8D2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0916CE3D"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AF2AF0F"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19</w:t>
            </w:r>
          </w:p>
        </w:tc>
        <w:tc>
          <w:tcPr>
            <w:tcW w:w="1104" w:type="dxa"/>
            <w:tcBorders>
              <w:top w:val="nil"/>
              <w:left w:val="nil"/>
              <w:bottom w:val="single" w:sz="8" w:space="0" w:color="FFFFFF"/>
              <w:right w:val="single" w:sz="8" w:space="0" w:color="FFFFFF"/>
            </w:tcBorders>
            <w:shd w:val="clear" w:color="000000" w:fill="EFEAE6"/>
            <w:noWrap/>
            <w:vAlign w:val="bottom"/>
            <w:hideMark/>
          </w:tcPr>
          <w:p w14:paraId="5B32B56E"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36714C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6494EBA2"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4020A1C9"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3EEB6021"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66D3B019"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62178E50"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797E6C66"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0247124D"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Lincoln</w:t>
            </w:r>
          </w:p>
        </w:tc>
        <w:tc>
          <w:tcPr>
            <w:tcW w:w="1104" w:type="dxa"/>
            <w:tcBorders>
              <w:top w:val="nil"/>
              <w:left w:val="nil"/>
              <w:bottom w:val="single" w:sz="8" w:space="0" w:color="FFFFFF"/>
              <w:right w:val="single" w:sz="8" w:space="0" w:color="FFFFFF"/>
            </w:tcBorders>
            <w:shd w:val="clear" w:color="000000" w:fill="EFEAE6"/>
            <w:noWrap/>
            <w:vAlign w:val="bottom"/>
            <w:hideMark/>
          </w:tcPr>
          <w:p w14:paraId="7B95D6CE"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3E5E9DF1"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EDDEFC1"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18</w:t>
            </w:r>
          </w:p>
        </w:tc>
        <w:tc>
          <w:tcPr>
            <w:tcW w:w="1104" w:type="dxa"/>
            <w:tcBorders>
              <w:top w:val="nil"/>
              <w:left w:val="nil"/>
              <w:bottom w:val="single" w:sz="8" w:space="0" w:color="FFFFFF"/>
              <w:right w:val="single" w:sz="8" w:space="0" w:color="FFFFFF"/>
            </w:tcBorders>
            <w:shd w:val="clear" w:color="000000" w:fill="EFEAE6"/>
            <w:noWrap/>
            <w:vAlign w:val="bottom"/>
            <w:hideMark/>
          </w:tcPr>
          <w:p w14:paraId="3343AAB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45F8DBAA"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770FD089"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34C0186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4875BC6D"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67CA8F9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60F38692"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5E21C729"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02116B56"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Wolverhampton</w:t>
            </w:r>
          </w:p>
        </w:tc>
        <w:tc>
          <w:tcPr>
            <w:tcW w:w="1104" w:type="dxa"/>
            <w:tcBorders>
              <w:top w:val="nil"/>
              <w:left w:val="nil"/>
              <w:bottom w:val="single" w:sz="8" w:space="0" w:color="FFFFFF"/>
              <w:right w:val="single" w:sz="8" w:space="0" w:color="FFFFFF"/>
            </w:tcBorders>
            <w:shd w:val="clear" w:color="000000" w:fill="EFEAE6"/>
            <w:noWrap/>
            <w:vAlign w:val="bottom"/>
            <w:hideMark/>
          </w:tcPr>
          <w:p w14:paraId="714F7378"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100DA96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772880B3"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21</w:t>
            </w:r>
          </w:p>
        </w:tc>
        <w:tc>
          <w:tcPr>
            <w:tcW w:w="1104" w:type="dxa"/>
            <w:tcBorders>
              <w:top w:val="nil"/>
              <w:left w:val="nil"/>
              <w:bottom w:val="single" w:sz="8" w:space="0" w:color="FFFFFF"/>
              <w:right w:val="single" w:sz="8" w:space="0" w:color="FFFFFF"/>
            </w:tcBorders>
            <w:shd w:val="clear" w:color="000000" w:fill="EFEAE6"/>
            <w:noWrap/>
            <w:vAlign w:val="bottom"/>
            <w:hideMark/>
          </w:tcPr>
          <w:p w14:paraId="67DE3A4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39</w:t>
            </w:r>
          </w:p>
        </w:tc>
        <w:tc>
          <w:tcPr>
            <w:tcW w:w="1104" w:type="dxa"/>
            <w:tcBorders>
              <w:top w:val="nil"/>
              <w:left w:val="nil"/>
              <w:bottom w:val="single" w:sz="8" w:space="0" w:color="FFFFFF"/>
              <w:right w:val="single" w:sz="8" w:space="0" w:color="FFFFFF"/>
            </w:tcBorders>
            <w:shd w:val="clear" w:color="000000" w:fill="EFEAE6"/>
            <w:noWrap/>
            <w:vAlign w:val="bottom"/>
            <w:hideMark/>
          </w:tcPr>
          <w:p w14:paraId="536E9B52"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32</w:t>
            </w:r>
          </w:p>
        </w:tc>
        <w:tc>
          <w:tcPr>
            <w:tcW w:w="1104" w:type="dxa"/>
            <w:tcBorders>
              <w:top w:val="nil"/>
              <w:left w:val="nil"/>
              <w:bottom w:val="single" w:sz="8" w:space="0" w:color="FFFFFF"/>
              <w:right w:val="single" w:sz="8" w:space="0" w:color="FFFFFF"/>
            </w:tcBorders>
            <w:shd w:val="clear" w:color="000000" w:fill="EFEAE6"/>
            <w:noWrap/>
            <w:vAlign w:val="bottom"/>
            <w:hideMark/>
          </w:tcPr>
          <w:p w14:paraId="55497759"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7E747402"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5493796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38A4FD8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2C9EAB63"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0E97CBE3"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50E253B3"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Cardiff Metropolitan</w:t>
            </w:r>
          </w:p>
        </w:tc>
        <w:tc>
          <w:tcPr>
            <w:tcW w:w="1104" w:type="dxa"/>
            <w:tcBorders>
              <w:top w:val="nil"/>
              <w:left w:val="nil"/>
              <w:bottom w:val="single" w:sz="8" w:space="0" w:color="FFFFFF"/>
              <w:right w:val="single" w:sz="8" w:space="0" w:color="FFFFFF"/>
            </w:tcBorders>
            <w:shd w:val="clear" w:color="000000" w:fill="EFEAE6"/>
            <w:noWrap/>
            <w:vAlign w:val="bottom"/>
            <w:hideMark/>
          </w:tcPr>
          <w:p w14:paraId="15B1D1C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61C940F1"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00CD373E"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21</w:t>
            </w:r>
          </w:p>
        </w:tc>
        <w:tc>
          <w:tcPr>
            <w:tcW w:w="1104" w:type="dxa"/>
            <w:tcBorders>
              <w:top w:val="nil"/>
              <w:left w:val="nil"/>
              <w:bottom w:val="single" w:sz="8" w:space="0" w:color="FFFFFF"/>
              <w:right w:val="single" w:sz="8" w:space="0" w:color="FFFFFF"/>
            </w:tcBorders>
            <w:shd w:val="clear" w:color="000000" w:fill="EFEAE6"/>
            <w:noWrap/>
            <w:vAlign w:val="bottom"/>
            <w:hideMark/>
          </w:tcPr>
          <w:p w14:paraId="5BCD0942"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6</w:t>
            </w:r>
          </w:p>
        </w:tc>
        <w:tc>
          <w:tcPr>
            <w:tcW w:w="1104" w:type="dxa"/>
            <w:tcBorders>
              <w:top w:val="nil"/>
              <w:left w:val="nil"/>
              <w:bottom w:val="single" w:sz="8" w:space="0" w:color="FFFFFF"/>
              <w:right w:val="single" w:sz="8" w:space="0" w:color="FFFFFF"/>
            </w:tcBorders>
            <w:shd w:val="clear" w:color="000000" w:fill="EFEAE6"/>
            <w:noWrap/>
            <w:vAlign w:val="bottom"/>
            <w:hideMark/>
          </w:tcPr>
          <w:p w14:paraId="63E90A9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7E48DB9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4C1DE0D0"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31467031"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764ADF7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316BC600"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2241C56D"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70758DCB"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St. George's</w:t>
            </w:r>
          </w:p>
        </w:tc>
        <w:tc>
          <w:tcPr>
            <w:tcW w:w="1104" w:type="dxa"/>
            <w:tcBorders>
              <w:top w:val="nil"/>
              <w:left w:val="nil"/>
              <w:bottom w:val="single" w:sz="8" w:space="0" w:color="FFFFFF"/>
              <w:right w:val="single" w:sz="8" w:space="0" w:color="FFFFFF"/>
            </w:tcBorders>
            <w:shd w:val="clear" w:color="000000" w:fill="EFEAE6"/>
            <w:noWrap/>
            <w:vAlign w:val="bottom"/>
            <w:hideMark/>
          </w:tcPr>
          <w:p w14:paraId="68CD85C7"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2F9205D3"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0FF6440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5</w:t>
            </w:r>
          </w:p>
        </w:tc>
        <w:tc>
          <w:tcPr>
            <w:tcW w:w="1104" w:type="dxa"/>
            <w:tcBorders>
              <w:top w:val="nil"/>
              <w:left w:val="nil"/>
              <w:bottom w:val="single" w:sz="8" w:space="0" w:color="FFFFFF"/>
              <w:right w:val="single" w:sz="8" w:space="0" w:color="FFFFFF"/>
            </w:tcBorders>
            <w:shd w:val="clear" w:color="000000" w:fill="EFEAE6"/>
            <w:noWrap/>
            <w:vAlign w:val="bottom"/>
            <w:hideMark/>
          </w:tcPr>
          <w:p w14:paraId="759C61E2"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0B6414CA"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97E3C43"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1ADA96A2"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4ED1727B"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5421CA4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2F59C75B"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5214C7E8"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503FB87E"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Highlands and Island</w:t>
            </w:r>
          </w:p>
        </w:tc>
        <w:tc>
          <w:tcPr>
            <w:tcW w:w="1104" w:type="dxa"/>
            <w:tcBorders>
              <w:top w:val="nil"/>
              <w:left w:val="nil"/>
              <w:bottom w:val="single" w:sz="8" w:space="0" w:color="FFFFFF"/>
              <w:right w:val="single" w:sz="8" w:space="0" w:color="FFFFFF"/>
            </w:tcBorders>
            <w:shd w:val="clear" w:color="000000" w:fill="EFEAE6"/>
            <w:noWrap/>
            <w:vAlign w:val="bottom"/>
            <w:hideMark/>
          </w:tcPr>
          <w:p w14:paraId="3795A812"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035D7C68"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47A484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52344D0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B7BA89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16</w:t>
            </w:r>
          </w:p>
        </w:tc>
        <w:tc>
          <w:tcPr>
            <w:tcW w:w="1104" w:type="dxa"/>
            <w:tcBorders>
              <w:top w:val="nil"/>
              <w:left w:val="nil"/>
              <w:bottom w:val="single" w:sz="8" w:space="0" w:color="FFFFFF"/>
              <w:right w:val="single" w:sz="8" w:space="0" w:color="FFFFFF"/>
            </w:tcBorders>
            <w:shd w:val="clear" w:color="000000" w:fill="EFEAE6"/>
            <w:noWrap/>
            <w:vAlign w:val="bottom"/>
            <w:hideMark/>
          </w:tcPr>
          <w:p w14:paraId="120042D0"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2F0FECBF"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10FA244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674F20F8"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61B0AE1F"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2E317530"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0245F7A9"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Northumbria</w:t>
            </w:r>
          </w:p>
        </w:tc>
        <w:tc>
          <w:tcPr>
            <w:tcW w:w="1104" w:type="dxa"/>
            <w:tcBorders>
              <w:top w:val="nil"/>
              <w:left w:val="nil"/>
              <w:bottom w:val="single" w:sz="8" w:space="0" w:color="FFFFFF"/>
              <w:right w:val="single" w:sz="8" w:space="0" w:color="FFFFFF"/>
            </w:tcBorders>
            <w:shd w:val="clear" w:color="000000" w:fill="EFEAE6"/>
            <w:noWrap/>
            <w:vAlign w:val="bottom"/>
            <w:hideMark/>
          </w:tcPr>
          <w:p w14:paraId="513AC2D8"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13" w:type="dxa"/>
            <w:tcBorders>
              <w:top w:val="nil"/>
              <w:left w:val="nil"/>
              <w:bottom w:val="single" w:sz="8" w:space="0" w:color="FFFFFF"/>
              <w:right w:val="single" w:sz="8" w:space="0" w:color="FFFFFF"/>
            </w:tcBorders>
            <w:shd w:val="clear" w:color="000000" w:fill="EFEAE6"/>
            <w:noWrap/>
            <w:vAlign w:val="bottom"/>
            <w:hideMark/>
          </w:tcPr>
          <w:p w14:paraId="5651B801"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180CDF8C"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80</w:t>
            </w:r>
          </w:p>
        </w:tc>
        <w:tc>
          <w:tcPr>
            <w:tcW w:w="1104" w:type="dxa"/>
            <w:tcBorders>
              <w:top w:val="nil"/>
              <w:left w:val="nil"/>
              <w:bottom w:val="single" w:sz="8" w:space="0" w:color="FFFFFF"/>
              <w:right w:val="single" w:sz="8" w:space="0" w:color="FFFFFF"/>
            </w:tcBorders>
            <w:shd w:val="clear" w:color="000000" w:fill="EFEAE6"/>
            <w:noWrap/>
            <w:vAlign w:val="bottom"/>
            <w:hideMark/>
          </w:tcPr>
          <w:p w14:paraId="40E8C7E4"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D493AFD"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4" w:type="dxa"/>
            <w:tcBorders>
              <w:top w:val="nil"/>
              <w:left w:val="nil"/>
              <w:bottom w:val="single" w:sz="8" w:space="0" w:color="FFFFFF"/>
              <w:right w:val="single" w:sz="8" w:space="0" w:color="FFFFFF"/>
            </w:tcBorders>
            <w:shd w:val="clear" w:color="000000" w:fill="EFEAE6"/>
            <w:noWrap/>
            <w:vAlign w:val="bottom"/>
            <w:hideMark/>
          </w:tcPr>
          <w:p w14:paraId="3D68C87D"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108" w:type="dxa"/>
            <w:tcBorders>
              <w:top w:val="nil"/>
              <w:left w:val="nil"/>
              <w:bottom w:val="single" w:sz="8" w:space="0" w:color="FFFFFF"/>
              <w:right w:val="single" w:sz="8" w:space="0" w:color="FFFFFF"/>
            </w:tcBorders>
            <w:shd w:val="clear" w:color="000000" w:fill="EFEAE6"/>
            <w:noWrap/>
            <w:vAlign w:val="bottom"/>
            <w:hideMark/>
          </w:tcPr>
          <w:p w14:paraId="77E02F4F"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6E83E9F9"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1228" w:type="dxa"/>
            <w:tcBorders>
              <w:top w:val="nil"/>
              <w:left w:val="nil"/>
              <w:bottom w:val="single" w:sz="8" w:space="0" w:color="FFFFFF"/>
              <w:right w:val="single" w:sz="8" w:space="0" w:color="FFFFFF"/>
            </w:tcBorders>
            <w:shd w:val="clear" w:color="000000" w:fill="EFEAE6"/>
            <w:noWrap/>
            <w:vAlign w:val="bottom"/>
            <w:hideMark/>
          </w:tcPr>
          <w:p w14:paraId="55B3F47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0</w:t>
            </w:r>
          </w:p>
        </w:tc>
        <w:tc>
          <w:tcPr>
            <w:tcW w:w="2098" w:type="dxa"/>
            <w:tcBorders>
              <w:top w:val="nil"/>
              <w:left w:val="nil"/>
              <w:bottom w:val="single" w:sz="8" w:space="0" w:color="FFFFFF"/>
              <w:right w:val="single" w:sz="8" w:space="0" w:color="FFFFFF"/>
            </w:tcBorders>
            <w:shd w:val="clear" w:color="000000" w:fill="EFEAE6"/>
            <w:noWrap/>
            <w:vAlign w:val="bottom"/>
            <w:hideMark/>
          </w:tcPr>
          <w:p w14:paraId="73B6283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Exit</w:t>
            </w:r>
          </w:p>
        </w:tc>
      </w:tr>
      <w:tr w:rsidR="000F53FA" w:rsidRPr="00E25B46" w14:paraId="1FDB38E9" w14:textId="77777777" w:rsidTr="000F53FA">
        <w:trPr>
          <w:trHeight w:val="352"/>
        </w:trPr>
        <w:tc>
          <w:tcPr>
            <w:tcW w:w="1936" w:type="dxa"/>
            <w:tcBorders>
              <w:top w:val="nil"/>
              <w:left w:val="single" w:sz="8" w:space="0" w:color="FFFFFF"/>
              <w:bottom w:val="single" w:sz="8" w:space="0" w:color="FFFFFF"/>
              <w:right w:val="single" w:sz="8" w:space="0" w:color="FFFFFF"/>
            </w:tcBorders>
            <w:shd w:val="clear" w:color="000000" w:fill="49723B"/>
            <w:noWrap/>
            <w:vAlign w:val="bottom"/>
            <w:hideMark/>
          </w:tcPr>
          <w:p w14:paraId="3A6976B3" w14:textId="77777777" w:rsidR="000F53FA" w:rsidRPr="00E25B46" w:rsidRDefault="000F53FA" w:rsidP="000F53FA">
            <w:pPr>
              <w:spacing w:after="0" w:line="240" w:lineRule="auto"/>
              <w:jc w:val="center"/>
              <w:rPr>
                <w:rFonts w:ascii="Calibri" w:eastAsia="Times New Roman" w:hAnsi="Calibri" w:cs="Calibri"/>
                <w:b/>
                <w:bCs/>
                <w:color w:val="FFFFFF"/>
                <w:lang w:eastAsia="en-GB"/>
              </w:rPr>
            </w:pPr>
            <w:r w:rsidRPr="00E25B46">
              <w:rPr>
                <w:rFonts w:ascii="Calibri" w:eastAsia="Times New Roman" w:hAnsi="Calibri" w:cs="Calibri"/>
                <w:b/>
                <w:bCs/>
                <w:color w:val="FFFFFF"/>
                <w:lang w:eastAsia="en-GB"/>
              </w:rPr>
              <w:t>Total</w:t>
            </w:r>
          </w:p>
        </w:tc>
        <w:tc>
          <w:tcPr>
            <w:tcW w:w="1104" w:type="dxa"/>
            <w:tcBorders>
              <w:top w:val="nil"/>
              <w:left w:val="nil"/>
              <w:bottom w:val="single" w:sz="8" w:space="0" w:color="FFFFFF"/>
              <w:right w:val="single" w:sz="8" w:space="0" w:color="FFFFFF"/>
            </w:tcBorders>
            <w:shd w:val="clear" w:color="000000" w:fill="EFEAE6"/>
            <w:noWrap/>
            <w:vAlign w:val="bottom"/>
            <w:hideMark/>
          </w:tcPr>
          <w:p w14:paraId="7AFB76B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9885</w:t>
            </w:r>
          </w:p>
        </w:tc>
        <w:tc>
          <w:tcPr>
            <w:tcW w:w="1113" w:type="dxa"/>
            <w:tcBorders>
              <w:top w:val="nil"/>
              <w:left w:val="nil"/>
              <w:bottom w:val="single" w:sz="8" w:space="0" w:color="FFFFFF"/>
              <w:right w:val="single" w:sz="8" w:space="0" w:color="FFFFFF"/>
            </w:tcBorders>
            <w:shd w:val="clear" w:color="000000" w:fill="EFEAE6"/>
            <w:noWrap/>
            <w:vAlign w:val="bottom"/>
            <w:hideMark/>
          </w:tcPr>
          <w:p w14:paraId="1C05FB1D"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11404</w:t>
            </w:r>
          </w:p>
        </w:tc>
        <w:tc>
          <w:tcPr>
            <w:tcW w:w="1104" w:type="dxa"/>
            <w:tcBorders>
              <w:top w:val="nil"/>
              <w:left w:val="nil"/>
              <w:bottom w:val="single" w:sz="8" w:space="0" w:color="FFFFFF"/>
              <w:right w:val="single" w:sz="8" w:space="0" w:color="FFFFFF"/>
            </w:tcBorders>
            <w:shd w:val="clear" w:color="000000" w:fill="EFEAE6"/>
            <w:noWrap/>
            <w:vAlign w:val="bottom"/>
            <w:hideMark/>
          </w:tcPr>
          <w:p w14:paraId="2C7F36AB"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12673</w:t>
            </w:r>
          </w:p>
        </w:tc>
        <w:tc>
          <w:tcPr>
            <w:tcW w:w="1104" w:type="dxa"/>
            <w:tcBorders>
              <w:top w:val="nil"/>
              <w:left w:val="nil"/>
              <w:bottom w:val="single" w:sz="8" w:space="0" w:color="FFFFFF"/>
              <w:right w:val="single" w:sz="8" w:space="0" w:color="FFFFFF"/>
            </w:tcBorders>
            <w:shd w:val="clear" w:color="000000" w:fill="EFEAE6"/>
            <w:noWrap/>
            <w:vAlign w:val="bottom"/>
            <w:hideMark/>
          </w:tcPr>
          <w:p w14:paraId="2760FB44"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14775</w:t>
            </w:r>
          </w:p>
        </w:tc>
        <w:tc>
          <w:tcPr>
            <w:tcW w:w="1104" w:type="dxa"/>
            <w:tcBorders>
              <w:top w:val="nil"/>
              <w:left w:val="nil"/>
              <w:bottom w:val="single" w:sz="8" w:space="0" w:color="FFFFFF"/>
              <w:right w:val="single" w:sz="8" w:space="0" w:color="FFFFFF"/>
            </w:tcBorders>
            <w:shd w:val="clear" w:color="000000" w:fill="EFEAE6"/>
            <w:noWrap/>
            <w:vAlign w:val="bottom"/>
            <w:hideMark/>
          </w:tcPr>
          <w:p w14:paraId="4E941B92"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17553</w:t>
            </w:r>
          </w:p>
        </w:tc>
        <w:tc>
          <w:tcPr>
            <w:tcW w:w="1104" w:type="dxa"/>
            <w:tcBorders>
              <w:top w:val="nil"/>
              <w:left w:val="nil"/>
              <w:bottom w:val="single" w:sz="8" w:space="0" w:color="FFFFFF"/>
              <w:right w:val="single" w:sz="8" w:space="0" w:color="FFFFFF"/>
            </w:tcBorders>
            <w:shd w:val="clear" w:color="000000" w:fill="EFEAE6"/>
            <w:noWrap/>
            <w:vAlign w:val="bottom"/>
            <w:hideMark/>
          </w:tcPr>
          <w:p w14:paraId="22F28EE6"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19614</w:t>
            </w:r>
          </w:p>
        </w:tc>
        <w:tc>
          <w:tcPr>
            <w:tcW w:w="1108" w:type="dxa"/>
            <w:tcBorders>
              <w:top w:val="nil"/>
              <w:left w:val="nil"/>
              <w:bottom w:val="single" w:sz="8" w:space="0" w:color="FFFFFF"/>
              <w:right w:val="single" w:sz="8" w:space="0" w:color="FFFFFF"/>
            </w:tcBorders>
            <w:shd w:val="clear" w:color="000000" w:fill="EFEAE6"/>
            <w:noWrap/>
            <w:vAlign w:val="bottom"/>
            <w:hideMark/>
          </w:tcPr>
          <w:p w14:paraId="4E60E5BF"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23076</w:t>
            </w:r>
          </w:p>
        </w:tc>
        <w:tc>
          <w:tcPr>
            <w:tcW w:w="1228" w:type="dxa"/>
            <w:tcBorders>
              <w:top w:val="nil"/>
              <w:left w:val="nil"/>
              <w:bottom w:val="single" w:sz="8" w:space="0" w:color="FFFFFF"/>
              <w:right w:val="single" w:sz="8" w:space="0" w:color="FFFFFF"/>
            </w:tcBorders>
            <w:shd w:val="clear" w:color="000000" w:fill="EFEAE6"/>
            <w:noWrap/>
            <w:vAlign w:val="bottom"/>
            <w:hideMark/>
          </w:tcPr>
          <w:p w14:paraId="765AA23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25607</w:t>
            </w:r>
          </w:p>
        </w:tc>
        <w:tc>
          <w:tcPr>
            <w:tcW w:w="1228" w:type="dxa"/>
            <w:tcBorders>
              <w:top w:val="nil"/>
              <w:left w:val="nil"/>
              <w:bottom w:val="single" w:sz="8" w:space="0" w:color="FFFFFF"/>
              <w:right w:val="single" w:sz="8" w:space="0" w:color="FFFFFF"/>
            </w:tcBorders>
            <w:shd w:val="clear" w:color="000000" w:fill="EFEAE6"/>
            <w:noWrap/>
            <w:vAlign w:val="bottom"/>
            <w:hideMark/>
          </w:tcPr>
          <w:p w14:paraId="0E0DB295"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25620</w:t>
            </w:r>
          </w:p>
        </w:tc>
        <w:tc>
          <w:tcPr>
            <w:tcW w:w="2098" w:type="dxa"/>
            <w:tcBorders>
              <w:top w:val="nil"/>
              <w:left w:val="nil"/>
              <w:bottom w:val="single" w:sz="8" w:space="0" w:color="FFFFFF"/>
              <w:right w:val="single" w:sz="8" w:space="0" w:color="FFFFFF"/>
            </w:tcBorders>
            <w:shd w:val="clear" w:color="000000" w:fill="EFEAE6"/>
            <w:noWrap/>
            <w:vAlign w:val="bottom"/>
            <w:hideMark/>
          </w:tcPr>
          <w:p w14:paraId="3E88C430" w14:textId="77777777" w:rsidR="000F53FA" w:rsidRPr="00E25B46" w:rsidRDefault="000F53FA" w:rsidP="000F53FA">
            <w:pPr>
              <w:spacing w:after="0" w:line="240" w:lineRule="auto"/>
              <w:jc w:val="center"/>
              <w:rPr>
                <w:rFonts w:ascii="Calibri" w:eastAsia="Times New Roman" w:hAnsi="Calibri" w:cs="Calibri"/>
                <w:color w:val="000000"/>
                <w:lang w:eastAsia="en-GB"/>
              </w:rPr>
            </w:pPr>
            <w:r w:rsidRPr="00E25B46">
              <w:rPr>
                <w:rFonts w:ascii="Calibri" w:eastAsia="Times New Roman" w:hAnsi="Calibri" w:cs="Calibri"/>
                <w:color w:val="000000"/>
                <w:lang w:eastAsia="en-GB"/>
              </w:rPr>
              <w:t> </w:t>
            </w:r>
          </w:p>
        </w:tc>
      </w:tr>
    </w:tbl>
    <w:p w14:paraId="325AA964" w14:textId="77777777" w:rsidR="000F53FA" w:rsidRDefault="000F53FA" w:rsidP="00E114E2">
      <w:pPr>
        <w:jc w:val="both"/>
        <w:rPr>
          <w:rFonts w:cstheme="minorHAnsi"/>
          <w:sz w:val="28"/>
          <w:szCs w:val="28"/>
        </w:rPr>
        <w:sectPr w:rsidR="000F53FA" w:rsidSect="00CB3C41">
          <w:pgSz w:w="16838" w:h="11906" w:orient="landscape"/>
          <w:pgMar w:top="1440" w:right="1440" w:bottom="1440" w:left="1440" w:header="708" w:footer="708" w:gutter="0"/>
          <w:cols w:space="708"/>
          <w:docGrid w:linePitch="360"/>
        </w:sectPr>
      </w:pPr>
    </w:p>
    <w:p w14:paraId="6B53776B" w14:textId="51D6E556" w:rsidR="00D01937" w:rsidRDefault="00D01937" w:rsidP="00E114E2">
      <w:pPr>
        <w:jc w:val="both"/>
        <w:rPr>
          <w:rFonts w:cstheme="minorHAnsi"/>
          <w:sz w:val="28"/>
          <w:szCs w:val="28"/>
        </w:rPr>
      </w:pPr>
    </w:p>
    <w:p w14:paraId="6FBD0593" w14:textId="6E81CE85" w:rsidR="00283A56" w:rsidRPr="00E41C69" w:rsidRDefault="000476CC" w:rsidP="00E114E2">
      <w:pPr>
        <w:jc w:val="both"/>
        <w:rPr>
          <w:rFonts w:cstheme="minorHAnsi"/>
          <w:sz w:val="28"/>
          <w:szCs w:val="28"/>
        </w:rPr>
      </w:pPr>
      <w:r>
        <w:rPr>
          <w:rFonts w:cstheme="minorHAnsi"/>
          <w:sz w:val="28"/>
          <w:szCs w:val="28"/>
        </w:rPr>
        <w:t xml:space="preserve">Seven universities, </w:t>
      </w:r>
      <w:r w:rsidR="000829B8" w:rsidRPr="00E41C69">
        <w:rPr>
          <w:rFonts w:cstheme="minorHAnsi"/>
          <w:sz w:val="28"/>
          <w:szCs w:val="28"/>
        </w:rPr>
        <w:t>Aberdeen, Belfast, Heriot-Watt, Hertfordshire, Reading, Sunderland and Surrey</w:t>
      </w:r>
      <w:r>
        <w:rPr>
          <w:rFonts w:cstheme="minorHAnsi"/>
          <w:sz w:val="28"/>
          <w:szCs w:val="28"/>
        </w:rPr>
        <w:t>,</w:t>
      </w:r>
      <w:r w:rsidR="000829B8" w:rsidRPr="00E41C69">
        <w:rPr>
          <w:rFonts w:cstheme="minorHAnsi"/>
          <w:sz w:val="28"/>
          <w:szCs w:val="28"/>
        </w:rPr>
        <w:t xml:space="preserve"> have established new campuses during the last three-years </w:t>
      </w:r>
      <w:r w:rsidR="001D522D" w:rsidRPr="00E41C69">
        <w:rPr>
          <w:rFonts w:cstheme="minorHAnsi"/>
          <w:sz w:val="28"/>
          <w:szCs w:val="28"/>
        </w:rPr>
        <w:t xml:space="preserve">or are expected to open in 2018. The country breakdown of these campuses is </w:t>
      </w:r>
      <w:r w:rsidR="000829B8" w:rsidRPr="00E41C69">
        <w:rPr>
          <w:rFonts w:cstheme="minorHAnsi"/>
          <w:sz w:val="28"/>
          <w:szCs w:val="28"/>
        </w:rPr>
        <w:t>China (3), Hong Kong (1), South Korea (1) and Malaysia (2).</w:t>
      </w:r>
      <w:r w:rsidR="006E7490" w:rsidRPr="00E41C69">
        <w:rPr>
          <w:rFonts w:cstheme="minorHAnsi"/>
          <w:sz w:val="28"/>
          <w:szCs w:val="28"/>
        </w:rPr>
        <w:t xml:space="preserve"> </w:t>
      </w:r>
    </w:p>
    <w:p w14:paraId="418BDA67" w14:textId="77777777" w:rsidR="003F558D" w:rsidRPr="00E41C69" w:rsidRDefault="006E7490" w:rsidP="00E114E2">
      <w:pPr>
        <w:jc w:val="both"/>
        <w:rPr>
          <w:rFonts w:cstheme="minorHAnsi"/>
          <w:sz w:val="28"/>
          <w:szCs w:val="28"/>
        </w:rPr>
      </w:pPr>
      <w:r w:rsidRPr="00E41C69">
        <w:rPr>
          <w:rFonts w:cstheme="minorHAnsi"/>
          <w:sz w:val="28"/>
          <w:szCs w:val="28"/>
        </w:rPr>
        <w:t>The Chinese authorities have recently announced that approvals for new overseas campuses have been halted. The Malaysian government’s decision to only allow new overseas partnerships with universities in the top five percent of global rankings will also limit the development of new OBCs in this country.</w:t>
      </w:r>
      <w:r w:rsidR="00283A56" w:rsidRPr="00E41C69">
        <w:rPr>
          <w:rFonts w:cstheme="minorHAnsi"/>
          <w:sz w:val="28"/>
          <w:szCs w:val="28"/>
        </w:rPr>
        <w:t xml:space="preserve"> The government in Singapore has only ever permitted top global universities such as MIT to establish branch campuses in the country.</w:t>
      </w:r>
    </w:p>
    <w:p w14:paraId="2D4680F4" w14:textId="72B97099" w:rsidR="001565B8" w:rsidRPr="00E41C69" w:rsidRDefault="001565B8" w:rsidP="001565B8">
      <w:pPr>
        <w:jc w:val="both"/>
        <w:rPr>
          <w:rFonts w:cstheme="minorHAnsi"/>
          <w:sz w:val="28"/>
          <w:szCs w:val="28"/>
        </w:rPr>
      </w:pPr>
      <w:r w:rsidRPr="00E41C69">
        <w:rPr>
          <w:rFonts w:cstheme="minorHAnsi"/>
          <w:sz w:val="28"/>
          <w:szCs w:val="28"/>
        </w:rPr>
        <w:t xml:space="preserve">The attempt by the government of Mauritius to develop its university sector into a regional education hub </w:t>
      </w:r>
      <w:r w:rsidR="00A858E8" w:rsidRPr="00E41C69">
        <w:rPr>
          <w:rFonts w:cstheme="minorHAnsi"/>
          <w:sz w:val="28"/>
          <w:szCs w:val="28"/>
        </w:rPr>
        <w:t xml:space="preserve">in particular </w:t>
      </w:r>
      <w:r w:rsidR="00283A56" w:rsidRPr="00E41C69">
        <w:rPr>
          <w:rFonts w:cstheme="minorHAnsi"/>
          <w:sz w:val="28"/>
          <w:szCs w:val="28"/>
        </w:rPr>
        <w:t>by encouraging overseas</w:t>
      </w:r>
      <w:r w:rsidRPr="00E41C69">
        <w:rPr>
          <w:rFonts w:cstheme="minorHAnsi"/>
          <w:sz w:val="28"/>
          <w:szCs w:val="28"/>
        </w:rPr>
        <w:t xml:space="preserve"> universities to set up branch campuses highlights the challenges of OBC provision.</w:t>
      </w:r>
      <w:r w:rsidR="006E7490" w:rsidRPr="00E41C69">
        <w:rPr>
          <w:rFonts w:cstheme="minorHAnsi"/>
          <w:sz w:val="28"/>
          <w:szCs w:val="28"/>
        </w:rPr>
        <w:t xml:space="preserve"> </w:t>
      </w:r>
      <w:r w:rsidRPr="00E41C69">
        <w:rPr>
          <w:rFonts w:cstheme="minorHAnsi"/>
          <w:sz w:val="28"/>
          <w:szCs w:val="28"/>
        </w:rPr>
        <w:t>Wo</w:t>
      </w:r>
      <w:r w:rsidR="006E7490" w:rsidRPr="00E41C69">
        <w:rPr>
          <w:rFonts w:cstheme="minorHAnsi"/>
          <w:sz w:val="28"/>
          <w:szCs w:val="28"/>
        </w:rPr>
        <w:t>l</w:t>
      </w:r>
      <w:r w:rsidRPr="00E41C69">
        <w:rPr>
          <w:rFonts w:cstheme="minorHAnsi"/>
          <w:sz w:val="28"/>
          <w:szCs w:val="28"/>
        </w:rPr>
        <w:t>verhampton University opened its branch campus in 2004 but, having only managed to enrol 140 students four years after start-up, it is closing down. Similarly, the Aber</w:t>
      </w:r>
      <w:r w:rsidR="007543DF">
        <w:rPr>
          <w:rFonts w:cstheme="minorHAnsi"/>
          <w:sz w:val="28"/>
          <w:szCs w:val="28"/>
        </w:rPr>
        <w:t>ys</w:t>
      </w:r>
      <w:r w:rsidR="00FD14D5">
        <w:rPr>
          <w:rFonts w:cstheme="minorHAnsi"/>
          <w:sz w:val="28"/>
          <w:szCs w:val="28"/>
        </w:rPr>
        <w:t>t</w:t>
      </w:r>
      <w:r w:rsidRPr="00E41C69">
        <w:rPr>
          <w:rFonts w:cstheme="minorHAnsi"/>
          <w:sz w:val="28"/>
          <w:szCs w:val="28"/>
        </w:rPr>
        <w:t>wyth University campus opened in Mauritius in 2015 with an expected capacity of 2</w:t>
      </w:r>
      <w:r w:rsidR="00283A56" w:rsidRPr="00E41C69">
        <w:rPr>
          <w:rFonts w:cstheme="minorHAnsi"/>
          <w:sz w:val="28"/>
          <w:szCs w:val="28"/>
        </w:rPr>
        <w:t>,</w:t>
      </w:r>
      <w:r w:rsidRPr="00E41C69">
        <w:rPr>
          <w:rFonts w:cstheme="minorHAnsi"/>
          <w:sz w:val="28"/>
          <w:szCs w:val="28"/>
        </w:rPr>
        <w:t xml:space="preserve">000 students. By 2017, just 106 students had enrolled. In 2016, the campus made a loss of £200,000. Not surprisingly, the university is facing mounting pressure to close the campus. Only the Middlesex University branch campus remains. Current enrolments are </w:t>
      </w:r>
      <w:r w:rsidR="00283A56" w:rsidRPr="00E41C69">
        <w:rPr>
          <w:rFonts w:cstheme="minorHAnsi"/>
          <w:sz w:val="28"/>
          <w:szCs w:val="28"/>
        </w:rPr>
        <w:t xml:space="preserve">over 1,000 but </w:t>
      </w:r>
      <w:r w:rsidRPr="00E41C69">
        <w:rPr>
          <w:rFonts w:cstheme="minorHAnsi"/>
          <w:sz w:val="28"/>
          <w:szCs w:val="28"/>
        </w:rPr>
        <w:t xml:space="preserve">it is barely profitable. </w:t>
      </w:r>
    </w:p>
    <w:p w14:paraId="04CDDAD3" w14:textId="367D78D9" w:rsidR="002E358C" w:rsidRPr="00E41C69" w:rsidRDefault="009A24DD" w:rsidP="00E114E2">
      <w:pPr>
        <w:jc w:val="both"/>
        <w:rPr>
          <w:rFonts w:cstheme="minorHAnsi"/>
          <w:sz w:val="28"/>
          <w:szCs w:val="28"/>
        </w:rPr>
      </w:pPr>
      <w:r w:rsidRPr="00E41C69">
        <w:rPr>
          <w:rFonts w:cstheme="minorHAnsi"/>
          <w:sz w:val="28"/>
          <w:szCs w:val="28"/>
        </w:rPr>
        <w:t xml:space="preserve">The 2017 C-BERT </w:t>
      </w:r>
      <w:r w:rsidR="001D522D" w:rsidRPr="00E41C69">
        <w:rPr>
          <w:rFonts w:cstheme="minorHAnsi"/>
          <w:sz w:val="28"/>
          <w:szCs w:val="28"/>
        </w:rPr>
        <w:t xml:space="preserve">OBC </w:t>
      </w:r>
      <w:r w:rsidRPr="00E41C69">
        <w:rPr>
          <w:rFonts w:cstheme="minorHAnsi"/>
          <w:sz w:val="28"/>
          <w:szCs w:val="28"/>
        </w:rPr>
        <w:t xml:space="preserve">inventory </w:t>
      </w:r>
      <w:r w:rsidR="001D522D" w:rsidRPr="00E41C69">
        <w:rPr>
          <w:rFonts w:cstheme="minorHAnsi"/>
          <w:sz w:val="28"/>
          <w:szCs w:val="28"/>
        </w:rPr>
        <w:t xml:space="preserve">lists </w:t>
      </w:r>
      <w:r w:rsidR="00A858E8" w:rsidRPr="00E41C69">
        <w:rPr>
          <w:rFonts w:cstheme="minorHAnsi"/>
          <w:sz w:val="28"/>
          <w:szCs w:val="28"/>
        </w:rPr>
        <w:t xml:space="preserve">overseas </w:t>
      </w:r>
      <w:r w:rsidR="001D522D" w:rsidRPr="00E41C69">
        <w:rPr>
          <w:rFonts w:cstheme="minorHAnsi"/>
          <w:sz w:val="28"/>
          <w:szCs w:val="28"/>
        </w:rPr>
        <w:t xml:space="preserve">campuses </w:t>
      </w:r>
      <w:r w:rsidRPr="00E41C69">
        <w:rPr>
          <w:rFonts w:cstheme="minorHAnsi"/>
          <w:sz w:val="28"/>
          <w:szCs w:val="28"/>
        </w:rPr>
        <w:t>fr</w:t>
      </w:r>
      <w:r w:rsidR="007575BC" w:rsidRPr="00E41C69">
        <w:rPr>
          <w:rFonts w:cstheme="minorHAnsi"/>
          <w:sz w:val="28"/>
          <w:szCs w:val="28"/>
        </w:rPr>
        <w:t>om another 13</w:t>
      </w:r>
      <w:r w:rsidRPr="00E41C69">
        <w:rPr>
          <w:rFonts w:cstheme="minorHAnsi"/>
          <w:sz w:val="28"/>
          <w:szCs w:val="28"/>
        </w:rPr>
        <w:t xml:space="preserve"> UK universities (Belfast, </w:t>
      </w:r>
      <w:r w:rsidR="007575BC" w:rsidRPr="00E41C69">
        <w:rPr>
          <w:rFonts w:cstheme="minorHAnsi"/>
          <w:sz w:val="28"/>
          <w:szCs w:val="28"/>
        </w:rPr>
        <w:t xml:space="preserve">Bolton, </w:t>
      </w:r>
      <w:r w:rsidRPr="00E41C69">
        <w:rPr>
          <w:rFonts w:cstheme="minorHAnsi"/>
          <w:sz w:val="28"/>
          <w:szCs w:val="28"/>
        </w:rPr>
        <w:t xml:space="preserve">Central Lancashire, Glasgow, Glasgow Caledonian, Leeds, Lancaster, Liverpool, Manchester, Sheffield, Southampton, Surrey, and Westminster) with total reported enrolments of almost 13,000. Most of these are </w:t>
      </w:r>
      <w:r w:rsidR="00A858E8" w:rsidRPr="00E41C69">
        <w:rPr>
          <w:rFonts w:cstheme="minorHAnsi"/>
          <w:sz w:val="28"/>
          <w:szCs w:val="28"/>
        </w:rPr>
        <w:t>‘</w:t>
      </w:r>
      <w:r w:rsidRPr="00E41C69">
        <w:rPr>
          <w:rFonts w:cstheme="minorHAnsi"/>
          <w:sz w:val="28"/>
          <w:szCs w:val="28"/>
        </w:rPr>
        <w:t>joint ventures</w:t>
      </w:r>
      <w:r w:rsidR="00A858E8" w:rsidRPr="00E41C69">
        <w:rPr>
          <w:rFonts w:cstheme="minorHAnsi"/>
          <w:sz w:val="28"/>
          <w:szCs w:val="28"/>
        </w:rPr>
        <w:t>’, ‘collaborative partnerships’,</w:t>
      </w:r>
      <w:r w:rsidRPr="00E41C69">
        <w:rPr>
          <w:rFonts w:cstheme="minorHAnsi"/>
          <w:sz w:val="28"/>
          <w:szCs w:val="28"/>
        </w:rPr>
        <w:t xml:space="preserve"> </w:t>
      </w:r>
      <w:r w:rsidR="001565B8" w:rsidRPr="00E41C69">
        <w:rPr>
          <w:rFonts w:cstheme="minorHAnsi"/>
          <w:sz w:val="28"/>
          <w:szCs w:val="28"/>
        </w:rPr>
        <w:t>overseas</w:t>
      </w:r>
      <w:r w:rsidR="00A858E8" w:rsidRPr="00E41C69">
        <w:rPr>
          <w:rFonts w:cstheme="minorHAnsi"/>
          <w:sz w:val="28"/>
          <w:szCs w:val="28"/>
        </w:rPr>
        <w:t>/international</w:t>
      </w:r>
      <w:r w:rsidR="001565B8" w:rsidRPr="00E41C69">
        <w:rPr>
          <w:rFonts w:cstheme="minorHAnsi"/>
          <w:sz w:val="28"/>
          <w:szCs w:val="28"/>
        </w:rPr>
        <w:t xml:space="preserve"> </w:t>
      </w:r>
      <w:r w:rsidR="00A858E8" w:rsidRPr="00E41C69">
        <w:rPr>
          <w:rFonts w:cstheme="minorHAnsi"/>
          <w:sz w:val="28"/>
          <w:szCs w:val="28"/>
        </w:rPr>
        <w:t>‘</w:t>
      </w:r>
      <w:r w:rsidR="001565B8" w:rsidRPr="00E41C69">
        <w:rPr>
          <w:rFonts w:cstheme="minorHAnsi"/>
          <w:sz w:val="28"/>
          <w:szCs w:val="28"/>
        </w:rPr>
        <w:t>faculties</w:t>
      </w:r>
      <w:r w:rsidR="00A858E8" w:rsidRPr="00E41C69">
        <w:rPr>
          <w:rFonts w:cstheme="minorHAnsi"/>
          <w:sz w:val="28"/>
          <w:szCs w:val="28"/>
        </w:rPr>
        <w:t>’ or ‘business schools’</w:t>
      </w:r>
      <w:r w:rsidR="001565B8" w:rsidRPr="00E41C69">
        <w:rPr>
          <w:rFonts w:cstheme="minorHAnsi"/>
          <w:sz w:val="28"/>
          <w:szCs w:val="28"/>
        </w:rPr>
        <w:t xml:space="preserve"> </w:t>
      </w:r>
      <w:r w:rsidR="00EC79AF">
        <w:rPr>
          <w:rFonts w:cstheme="minorHAnsi"/>
          <w:sz w:val="28"/>
          <w:szCs w:val="28"/>
        </w:rPr>
        <w:t>and not all of them</w:t>
      </w:r>
      <w:r w:rsidRPr="00E41C69">
        <w:rPr>
          <w:rFonts w:cstheme="minorHAnsi"/>
          <w:sz w:val="28"/>
          <w:szCs w:val="28"/>
        </w:rPr>
        <w:t xml:space="preserve"> have </w:t>
      </w:r>
      <w:r w:rsidR="00A858E8" w:rsidRPr="00E41C69">
        <w:rPr>
          <w:rFonts w:cstheme="minorHAnsi"/>
          <w:sz w:val="28"/>
          <w:szCs w:val="28"/>
        </w:rPr>
        <w:t xml:space="preserve">their </w:t>
      </w:r>
      <w:r w:rsidR="002450D7" w:rsidRPr="00E41C69">
        <w:rPr>
          <w:rFonts w:cstheme="minorHAnsi"/>
          <w:sz w:val="28"/>
          <w:szCs w:val="28"/>
        </w:rPr>
        <w:t xml:space="preserve">own </w:t>
      </w:r>
      <w:r w:rsidRPr="00E41C69">
        <w:rPr>
          <w:rFonts w:cstheme="minorHAnsi"/>
          <w:sz w:val="28"/>
          <w:szCs w:val="28"/>
        </w:rPr>
        <w:t xml:space="preserve">physical </w:t>
      </w:r>
      <w:r w:rsidR="00A858E8" w:rsidRPr="00E41C69">
        <w:rPr>
          <w:rFonts w:cstheme="minorHAnsi"/>
          <w:sz w:val="28"/>
          <w:szCs w:val="28"/>
        </w:rPr>
        <w:t>premises</w:t>
      </w:r>
      <w:r w:rsidRPr="00E41C69">
        <w:rPr>
          <w:rFonts w:cstheme="minorHAnsi"/>
          <w:sz w:val="28"/>
          <w:szCs w:val="28"/>
        </w:rPr>
        <w:t>. Liverpool</w:t>
      </w:r>
      <w:r w:rsidR="001D522D" w:rsidRPr="00E41C69">
        <w:rPr>
          <w:rFonts w:cstheme="minorHAnsi"/>
          <w:sz w:val="28"/>
          <w:szCs w:val="28"/>
        </w:rPr>
        <w:t xml:space="preserve"> University’s joint venture with Xi</w:t>
      </w:r>
      <w:r w:rsidR="007543DF">
        <w:rPr>
          <w:rFonts w:cstheme="minorHAnsi"/>
          <w:sz w:val="28"/>
          <w:szCs w:val="28"/>
        </w:rPr>
        <w:t>’</w:t>
      </w:r>
      <w:r w:rsidR="001D522D" w:rsidRPr="00E41C69">
        <w:rPr>
          <w:rFonts w:cstheme="minorHAnsi"/>
          <w:sz w:val="28"/>
          <w:szCs w:val="28"/>
        </w:rPr>
        <w:t>an</w:t>
      </w:r>
      <w:r w:rsidR="001565B8" w:rsidRPr="00E41C69">
        <w:rPr>
          <w:rFonts w:cstheme="minorHAnsi"/>
          <w:sz w:val="28"/>
          <w:szCs w:val="28"/>
        </w:rPr>
        <w:t xml:space="preserve"> </w:t>
      </w:r>
      <w:r w:rsidR="007543DF">
        <w:rPr>
          <w:rFonts w:cstheme="minorHAnsi"/>
          <w:sz w:val="28"/>
          <w:szCs w:val="28"/>
        </w:rPr>
        <w:t>Jiaotong</w:t>
      </w:r>
      <w:r w:rsidR="001565B8" w:rsidRPr="00E41C69">
        <w:rPr>
          <w:rFonts w:cstheme="minorHAnsi"/>
          <w:sz w:val="28"/>
          <w:szCs w:val="28"/>
        </w:rPr>
        <w:t xml:space="preserve"> University has</w:t>
      </w:r>
      <w:r w:rsidR="001D522D" w:rsidRPr="00E41C69">
        <w:rPr>
          <w:rFonts w:cstheme="minorHAnsi"/>
          <w:sz w:val="28"/>
          <w:szCs w:val="28"/>
        </w:rPr>
        <w:t xml:space="preserve"> </w:t>
      </w:r>
      <w:r w:rsidR="001565B8" w:rsidRPr="00E41C69">
        <w:rPr>
          <w:rFonts w:cstheme="minorHAnsi"/>
          <w:sz w:val="28"/>
          <w:szCs w:val="28"/>
        </w:rPr>
        <w:t xml:space="preserve">over </w:t>
      </w:r>
      <w:r w:rsidR="001D522D" w:rsidRPr="00E41C69">
        <w:rPr>
          <w:rFonts w:cstheme="minorHAnsi"/>
          <w:sz w:val="28"/>
          <w:szCs w:val="28"/>
        </w:rPr>
        <w:t>7</w:t>
      </w:r>
      <w:r w:rsidR="001565B8" w:rsidRPr="00E41C69">
        <w:rPr>
          <w:rFonts w:cstheme="minorHAnsi"/>
          <w:sz w:val="28"/>
          <w:szCs w:val="28"/>
        </w:rPr>
        <w:t>,</w:t>
      </w:r>
      <w:r w:rsidR="001D522D" w:rsidRPr="00E41C69">
        <w:rPr>
          <w:rFonts w:cstheme="minorHAnsi"/>
          <w:sz w:val="28"/>
          <w:szCs w:val="28"/>
        </w:rPr>
        <w:t xml:space="preserve">500 </w:t>
      </w:r>
      <w:r w:rsidR="001565B8" w:rsidRPr="00E41C69">
        <w:rPr>
          <w:rFonts w:cstheme="minorHAnsi"/>
          <w:sz w:val="28"/>
          <w:szCs w:val="28"/>
        </w:rPr>
        <w:t>students</w:t>
      </w:r>
      <w:r w:rsidR="001D522D" w:rsidRPr="00E41C69">
        <w:rPr>
          <w:rFonts w:cstheme="minorHAnsi"/>
          <w:sz w:val="28"/>
          <w:szCs w:val="28"/>
        </w:rPr>
        <w:t xml:space="preserve"> but is not classified by HESA as an OBC because not all students </w:t>
      </w:r>
      <w:r w:rsidR="00EA2790">
        <w:rPr>
          <w:rFonts w:cstheme="minorHAnsi"/>
          <w:sz w:val="28"/>
          <w:szCs w:val="28"/>
        </w:rPr>
        <w:t xml:space="preserve">at Jiaotong </w:t>
      </w:r>
      <w:r w:rsidR="008B5A21">
        <w:rPr>
          <w:rFonts w:cstheme="minorHAnsi"/>
          <w:sz w:val="28"/>
          <w:szCs w:val="28"/>
        </w:rPr>
        <w:t xml:space="preserve">University </w:t>
      </w:r>
      <w:r w:rsidR="00EA2790">
        <w:rPr>
          <w:rFonts w:cstheme="minorHAnsi"/>
          <w:sz w:val="28"/>
          <w:szCs w:val="28"/>
        </w:rPr>
        <w:t xml:space="preserve">study </w:t>
      </w:r>
      <w:r w:rsidR="001D522D" w:rsidRPr="00E41C69">
        <w:rPr>
          <w:rFonts w:cstheme="minorHAnsi"/>
          <w:sz w:val="28"/>
          <w:szCs w:val="28"/>
        </w:rPr>
        <w:t>for Liverpool University degrees.</w:t>
      </w:r>
    </w:p>
    <w:p w14:paraId="543101E9" w14:textId="77777777" w:rsidR="00FD14D5" w:rsidRDefault="00FD14D5">
      <w:pPr>
        <w:rPr>
          <w:rFonts w:cstheme="minorHAnsi"/>
          <w:b/>
          <w:sz w:val="28"/>
          <w:szCs w:val="28"/>
        </w:rPr>
      </w:pPr>
      <w:r>
        <w:rPr>
          <w:rFonts w:cstheme="minorHAnsi"/>
          <w:b/>
          <w:sz w:val="28"/>
          <w:szCs w:val="28"/>
        </w:rPr>
        <w:br w:type="page"/>
      </w:r>
    </w:p>
    <w:p w14:paraId="68507D62" w14:textId="267D46B5" w:rsidR="002F7E89" w:rsidRPr="00E41C69" w:rsidRDefault="00E56EF3" w:rsidP="007E25FE">
      <w:pPr>
        <w:pStyle w:val="Heading2"/>
      </w:pPr>
      <w:r>
        <w:lastRenderedPageBreak/>
        <w:br/>
      </w:r>
      <w:r w:rsidR="009A24DD" w:rsidRPr="00E41C69">
        <w:t xml:space="preserve"> </w:t>
      </w:r>
      <w:bookmarkStart w:id="18" w:name="_Toc531957314"/>
      <w:r w:rsidR="00CC5801">
        <w:t>4</w:t>
      </w:r>
      <w:r w:rsidR="008776DD" w:rsidRPr="00E41C69">
        <w:t xml:space="preserve">.7 </w:t>
      </w:r>
      <w:r w:rsidR="00955DB3" w:rsidRPr="00E41C69">
        <w:t xml:space="preserve">COURSE </w:t>
      </w:r>
      <w:r w:rsidR="008776DD" w:rsidRPr="00E41C69">
        <w:t>COMPLETION RATES</w:t>
      </w:r>
      <w:bookmarkEnd w:id="18"/>
    </w:p>
    <w:p w14:paraId="72E7034C" w14:textId="77777777" w:rsidR="008776DD" w:rsidRPr="00E41C69" w:rsidRDefault="00862CED" w:rsidP="00E114E2">
      <w:pPr>
        <w:jc w:val="both"/>
        <w:rPr>
          <w:rFonts w:cstheme="minorHAnsi"/>
          <w:sz w:val="28"/>
          <w:szCs w:val="28"/>
        </w:rPr>
      </w:pPr>
      <w:r w:rsidRPr="00E41C69">
        <w:rPr>
          <w:rFonts w:cstheme="minorHAnsi"/>
          <w:sz w:val="28"/>
          <w:szCs w:val="28"/>
        </w:rPr>
        <w:t>Surprisingly, no detailed</w:t>
      </w:r>
      <w:r w:rsidR="008776DD" w:rsidRPr="00E41C69">
        <w:rPr>
          <w:rFonts w:cstheme="minorHAnsi"/>
          <w:sz w:val="28"/>
          <w:szCs w:val="28"/>
        </w:rPr>
        <w:t xml:space="preserve"> information has </w:t>
      </w:r>
      <w:r w:rsidRPr="00E41C69">
        <w:rPr>
          <w:rFonts w:cstheme="minorHAnsi"/>
          <w:sz w:val="28"/>
          <w:szCs w:val="28"/>
        </w:rPr>
        <w:t xml:space="preserve">ever </w:t>
      </w:r>
      <w:r w:rsidR="008776DD" w:rsidRPr="00E41C69">
        <w:rPr>
          <w:rFonts w:cstheme="minorHAnsi"/>
          <w:sz w:val="28"/>
          <w:szCs w:val="28"/>
        </w:rPr>
        <w:t xml:space="preserve">been </w:t>
      </w:r>
      <w:r w:rsidRPr="00E41C69">
        <w:rPr>
          <w:rFonts w:cstheme="minorHAnsi"/>
          <w:sz w:val="28"/>
          <w:szCs w:val="28"/>
        </w:rPr>
        <w:t xml:space="preserve">collected </w:t>
      </w:r>
      <w:r w:rsidR="008776DD" w:rsidRPr="00E41C69">
        <w:rPr>
          <w:rFonts w:cstheme="minorHAnsi"/>
          <w:sz w:val="28"/>
          <w:szCs w:val="28"/>
        </w:rPr>
        <w:t>on the completion rates of students studying for UK degrees on offshore courses. This review requested, therefore, each university to provide undergraduate and postgraduate enrolments and completions for students studying offshore in its three largest enrolment countries</w:t>
      </w:r>
      <w:r w:rsidRPr="00E41C69">
        <w:rPr>
          <w:rFonts w:cstheme="minorHAnsi"/>
          <w:sz w:val="28"/>
          <w:szCs w:val="28"/>
        </w:rPr>
        <w:t xml:space="preserve"> in 2016/17</w:t>
      </w:r>
      <w:r w:rsidR="008776DD" w:rsidRPr="00E41C69">
        <w:rPr>
          <w:rFonts w:cstheme="minorHAnsi"/>
          <w:sz w:val="28"/>
          <w:szCs w:val="28"/>
        </w:rPr>
        <w:t xml:space="preserve">. Ideally, completion rates should be based on student cohort analysis. However, based on a pilot group of 30 universities, it soon became clear that most universities are unable to furnish easily this information with the result that most issued </w:t>
      </w:r>
      <w:r w:rsidR="00EA2790">
        <w:rPr>
          <w:rFonts w:cstheme="minorHAnsi"/>
          <w:sz w:val="28"/>
          <w:szCs w:val="28"/>
        </w:rPr>
        <w:t xml:space="preserve">FOI </w:t>
      </w:r>
      <w:r w:rsidR="008776DD" w:rsidRPr="00E41C69">
        <w:rPr>
          <w:rFonts w:cstheme="minorHAnsi"/>
          <w:sz w:val="28"/>
          <w:szCs w:val="28"/>
        </w:rPr>
        <w:t>refusal notices under the 18 hour rule.</w:t>
      </w:r>
      <w:r w:rsidR="00B73B15" w:rsidRPr="00E41C69">
        <w:rPr>
          <w:rFonts w:cstheme="minorHAnsi"/>
          <w:sz w:val="28"/>
          <w:szCs w:val="28"/>
        </w:rPr>
        <w:t xml:space="preserve"> There was really no alternative, </w:t>
      </w:r>
      <w:r w:rsidR="008776DD" w:rsidRPr="00E41C69">
        <w:rPr>
          <w:rFonts w:cstheme="minorHAnsi"/>
          <w:sz w:val="28"/>
          <w:szCs w:val="28"/>
        </w:rPr>
        <w:t>therefore</w:t>
      </w:r>
      <w:r w:rsidR="00B73B15" w:rsidRPr="00E41C69">
        <w:rPr>
          <w:rFonts w:cstheme="minorHAnsi"/>
          <w:sz w:val="28"/>
          <w:szCs w:val="28"/>
        </w:rPr>
        <w:t>,</w:t>
      </w:r>
      <w:r w:rsidR="008776DD" w:rsidRPr="00E41C69">
        <w:rPr>
          <w:rFonts w:cstheme="minorHAnsi"/>
          <w:sz w:val="28"/>
          <w:szCs w:val="28"/>
        </w:rPr>
        <w:t xml:space="preserve"> </w:t>
      </w:r>
      <w:r w:rsidR="00B73B15" w:rsidRPr="00E41C69">
        <w:rPr>
          <w:rFonts w:cstheme="minorHAnsi"/>
          <w:sz w:val="28"/>
          <w:szCs w:val="28"/>
        </w:rPr>
        <w:t xml:space="preserve">but </w:t>
      </w:r>
      <w:r w:rsidR="008776DD" w:rsidRPr="00E41C69">
        <w:rPr>
          <w:rFonts w:cstheme="minorHAnsi"/>
          <w:sz w:val="28"/>
          <w:szCs w:val="28"/>
        </w:rPr>
        <w:t xml:space="preserve">to rely on </w:t>
      </w:r>
      <w:r w:rsidR="00C95F24" w:rsidRPr="00E41C69">
        <w:rPr>
          <w:rFonts w:cstheme="minorHAnsi"/>
          <w:sz w:val="28"/>
          <w:szCs w:val="28"/>
        </w:rPr>
        <w:t xml:space="preserve">total </w:t>
      </w:r>
      <w:r w:rsidR="008776DD" w:rsidRPr="00E41C69">
        <w:rPr>
          <w:rFonts w:cstheme="minorHAnsi"/>
          <w:sz w:val="28"/>
          <w:szCs w:val="28"/>
        </w:rPr>
        <w:t>enrolment and completion figures</w:t>
      </w:r>
      <w:r w:rsidR="00A51B29" w:rsidRPr="00E41C69">
        <w:rPr>
          <w:rFonts w:cstheme="minorHAnsi"/>
          <w:sz w:val="28"/>
          <w:szCs w:val="28"/>
        </w:rPr>
        <w:t xml:space="preserve"> in order to calculate a </w:t>
      </w:r>
      <w:r w:rsidR="00C95F24" w:rsidRPr="00E41C69">
        <w:rPr>
          <w:rFonts w:cstheme="minorHAnsi"/>
          <w:sz w:val="28"/>
          <w:szCs w:val="28"/>
        </w:rPr>
        <w:t>crude completion rate where completions in any one year are expressed as percentage of total enrolments in that year</w:t>
      </w:r>
      <w:r w:rsidR="008776DD" w:rsidRPr="00E41C69">
        <w:rPr>
          <w:rFonts w:cstheme="minorHAnsi"/>
          <w:sz w:val="28"/>
          <w:szCs w:val="28"/>
        </w:rPr>
        <w:t>.</w:t>
      </w:r>
      <w:r w:rsidRPr="00E41C69">
        <w:rPr>
          <w:rFonts w:cstheme="minorHAnsi"/>
          <w:sz w:val="28"/>
          <w:szCs w:val="28"/>
        </w:rPr>
        <w:t xml:space="preserve"> Sixty universities furnished this information.</w:t>
      </w:r>
      <w:r w:rsidR="008776DD" w:rsidRPr="00E41C69">
        <w:rPr>
          <w:rFonts w:cstheme="minorHAnsi"/>
          <w:sz w:val="28"/>
          <w:szCs w:val="28"/>
        </w:rPr>
        <w:t xml:space="preserve">  </w:t>
      </w:r>
    </w:p>
    <w:p w14:paraId="1C0FE978" w14:textId="77777777" w:rsidR="00FD14D5" w:rsidRDefault="00862CED" w:rsidP="00E114E2">
      <w:pPr>
        <w:jc w:val="both"/>
        <w:rPr>
          <w:rFonts w:cstheme="minorHAnsi"/>
          <w:sz w:val="28"/>
          <w:szCs w:val="28"/>
        </w:rPr>
      </w:pPr>
      <w:r w:rsidRPr="00E41C69">
        <w:rPr>
          <w:rFonts w:cstheme="minorHAnsi"/>
          <w:sz w:val="28"/>
          <w:szCs w:val="28"/>
        </w:rPr>
        <w:t>For undergraduates, completions</w:t>
      </w:r>
      <w:r w:rsidR="00EA2790">
        <w:rPr>
          <w:rFonts w:cstheme="minorHAnsi"/>
          <w:sz w:val="28"/>
          <w:szCs w:val="28"/>
        </w:rPr>
        <w:t>,</w:t>
      </w:r>
      <w:r w:rsidRPr="00E41C69">
        <w:rPr>
          <w:rFonts w:cstheme="minorHAnsi"/>
          <w:sz w:val="28"/>
          <w:szCs w:val="28"/>
        </w:rPr>
        <w:t xml:space="preserve"> as a percentage of total enrolment</w:t>
      </w:r>
      <w:r w:rsidR="00EA2790">
        <w:rPr>
          <w:rFonts w:cstheme="minorHAnsi"/>
          <w:sz w:val="28"/>
          <w:szCs w:val="28"/>
        </w:rPr>
        <w:t>,</w:t>
      </w:r>
      <w:r w:rsidRPr="00E41C69">
        <w:rPr>
          <w:rFonts w:cstheme="minorHAnsi"/>
          <w:sz w:val="28"/>
          <w:szCs w:val="28"/>
        </w:rPr>
        <w:t xml:space="preserve"> </w:t>
      </w:r>
      <w:r w:rsidR="00C95F24" w:rsidRPr="00E41C69">
        <w:rPr>
          <w:rFonts w:cstheme="minorHAnsi"/>
          <w:sz w:val="28"/>
          <w:szCs w:val="28"/>
        </w:rPr>
        <w:t xml:space="preserve">averaged </w:t>
      </w:r>
      <w:r w:rsidR="00EA2790">
        <w:rPr>
          <w:rFonts w:cstheme="minorHAnsi"/>
          <w:sz w:val="28"/>
          <w:szCs w:val="28"/>
        </w:rPr>
        <w:t>38%</w:t>
      </w:r>
      <w:r w:rsidR="00C95F24" w:rsidRPr="00E41C69">
        <w:rPr>
          <w:rFonts w:cstheme="minorHAnsi"/>
          <w:sz w:val="28"/>
          <w:szCs w:val="28"/>
        </w:rPr>
        <w:t>. For three-</w:t>
      </w:r>
      <w:r w:rsidRPr="00E41C69">
        <w:rPr>
          <w:rFonts w:cstheme="minorHAnsi"/>
          <w:sz w:val="28"/>
          <w:szCs w:val="28"/>
        </w:rPr>
        <w:t xml:space="preserve">year degree courses with stable intakes for the last three years, a 100% </w:t>
      </w:r>
      <w:r w:rsidR="00C95F24" w:rsidRPr="00E41C69">
        <w:rPr>
          <w:rFonts w:cstheme="minorHAnsi"/>
          <w:sz w:val="28"/>
          <w:szCs w:val="28"/>
        </w:rPr>
        <w:t xml:space="preserve">(cohort) </w:t>
      </w:r>
      <w:r w:rsidRPr="00E41C69">
        <w:rPr>
          <w:rFonts w:cstheme="minorHAnsi"/>
          <w:sz w:val="28"/>
          <w:szCs w:val="28"/>
        </w:rPr>
        <w:t>completion rate would be around 33%. However, looking at the ratios of completions to enrolments</w:t>
      </w:r>
      <w:r w:rsidR="003F67EF">
        <w:rPr>
          <w:rFonts w:cstheme="minorHAnsi"/>
          <w:sz w:val="28"/>
          <w:szCs w:val="28"/>
        </w:rPr>
        <w:t xml:space="preserve"> for individual universities</w:t>
      </w:r>
      <w:r w:rsidRPr="00E41C69">
        <w:rPr>
          <w:rFonts w:cstheme="minorHAnsi"/>
          <w:sz w:val="28"/>
          <w:szCs w:val="28"/>
        </w:rPr>
        <w:t>, it is clear that half of the u</w:t>
      </w:r>
      <w:r w:rsidR="003F67EF">
        <w:rPr>
          <w:rFonts w:cstheme="minorHAnsi"/>
          <w:sz w:val="28"/>
          <w:szCs w:val="28"/>
        </w:rPr>
        <w:t xml:space="preserve">niversities were either significantly </w:t>
      </w:r>
      <w:r w:rsidRPr="00E41C69">
        <w:rPr>
          <w:rFonts w:cstheme="minorHAnsi"/>
          <w:sz w:val="28"/>
          <w:szCs w:val="28"/>
        </w:rPr>
        <w:t xml:space="preserve">expanding or contracting their enrolments in their top three offshore enrolment countries so no robust conclusions can be drawn about the </w:t>
      </w:r>
      <w:r w:rsidR="00A51B29" w:rsidRPr="00E41C69">
        <w:rPr>
          <w:rFonts w:cstheme="minorHAnsi"/>
          <w:sz w:val="28"/>
          <w:szCs w:val="28"/>
        </w:rPr>
        <w:t xml:space="preserve">cohort </w:t>
      </w:r>
      <w:r w:rsidRPr="00E41C69">
        <w:rPr>
          <w:rFonts w:cstheme="minorHAnsi"/>
          <w:sz w:val="28"/>
          <w:szCs w:val="28"/>
        </w:rPr>
        <w:t>completion rate for offshore undergraduates.</w:t>
      </w:r>
    </w:p>
    <w:p w14:paraId="22C03C0E" w14:textId="77108BA0" w:rsidR="00FD14D5" w:rsidRDefault="00FD14D5" w:rsidP="00FD14D5">
      <w:pPr>
        <w:jc w:val="both"/>
        <w:rPr>
          <w:rFonts w:cstheme="minorHAnsi"/>
          <w:sz w:val="28"/>
          <w:szCs w:val="28"/>
        </w:rPr>
      </w:pPr>
      <w:r w:rsidRPr="00E41C69">
        <w:rPr>
          <w:rFonts w:cstheme="minorHAnsi"/>
          <w:sz w:val="28"/>
          <w:szCs w:val="28"/>
        </w:rPr>
        <w:t>Crude completion rates for offshore students studying for master’s degree courses at overseas partners are likely to be more accurate because most of these courses are only one year in duration. The average crude completion rate among the 31 universities who provided this information was 40.2% in 2016/17 which appears quite low. There is also very considerable variation in crude completion rates among these universities with a lower quartile figure of 20% and an upper quart</w:t>
      </w:r>
      <w:r w:rsidR="004A0133">
        <w:rPr>
          <w:rFonts w:cstheme="minorHAnsi"/>
          <w:sz w:val="28"/>
          <w:szCs w:val="28"/>
        </w:rPr>
        <w:t>ile figure of 57%</w:t>
      </w:r>
      <w:r w:rsidRPr="00E41C69">
        <w:rPr>
          <w:rFonts w:cstheme="minorHAnsi"/>
          <w:sz w:val="28"/>
          <w:szCs w:val="28"/>
        </w:rPr>
        <w:t>. Certainly, cohort completion rates are likely to be low among the half of the universities where completions as a percentage of total enrolments were less than 33%.</w:t>
      </w:r>
    </w:p>
    <w:p w14:paraId="23766DA0" w14:textId="297C5B1D" w:rsidR="008776DD" w:rsidRPr="00E41C69" w:rsidRDefault="00862CED" w:rsidP="00E114E2">
      <w:pPr>
        <w:jc w:val="both"/>
        <w:rPr>
          <w:rFonts w:cstheme="minorHAnsi"/>
          <w:sz w:val="28"/>
          <w:szCs w:val="28"/>
        </w:rPr>
      </w:pPr>
      <w:r w:rsidRPr="00E41C69">
        <w:rPr>
          <w:rFonts w:cstheme="minorHAnsi"/>
          <w:sz w:val="28"/>
          <w:szCs w:val="28"/>
        </w:rPr>
        <w:t xml:space="preserve">  </w:t>
      </w:r>
      <w:r w:rsidR="00B73B15" w:rsidRPr="00E41C69">
        <w:rPr>
          <w:rFonts w:cstheme="minorHAnsi"/>
          <w:sz w:val="28"/>
          <w:szCs w:val="28"/>
        </w:rPr>
        <w:t xml:space="preserve"> </w:t>
      </w:r>
    </w:p>
    <w:p w14:paraId="11586613" w14:textId="1F0F5A57" w:rsidR="00C9293A" w:rsidRDefault="00C9293A" w:rsidP="00E114E2">
      <w:pPr>
        <w:jc w:val="both"/>
        <w:rPr>
          <w:rFonts w:cstheme="minorHAnsi"/>
          <w:sz w:val="28"/>
          <w:szCs w:val="28"/>
        </w:rPr>
      </w:pPr>
    </w:p>
    <w:p w14:paraId="43CCBABB" w14:textId="77777777" w:rsidR="00FD14D5" w:rsidRDefault="00EC79AF" w:rsidP="00E114E2">
      <w:pPr>
        <w:jc w:val="both"/>
        <w:rPr>
          <w:rFonts w:cstheme="minorHAnsi"/>
          <w:sz w:val="28"/>
          <w:szCs w:val="28"/>
        </w:rPr>
      </w:pPr>
      <w:r>
        <w:rPr>
          <w:noProof/>
          <w:lang w:eastAsia="en-GB"/>
        </w:rPr>
        <w:lastRenderedPageBreak/>
        <w:drawing>
          <wp:inline distT="0" distB="0" distL="0" distR="0" wp14:anchorId="274D8B52" wp14:editId="32ACB9C5">
            <wp:extent cx="5400000" cy="2730649"/>
            <wp:effectExtent l="0" t="0" r="10795" b="1270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AF67DE" w14:textId="3043CEFC" w:rsidR="00955DB3" w:rsidRDefault="008C6E15" w:rsidP="00E114E2">
      <w:pPr>
        <w:jc w:val="both"/>
        <w:rPr>
          <w:rFonts w:cstheme="minorHAnsi"/>
          <w:sz w:val="28"/>
          <w:szCs w:val="28"/>
        </w:rPr>
      </w:pPr>
      <w:r w:rsidRPr="00E41C69">
        <w:rPr>
          <w:rFonts w:cstheme="minorHAnsi"/>
          <w:sz w:val="28"/>
          <w:szCs w:val="28"/>
        </w:rPr>
        <w:t xml:space="preserve">As </w:t>
      </w:r>
      <w:r w:rsidR="003F67EF">
        <w:rPr>
          <w:rFonts w:cstheme="minorHAnsi"/>
          <w:sz w:val="28"/>
          <w:szCs w:val="28"/>
        </w:rPr>
        <w:t xml:space="preserve">would be </w:t>
      </w:r>
      <w:r w:rsidRPr="00E41C69">
        <w:rPr>
          <w:rFonts w:cstheme="minorHAnsi"/>
          <w:sz w:val="28"/>
          <w:szCs w:val="28"/>
        </w:rPr>
        <w:t xml:space="preserve">expected, the crude completion rate for </w:t>
      </w:r>
      <w:r w:rsidR="00C95F24" w:rsidRPr="00E41C69">
        <w:rPr>
          <w:rFonts w:cstheme="minorHAnsi"/>
          <w:sz w:val="28"/>
          <w:szCs w:val="28"/>
        </w:rPr>
        <w:t>overseas distance learning</w:t>
      </w:r>
      <w:r w:rsidRPr="00E41C69">
        <w:rPr>
          <w:rFonts w:cstheme="minorHAnsi"/>
          <w:sz w:val="28"/>
          <w:szCs w:val="28"/>
        </w:rPr>
        <w:t xml:space="preserve"> master’s students is considerably lower at 27%. Again, the variation among the 16 universities providing this information is very large (see figure </w:t>
      </w:r>
      <w:r w:rsidR="00E9016A">
        <w:rPr>
          <w:rFonts w:cstheme="minorHAnsi"/>
          <w:sz w:val="28"/>
          <w:szCs w:val="28"/>
        </w:rPr>
        <w:t>6</w:t>
      </w:r>
      <w:r w:rsidRPr="00E41C69">
        <w:rPr>
          <w:rFonts w:cstheme="minorHAnsi"/>
          <w:sz w:val="28"/>
          <w:szCs w:val="28"/>
        </w:rPr>
        <w:t xml:space="preserve">). </w:t>
      </w:r>
      <w:r w:rsidR="00A51B29" w:rsidRPr="00E41C69">
        <w:rPr>
          <w:rFonts w:cstheme="minorHAnsi"/>
          <w:sz w:val="28"/>
          <w:szCs w:val="28"/>
        </w:rPr>
        <w:t xml:space="preserve"> Typically, distance learning students take two-three times longer to complete their degrees than conventional, full-time students but</w:t>
      </w:r>
      <w:r w:rsidR="003F67EF">
        <w:rPr>
          <w:rFonts w:cstheme="minorHAnsi"/>
          <w:sz w:val="28"/>
          <w:szCs w:val="28"/>
        </w:rPr>
        <w:t>,</w:t>
      </w:r>
      <w:r w:rsidR="00A51B29" w:rsidRPr="00E41C69">
        <w:rPr>
          <w:rFonts w:cstheme="minorHAnsi"/>
          <w:sz w:val="28"/>
          <w:szCs w:val="28"/>
        </w:rPr>
        <w:t xml:space="preserve"> at half of these universities</w:t>
      </w:r>
      <w:r w:rsidR="003F67EF">
        <w:rPr>
          <w:rFonts w:cstheme="minorHAnsi"/>
          <w:sz w:val="28"/>
          <w:szCs w:val="28"/>
        </w:rPr>
        <w:t>,</w:t>
      </w:r>
      <w:r w:rsidR="00A51B29" w:rsidRPr="00E41C69">
        <w:rPr>
          <w:rFonts w:cstheme="minorHAnsi"/>
          <w:sz w:val="28"/>
          <w:szCs w:val="28"/>
        </w:rPr>
        <w:t xml:space="preserve"> completions as a percentage of total enrolments were below 25% which suggests that cohort completion rates are quite low.</w:t>
      </w:r>
    </w:p>
    <w:p w14:paraId="5834F850" w14:textId="77777777" w:rsidR="00045343" w:rsidRDefault="00045343" w:rsidP="00E114E2">
      <w:pPr>
        <w:jc w:val="both"/>
        <w:rPr>
          <w:rFonts w:cstheme="minorHAnsi"/>
          <w:sz w:val="28"/>
          <w:szCs w:val="28"/>
        </w:rPr>
      </w:pPr>
    </w:p>
    <w:p w14:paraId="36D05C1A" w14:textId="09273CF3" w:rsidR="006E21C2" w:rsidRPr="00205F19" w:rsidRDefault="00CD3620" w:rsidP="00FD435B">
      <w:pPr>
        <w:pStyle w:val="FILHeader1"/>
      </w:pPr>
      <w:bookmarkStart w:id="19" w:name="_Toc531957318"/>
      <w:r w:rsidRPr="00205F19">
        <w:t>GROWTH PROSPECTS</w:t>
      </w:r>
      <w:bookmarkEnd w:id="19"/>
      <w:r w:rsidRPr="00205F19">
        <w:t xml:space="preserve"> </w:t>
      </w:r>
    </w:p>
    <w:p w14:paraId="451480EC" w14:textId="5363AD75" w:rsidR="00F11FF6" w:rsidRPr="000672E5" w:rsidRDefault="00F11FF6" w:rsidP="00C102D5">
      <w:pPr>
        <w:jc w:val="both"/>
        <w:rPr>
          <w:rFonts w:cstheme="minorHAnsi"/>
          <w:sz w:val="28"/>
          <w:szCs w:val="28"/>
        </w:rPr>
      </w:pPr>
      <w:r w:rsidRPr="000672E5">
        <w:rPr>
          <w:rFonts w:cstheme="minorHAnsi"/>
          <w:sz w:val="28"/>
          <w:szCs w:val="28"/>
        </w:rPr>
        <w:t xml:space="preserve">The </w:t>
      </w:r>
      <w:r w:rsidR="00EA5FAB" w:rsidRPr="000672E5">
        <w:rPr>
          <w:rFonts w:cstheme="minorHAnsi"/>
          <w:sz w:val="28"/>
          <w:szCs w:val="28"/>
        </w:rPr>
        <w:t xml:space="preserve">quantitative </w:t>
      </w:r>
      <w:r w:rsidRPr="000672E5">
        <w:rPr>
          <w:rFonts w:cstheme="minorHAnsi"/>
          <w:sz w:val="28"/>
          <w:szCs w:val="28"/>
        </w:rPr>
        <w:t>evidence presented in this re</w:t>
      </w:r>
      <w:r w:rsidR="00EA5FAB" w:rsidRPr="000672E5">
        <w:rPr>
          <w:rFonts w:cstheme="minorHAnsi"/>
          <w:sz w:val="28"/>
          <w:szCs w:val="28"/>
        </w:rPr>
        <w:t xml:space="preserve">port provides a </w:t>
      </w:r>
      <w:r w:rsidR="00367C2E" w:rsidRPr="000672E5">
        <w:rPr>
          <w:rFonts w:cstheme="minorHAnsi"/>
          <w:sz w:val="28"/>
          <w:szCs w:val="28"/>
        </w:rPr>
        <w:t xml:space="preserve">good </w:t>
      </w:r>
      <w:r w:rsidR="00EA5FAB" w:rsidRPr="000672E5">
        <w:rPr>
          <w:rFonts w:cstheme="minorHAnsi"/>
          <w:sz w:val="28"/>
          <w:szCs w:val="28"/>
        </w:rPr>
        <w:t xml:space="preserve">starting point for an </w:t>
      </w:r>
      <w:r w:rsidRPr="000672E5">
        <w:rPr>
          <w:rFonts w:cstheme="minorHAnsi"/>
          <w:sz w:val="28"/>
          <w:szCs w:val="28"/>
        </w:rPr>
        <w:t>objective assessment</w:t>
      </w:r>
      <w:r w:rsidR="00EA5FAB" w:rsidRPr="000672E5">
        <w:rPr>
          <w:rFonts w:cstheme="minorHAnsi"/>
          <w:sz w:val="28"/>
          <w:szCs w:val="28"/>
        </w:rPr>
        <w:t xml:space="preserve"> of the growth prospects of offshore provision. However, this needs to be supplemented with in-depth interviews with key managers in a representative sample of both UK universities and, where appropriate, their overseas partners. Consequently, the following discussion of growth prospects should be treated as quite tentative and subject, therefore, to considerable revision in the light of new evidence, both quantitative and qualitative. </w:t>
      </w:r>
    </w:p>
    <w:p w14:paraId="5B450A5D" w14:textId="7A66365F" w:rsidR="00776903" w:rsidRPr="000672E5" w:rsidRDefault="00776903" w:rsidP="00776903">
      <w:pPr>
        <w:jc w:val="both"/>
        <w:rPr>
          <w:rFonts w:cstheme="minorHAnsi"/>
          <w:sz w:val="28"/>
          <w:szCs w:val="28"/>
        </w:rPr>
      </w:pPr>
      <w:r w:rsidRPr="000672E5">
        <w:rPr>
          <w:rFonts w:cstheme="minorHAnsi"/>
          <w:sz w:val="28"/>
          <w:szCs w:val="28"/>
        </w:rPr>
        <w:t xml:space="preserve">Previous official/quasi-official reports </w:t>
      </w:r>
      <w:r w:rsidR="00E55A4D">
        <w:rPr>
          <w:rFonts w:cstheme="minorHAnsi"/>
          <w:sz w:val="28"/>
          <w:szCs w:val="28"/>
        </w:rPr>
        <w:t>on TNE</w:t>
      </w:r>
      <w:r w:rsidRPr="000672E5">
        <w:rPr>
          <w:rFonts w:cstheme="minorHAnsi"/>
          <w:sz w:val="28"/>
          <w:szCs w:val="28"/>
        </w:rPr>
        <w:t xml:space="preserve"> are all consistently optimistic about the both the enrolment and revenue growth prospects for offshore student provision. However, as mentioned in the Introduction, given the </w:t>
      </w:r>
      <w:r w:rsidRPr="000672E5">
        <w:rPr>
          <w:rFonts w:cstheme="minorHAnsi"/>
          <w:sz w:val="28"/>
          <w:szCs w:val="28"/>
        </w:rPr>
        <w:lastRenderedPageBreak/>
        <w:t xml:space="preserve">primary advocacy purpose of these reports, they tend to have a strong ‘optimism bias’. </w:t>
      </w:r>
    </w:p>
    <w:p w14:paraId="02AB75D2" w14:textId="61A536E0" w:rsidR="00A260E3" w:rsidRPr="000672E5" w:rsidRDefault="00E55A4D" w:rsidP="00282AB8">
      <w:pPr>
        <w:jc w:val="both"/>
        <w:rPr>
          <w:rFonts w:cstheme="minorHAnsi"/>
          <w:b/>
          <w:sz w:val="28"/>
          <w:szCs w:val="28"/>
        </w:rPr>
      </w:pPr>
      <w:r>
        <w:rPr>
          <w:rFonts w:cstheme="minorHAnsi"/>
          <w:b/>
          <w:sz w:val="28"/>
          <w:szCs w:val="28"/>
        </w:rPr>
        <w:t>5.1 OVERSEAS PARTNERSHIPS</w:t>
      </w:r>
    </w:p>
    <w:p w14:paraId="75171C43" w14:textId="77777777" w:rsidR="00432A63" w:rsidRDefault="00432A63" w:rsidP="00282AB8">
      <w:pPr>
        <w:jc w:val="both"/>
        <w:rPr>
          <w:rFonts w:cstheme="minorHAnsi"/>
          <w:sz w:val="28"/>
          <w:szCs w:val="28"/>
        </w:rPr>
      </w:pPr>
      <w:r>
        <w:rPr>
          <w:rFonts w:cstheme="minorHAnsi"/>
          <w:b/>
          <w:sz w:val="28"/>
          <w:szCs w:val="28"/>
        </w:rPr>
        <w:t xml:space="preserve">5.1.1 </w:t>
      </w:r>
      <w:r w:rsidR="00776903" w:rsidRPr="000672E5">
        <w:rPr>
          <w:rFonts w:cstheme="minorHAnsi"/>
          <w:b/>
          <w:sz w:val="28"/>
          <w:szCs w:val="28"/>
        </w:rPr>
        <w:t>Rationalisation and consolidation</w:t>
      </w:r>
    </w:p>
    <w:p w14:paraId="06D39936" w14:textId="12A42AB5" w:rsidR="004C55E1" w:rsidRPr="000672E5" w:rsidRDefault="00527184" w:rsidP="00282AB8">
      <w:pPr>
        <w:jc w:val="both"/>
        <w:rPr>
          <w:rFonts w:cstheme="minorHAnsi"/>
          <w:sz w:val="28"/>
          <w:szCs w:val="28"/>
        </w:rPr>
      </w:pPr>
      <w:r w:rsidRPr="000672E5">
        <w:rPr>
          <w:rFonts w:cstheme="minorHAnsi"/>
          <w:sz w:val="28"/>
          <w:szCs w:val="28"/>
        </w:rPr>
        <w:t>A g</w:t>
      </w:r>
      <w:r w:rsidR="00085421" w:rsidRPr="000672E5">
        <w:rPr>
          <w:rFonts w:cstheme="minorHAnsi"/>
          <w:sz w:val="28"/>
          <w:szCs w:val="28"/>
        </w:rPr>
        <w:t xml:space="preserve">rowing number of </w:t>
      </w:r>
      <w:r w:rsidR="00A855B6" w:rsidRPr="000672E5">
        <w:rPr>
          <w:rFonts w:cstheme="minorHAnsi"/>
          <w:sz w:val="28"/>
          <w:szCs w:val="28"/>
        </w:rPr>
        <w:t xml:space="preserve">UK </w:t>
      </w:r>
      <w:r w:rsidR="00B048F0" w:rsidRPr="000672E5">
        <w:rPr>
          <w:rFonts w:cstheme="minorHAnsi"/>
          <w:sz w:val="28"/>
          <w:szCs w:val="28"/>
        </w:rPr>
        <w:t>universities</w:t>
      </w:r>
      <w:r w:rsidR="00EA5FAB" w:rsidRPr="000672E5">
        <w:rPr>
          <w:rFonts w:cstheme="minorHAnsi"/>
          <w:sz w:val="28"/>
          <w:szCs w:val="28"/>
        </w:rPr>
        <w:t>,</w:t>
      </w:r>
      <w:r w:rsidR="00B048F0" w:rsidRPr="000672E5">
        <w:rPr>
          <w:rFonts w:cstheme="minorHAnsi"/>
          <w:sz w:val="28"/>
          <w:szCs w:val="28"/>
        </w:rPr>
        <w:t xml:space="preserve"> especially </w:t>
      </w:r>
      <w:r w:rsidR="0035770C" w:rsidRPr="000672E5">
        <w:rPr>
          <w:rFonts w:cstheme="minorHAnsi"/>
          <w:sz w:val="28"/>
          <w:szCs w:val="28"/>
        </w:rPr>
        <w:t>those wit</w:t>
      </w:r>
      <w:r w:rsidR="004C55E1" w:rsidRPr="000672E5">
        <w:rPr>
          <w:rFonts w:cstheme="minorHAnsi"/>
          <w:sz w:val="28"/>
          <w:szCs w:val="28"/>
        </w:rPr>
        <w:t>h very large enrolments of low-</w:t>
      </w:r>
      <w:r w:rsidR="0035770C" w:rsidRPr="000672E5">
        <w:rPr>
          <w:rFonts w:cstheme="minorHAnsi"/>
          <w:sz w:val="28"/>
          <w:szCs w:val="28"/>
        </w:rPr>
        <w:t>return FVA courses</w:t>
      </w:r>
      <w:r w:rsidR="00A855B6" w:rsidRPr="000672E5">
        <w:rPr>
          <w:rFonts w:cstheme="minorHAnsi"/>
          <w:sz w:val="28"/>
          <w:szCs w:val="28"/>
        </w:rPr>
        <w:t>,</w:t>
      </w:r>
      <w:r w:rsidR="0035770C" w:rsidRPr="000672E5">
        <w:rPr>
          <w:rFonts w:cstheme="minorHAnsi"/>
          <w:sz w:val="28"/>
          <w:szCs w:val="28"/>
        </w:rPr>
        <w:t xml:space="preserve"> </w:t>
      </w:r>
      <w:r w:rsidR="00085421" w:rsidRPr="000672E5">
        <w:rPr>
          <w:rFonts w:cstheme="minorHAnsi"/>
          <w:sz w:val="28"/>
          <w:szCs w:val="28"/>
        </w:rPr>
        <w:t xml:space="preserve">are re-evaluating their </w:t>
      </w:r>
      <w:r w:rsidR="0035770C" w:rsidRPr="000672E5">
        <w:rPr>
          <w:rFonts w:cstheme="minorHAnsi"/>
          <w:sz w:val="28"/>
          <w:szCs w:val="28"/>
        </w:rPr>
        <w:t>overseas partnership strategies. Many</w:t>
      </w:r>
      <w:r w:rsidR="00085421" w:rsidRPr="000672E5">
        <w:rPr>
          <w:rFonts w:cstheme="minorHAnsi"/>
          <w:sz w:val="28"/>
          <w:szCs w:val="28"/>
        </w:rPr>
        <w:t xml:space="preserve"> have been heavily involved in offshore </w:t>
      </w:r>
      <w:r w:rsidR="00A855B6" w:rsidRPr="000672E5">
        <w:rPr>
          <w:rFonts w:cstheme="minorHAnsi"/>
          <w:sz w:val="28"/>
          <w:szCs w:val="28"/>
        </w:rPr>
        <w:t xml:space="preserve">collaborative </w:t>
      </w:r>
      <w:r w:rsidR="00085421" w:rsidRPr="000672E5">
        <w:rPr>
          <w:rFonts w:cstheme="minorHAnsi"/>
          <w:sz w:val="28"/>
          <w:szCs w:val="28"/>
        </w:rPr>
        <w:t>provision for the last twenty years and have</w:t>
      </w:r>
      <w:r w:rsidR="0035770C" w:rsidRPr="000672E5">
        <w:rPr>
          <w:rFonts w:cstheme="minorHAnsi"/>
          <w:sz w:val="28"/>
          <w:szCs w:val="28"/>
        </w:rPr>
        <w:t xml:space="preserve"> now</w:t>
      </w:r>
      <w:r w:rsidRPr="000672E5">
        <w:rPr>
          <w:rFonts w:cstheme="minorHAnsi"/>
          <w:sz w:val="28"/>
          <w:szCs w:val="28"/>
        </w:rPr>
        <w:t>,</w:t>
      </w:r>
      <w:r w:rsidR="00085421" w:rsidRPr="000672E5">
        <w:rPr>
          <w:rFonts w:cstheme="minorHAnsi"/>
          <w:sz w:val="28"/>
          <w:szCs w:val="28"/>
        </w:rPr>
        <w:t xml:space="preserve"> therefore</w:t>
      </w:r>
      <w:r w:rsidRPr="000672E5">
        <w:rPr>
          <w:rFonts w:cstheme="minorHAnsi"/>
          <w:sz w:val="28"/>
          <w:szCs w:val="28"/>
        </w:rPr>
        <w:t>,</w:t>
      </w:r>
      <w:r w:rsidR="00085421" w:rsidRPr="000672E5">
        <w:rPr>
          <w:rFonts w:cstheme="minorHAnsi"/>
          <w:sz w:val="28"/>
          <w:szCs w:val="28"/>
        </w:rPr>
        <w:t xml:space="preserve"> </w:t>
      </w:r>
      <w:r w:rsidR="00B809F2" w:rsidRPr="000672E5">
        <w:rPr>
          <w:rFonts w:cstheme="minorHAnsi"/>
          <w:sz w:val="28"/>
          <w:szCs w:val="28"/>
        </w:rPr>
        <w:t xml:space="preserve">sufficient </w:t>
      </w:r>
      <w:r w:rsidR="00085421" w:rsidRPr="000672E5">
        <w:rPr>
          <w:rFonts w:cstheme="minorHAnsi"/>
          <w:sz w:val="28"/>
          <w:szCs w:val="28"/>
        </w:rPr>
        <w:t>experience to take stock.</w:t>
      </w:r>
      <w:r w:rsidR="00003F8D" w:rsidRPr="000672E5">
        <w:rPr>
          <w:rFonts w:cstheme="minorHAnsi"/>
          <w:sz w:val="28"/>
          <w:szCs w:val="28"/>
        </w:rPr>
        <w:t xml:space="preserve"> </w:t>
      </w:r>
      <w:r w:rsidR="00282AB8" w:rsidRPr="000672E5">
        <w:rPr>
          <w:rFonts w:cstheme="minorHAnsi"/>
          <w:sz w:val="28"/>
          <w:szCs w:val="28"/>
        </w:rPr>
        <w:t>The following extract from 2016/17 Annual Report of Heriot Watt University, which is perhaps the most interna</w:t>
      </w:r>
      <w:r w:rsidR="004C55E1" w:rsidRPr="000672E5">
        <w:rPr>
          <w:rFonts w:cstheme="minorHAnsi"/>
          <w:sz w:val="28"/>
          <w:szCs w:val="28"/>
        </w:rPr>
        <w:t xml:space="preserve">tional </w:t>
      </w:r>
      <w:r w:rsidR="00282AB8" w:rsidRPr="000672E5">
        <w:rPr>
          <w:rFonts w:cstheme="minorHAnsi"/>
          <w:sz w:val="28"/>
          <w:szCs w:val="28"/>
        </w:rPr>
        <w:t>university in the UK</w:t>
      </w:r>
      <w:r w:rsidR="00F56D36">
        <w:rPr>
          <w:rFonts w:cstheme="minorHAnsi"/>
          <w:sz w:val="28"/>
          <w:szCs w:val="28"/>
        </w:rPr>
        <w:t>,</w:t>
      </w:r>
      <w:r w:rsidR="00282AB8" w:rsidRPr="000672E5">
        <w:rPr>
          <w:rFonts w:cstheme="minorHAnsi"/>
          <w:sz w:val="28"/>
          <w:szCs w:val="28"/>
        </w:rPr>
        <w:t xml:space="preserve"> is a good example of this</w:t>
      </w:r>
      <w:r w:rsidR="008C5D2A" w:rsidRPr="000672E5">
        <w:rPr>
          <w:rFonts w:cstheme="minorHAnsi"/>
          <w:sz w:val="28"/>
          <w:szCs w:val="28"/>
        </w:rPr>
        <w:t xml:space="preserve"> </w:t>
      </w:r>
      <w:r w:rsidR="001E770A" w:rsidRPr="000672E5">
        <w:rPr>
          <w:rFonts w:cstheme="minorHAnsi"/>
          <w:sz w:val="28"/>
          <w:szCs w:val="28"/>
        </w:rPr>
        <w:t xml:space="preserve">process of </w:t>
      </w:r>
      <w:r w:rsidR="008C5D2A" w:rsidRPr="000672E5">
        <w:rPr>
          <w:rFonts w:cstheme="minorHAnsi"/>
          <w:sz w:val="28"/>
          <w:szCs w:val="28"/>
        </w:rPr>
        <w:t>strategic refocusing</w:t>
      </w:r>
      <w:r w:rsidR="00282AB8" w:rsidRPr="000672E5">
        <w:rPr>
          <w:rFonts w:cstheme="minorHAnsi"/>
          <w:sz w:val="28"/>
          <w:szCs w:val="28"/>
        </w:rPr>
        <w:t xml:space="preserve">. </w:t>
      </w:r>
    </w:p>
    <w:p w14:paraId="7EA96EA1" w14:textId="77777777" w:rsidR="00282AB8" w:rsidRPr="000672E5" w:rsidRDefault="00282AB8" w:rsidP="00282AB8">
      <w:pPr>
        <w:jc w:val="both"/>
        <w:rPr>
          <w:rFonts w:cstheme="minorHAnsi"/>
          <w:sz w:val="28"/>
          <w:szCs w:val="28"/>
        </w:rPr>
      </w:pPr>
      <w:r w:rsidRPr="000672E5">
        <w:rPr>
          <w:rFonts w:cstheme="minorHAnsi"/>
          <w:sz w:val="28"/>
          <w:szCs w:val="28"/>
        </w:rPr>
        <w:t xml:space="preserve">’Over the last two years, even with the growth in student numbers at our own international campuses, our transnational student numbers have remained static at around 15,000…The University is undoubtedly facing competition from other large players and from a growth in the number of institutions participating in transnational activity. However, ….erosion in numbers has not been mirrored in terms of erosion of revenues; reflecting both the value of operating on our own campuses and a shift away from high volume-low revenue partnerships to more rewarding activity with accredited partners and particularly in international distance learning. Looking forward, the university has ambitious plans to maintain planned growth in international activity by strengthening the global nature of its postgraduate programmes, offering greater flexibility in subject choice, location, and mode of study, </w:t>
      </w:r>
    </w:p>
    <w:p w14:paraId="4506084C" w14:textId="77777777" w:rsidR="00003F8D" w:rsidRPr="000672E5" w:rsidRDefault="008C5D2A" w:rsidP="00E114E2">
      <w:pPr>
        <w:jc w:val="both"/>
        <w:rPr>
          <w:rFonts w:cstheme="minorHAnsi"/>
          <w:sz w:val="28"/>
          <w:szCs w:val="28"/>
        </w:rPr>
      </w:pPr>
      <w:r w:rsidRPr="000672E5">
        <w:rPr>
          <w:rFonts w:cstheme="minorHAnsi"/>
          <w:sz w:val="28"/>
          <w:szCs w:val="28"/>
        </w:rPr>
        <w:t xml:space="preserve">With generally </w:t>
      </w:r>
      <w:r w:rsidR="00776903" w:rsidRPr="000672E5">
        <w:rPr>
          <w:rFonts w:cstheme="minorHAnsi"/>
          <w:sz w:val="28"/>
          <w:szCs w:val="28"/>
        </w:rPr>
        <w:t xml:space="preserve">small </w:t>
      </w:r>
      <w:r w:rsidRPr="000672E5">
        <w:rPr>
          <w:rFonts w:cstheme="minorHAnsi"/>
          <w:sz w:val="28"/>
          <w:szCs w:val="28"/>
        </w:rPr>
        <w:t>and, at least relatively speaking, declining financi</w:t>
      </w:r>
      <w:r w:rsidR="00003F8D" w:rsidRPr="000672E5">
        <w:rPr>
          <w:rFonts w:cstheme="minorHAnsi"/>
          <w:sz w:val="28"/>
          <w:szCs w:val="28"/>
        </w:rPr>
        <w:t xml:space="preserve">al returns, </w:t>
      </w:r>
      <w:r w:rsidRPr="000672E5">
        <w:rPr>
          <w:rFonts w:cstheme="minorHAnsi"/>
          <w:sz w:val="28"/>
          <w:szCs w:val="28"/>
        </w:rPr>
        <w:t xml:space="preserve">universities are </w:t>
      </w:r>
      <w:r w:rsidR="00003F8D" w:rsidRPr="000672E5">
        <w:rPr>
          <w:rFonts w:cstheme="minorHAnsi"/>
          <w:sz w:val="28"/>
          <w:szCs w:val="28"/>
        </w:rPr>
        <w:t xml:space="preserve">also </w:t>
      </w:r>
      <w:r w:rsidRPr="000672E5">
        <w:rPr>
          <w:rFonts w:cstheme="minorHAnsi"/>
          <w:sz w:val="28"/>
          <w:szCs w:val="28"/>
        </w:rPr>
        <w:t>paying more attention to the non-financial benefits of overseas partnerships and</w:t>
      </w:r>
      <w:r w:rsidR="00003F8D" w:rsidRPr="000672E5">
        <w:rPr>
          <w:rFonts w:cstheme="minorHAnsi"/>
          <w:sz w:val="28"/>
          <w:szCs w:val="28"/>
        </w:rPr>
        <w:t>,</w:t>
      </w:r>
      <w:r w:rsidRPr="000672E5">
        <w:rPr>
          <w:rFonts w:cstheme="minorHAnsi"/>
          <w:sz w:val="28"/>
          <w:szCs w:val="28"/>
        </w:rPr>
        <w:t xml:space="preserve"> more broadly</w:t>
      </w:r>
      <w:r w:rsidR="00003F8D" w:rsidRPr="000672E5">
        <w:rPr>
          <w:rFonts w:cstheme="minorHAnsi"/>
          <w:sz w:val="28"/>
          <w:szCs w:val="28"/>
        </w:rPr>
        <w:t>,</w:t>
      </w:r>
      <w:r w:rsidRPr="000672E5">
        <w:rPr>
          <w:rFonts w:cstheme="minorHAnsi"/>
          <w:sz w:val="28"/>
          <w:szCs w:val="28"/>
        </w:rPr>
        <w:t xml:space="preserve"> their ‘global engagement’. </w:t>
      </w:r>
      <w:r w:rsidR="00003F8D" w:rsidRPr="000672E5">
        <w:rPr>
          <w:rFonts w:cstheme="minorHAnsi"/>
          <w:sz w:val="28"/>
          <w:szCs w:val="28"/>
        </w:rPr>
        <w:t xml:space="preserve">This is especially the case for the richer, higher status universities which, with usually large numbers of relatively highly lucrative onshore overseas students, do not have particularly strong financial incentives to become heavily involved in </w:t>
      </w:r>
      <w:r w:rsidR="004C55E1" w:rsidRPr="000672E5">
        <w:rPr>
          <w:rFonts w:cstheme="minorHAnsi"/>
          <w:sz w:val="28"/>
          <w:szCs w:val="28"/>
        </w:rPr>
        <w:t xml:space="preserve">generally </w:t>
      </w:r>
      <w:r w:rsidR="00003F8D" w:rsidRPr="000672E5">
        <w:rPr>
          <w:rFonts w:cstheme="minorHAnsi"/>
          <w:sz w:val="28"/>
          <w:szCs w:val="28"/>
        </w:rPr>
        <w:t>much higher risk</w:t>
      </w:r>
      <w:r w:rsidR="00776903" w:rsidRPr="000672E5">
        <w:rPr>
          <w:rFonts w:cstheme="minorHAnsi"/>
          <w:sz w:val="28"/>
          <w:szCs w:val="28"/>
        </w:rPr>
        <w:t>-lower return</w:t>
      </w:r>
      <w:r w:rsidR="00003F8D" w:rsidRPr="000672E5">
        <w:rPr>
          <w:rFonts w:cstheme="minorHAnsi"/>
          <w:sz w:val="28"/>
          <w:szCs w:val="28"/>
        </w:rPr>
        <w:t xml:space="preserve"> offshore provision.  </w:t>
      </w:r>
    </w:p>
    <w:p w14:paraId="137912DF" w14:textId="744A5B4C" w:rsidR="00296D8F" w:rsidRPr="000672E5" w:rsidRDefault="008C5D2A" w:rsidP="00296D8F">
      <w:pPr>
        <w:jc w:val="both"/>
        <w:rPr>
          <w:rFonts w:cstheme="minorHAnsi"/>
          <w:sz w:val="28"/>
          <w:szCs w:val="28"/>
        </w:rPr>
      </w:pPr>
      <w:r w:rsidRPr="000672E5">
        <w:rPr>
          <w:rFonts w:cstheme="minorHAnsi"/>
          <w:sz w:val="28"/>
          <w:szCs w:val="28"/>
        </w:rPr>
        <w:t>Other</w:t>
      </w:r>
      <w:r w:rsidR="00296D8F" w:rsidRPr="000672E5">
        <w:rPr>
          <w:rFonts w:cstheme="minorHAnsi"/>
          <w:sz w:val="28"/>
          <w:szCs w:val="28"/>
        </w:rPr>
        <w:t xml:space="preserve"> universities </w:t>
      </w:r>
      <w:r w:rsidRPr="000672E5">
        <w:rPr>
          <w:rFonts w:cstheme="minorHAnsi"/>
          <w:sz w:val="28"/>
          <w:szCs w:val="28"/>
        </w:rPr>
        <w:t>are increasingly concerned about the ‘overall fit’ of offshore student provision with the university’s overall medium-long term strategy.</w:t>
      </w:r>
      <w:r w:rsidR="00296D8F" w:rsidRPr="000672E5">
        <w:rPr>
          <w:rFonts w:cstheme="minorHAnsi"/>
          <w:sz w:val="28"/>
          <w:szCs w:val="28"/>
        </w:rPr>
        <w:t xml:space="preserve"> </w:t>
      </w:r>
      <w:r w:rsidR="00296D8F" w:rsidRPr="000672E5">
        <w:rPr>
          <w:rFonts w:cstheme="minorHAnsi"/>
          <w:sz w:val="28"/>
          <w:szCs w:val="28"/>
        </w:rPr>
        <w:lastRenderedPageBreak/>
        <w:t>There is increasing emphasis on how overseas partnerships support research activities and objectives. Where this is seen to be sub-optimal, universities are prepared to exit (disinvest) from these partnerships. A notable recent example is Lancaster University’</w:t>
      </w:r>
      <w:r w:rsidR="001E770A" w:rsidRPr="000672E5">
        <w:rPr>
          <w:rFonts w:cstheme="minorHAnsi"/>
          <w:sz w:val="28"/>
          <w:szCs w:val="28"/>
        </w:rPr>
        <w:t>s decision to end its</w:t>
      </w:r>
      <w:r w:rsidR="00296D8F" w:rsidRPr="000672E5">
        <w:rPr>
          <w:rFonts w:cstheme="minorHAnsi"/>
          <w:sz w:val="28"/>
          <w:szCs w:val="28"/>
        </w:rPr>
        <w:t xml:space="preserve"> partnerships in India and Pakistan with </w:t>
      </w:r>
      <w:r w:rsidR="00D366F8">
        <w:rPr>
          <w:rFonts w:cstheme="minorHAnsi"/>
          <w:sz w:val="28"/>
          <w:szCs w:val="28"/>
        </w:rPr>
        <w:t>a combined enrolment of 3,3</w:t>
      </w:r>
      <w:r w:rsidR="00296D8F" w:rsidRPr="000672E5">
        <w:rPr>
          <w:rFonts w:cstheme="minorHAnsi"/>
          <w:sz w:val="28"/>
          <w:szCs w:val="28"/>
        </w:rPr>
        <w:t xml:space="preserve">00 students. Nottingham Trent University is also withdrawing from India and Malaysia (with combined enrolments of </w:t>
      </w:r>
      <w:r w:rsidR="00EB2F75">
        <w:rPr>
          <w:rFonts w:cstheme="minorHAnsi"/>
          <w:sz w:val="28"/>
          <w:szCs w:val="28"/>
        </w:rPr>
        <w:t>3,600</w:t>
      </w:r>
      <w:r w:rsidR="00296D8F" w:rsidRPr="000672E5">
        <w:rPr>
          <w:rFonts w:cstheme="minorHAnsi"/>
          <w:sz w:val="28"/>
          <w:szCs w:val="28"/>
        </w:rPr>
        <w:t>).</w:t>
      </w:r>
    </w:p>
    <w:p w14:paraId="26D59E86" w14:textId="269B0914" w:rsidR="00527184" w:rsidRDefault="00DF08C0" w:rsidP="00E114E2">
      <w:pPr>
        <w:jc w:val="both"/>
        <w:rPr>
          <w:rFonts w:cstheme="minorHAnsi"/>
          <w:sz w:val="28"/>
          <w:szCs w:val="28"/>
        </w:rPr>
      </w:pPr>
      <w:r w:rsidRPr="000672E5">
        <w:rPr>
          <w:rFonts w:cstheme="minorHAnsi"/>
          <w:sz w:val="28"/>
          <w:szCs w:val="28"/>
        </w:rPr>
        <w:t>With the g</w:t>
      </w:r>
      <w:r w:rsidR="00527184" w:rsidRPr="000672E5">
        <w:rPr>
          <w:rFonts w:cstheme="minorHAnsi"/>
          <w:sz w:val="28"/>
          <w:szCs w:val="28"/>
        </w:rPr>
        <w:t xml:space="preserve">rowing emphasis on </w:t>
      </w:r>
      <w:r w:rsidRPr="000672E5">
        <w:rPr>
          <w:rFonts w:cstheme="minorHAnsi"/>
          <w:sz w:val="28"/>
          <w:szCs w:val="28"/>
        </w:rPr>
        <w:t xml:space="preserve">the </w:t>
      </w:r>
      <w:r w:rsidR="00527184" w:rsidRPr="000672E5">
        <w:rPr>
          <w:rFonts w:cstheme="minorHAnsi"/>
          <w:sz w:val="28"/>
          <w:szCs w:val="28"/>
        </w:rPr>
        <w:t>quality of partnerships</w:t>
      </w:r>
      <w:r w:rsidRPr="000672E5">
        <w:rPr>
          <w:rFonts w:cstheme="minorHAnsi"/>
          <w:sz w:val="28"/>
          <w:szCs w:val="28"/>
        </w:rPr>
        <w:t>, UK universities, in particular those red brick and higher status plate glass universities which have been involved w</w:t>
      </w:r>
      <w:r w:rsidR="00A260E3" w:rsidRPr="000672E5">
        <w:rPr>
          <w:rFonts w:cstheme="minorHAnsi"/>
          <w:sz w:val="28"/>
          <w:szCs w:val="28"/>
        </w:rPr>
        <w:t xml:space="preserve">ith offshore provision for </w:t>
      </w:r>
      <w:r w:rsidR="00A855B6" w:rsidRPr="000672E5">
        <w:rPr>
          <w:rFonts w:cstheme="minorHAnsi"/>
          <w:sz w:val="28"/>
          <w:szCs w:val="28"/>
        </w:rPr>
        <w:t xml:space="preserve">more than </w:t>
      </w:r>
      <w:r w:rsidR="00A260E3" w:rsidRPr="000672E5">
        <w:rPr>
          <w:rFonts w:cstheme="minorHAnsi"/>
          <w:sz w:val="28"/>
          <w:szCs w:val="28"/>
        </w:rPr>
        <w:t>a decade</w:t>
      </w:r>
      <w:r w:rsidRPr="000672E5">
        <w:rPr>
          <w:rFonts w:cstheme="minorHAnsi"/>
          <w:sz w:val="28"/>
          <w:szCs w:val="28"/>
        </w:rPr>
        <w:t>, are focusing more on collaborative partnerships and other kinds of joint ventures.</w:t>
      </w:r>
      <w:r w:rsidR="00DD0694" w:rsidRPr="000672E5">
        <w:rPr>
          <w:rFonts w:cstheme="minorHAnsi"/>
          <w:sz w:val="28"/>
          <w:szCs w:val="28"/>
        </w:rPr>
        <w:t xml:space="preserve"> These kind of partnerships score highly with respect to (i) quality assurance/reputational risk issues, (ii) high visibility branding; (iii) relatively high value added with low financial outlay and associated risks; and (iv) by teaming up with prestigious local public universities, provide the opportunity to engage in high quality, hi</w:t>
      </w:r>
      <w:r w:rsidR="00E9016A">
        <w:rPr>
          <w:rFonts w:cstheme="minorHAnsi"/>
          <w:sz w:val="28"/>
          <w:szCs w:val="28"/>
        </w:rPr>
        <w:t>gh impact research (see table 12</w:t>
      </w:r>
      <w:r w:rsidR="00DD0694" w:rsidRPr="000672E5">
        <w:rPr>
          <w:rFonts w:cstheme="minorHAnsi"/>
          <w:sz w:val="28"/>
          <w:szCs w:val="28"/>
        </w:rPr>
        <w:t xml:space="preserve">). </w:t>
      </w:r>
      <w:r w:rsidRPr="000672E5">
        <w:rPr>
          <w:rFonts w:cstheme="minorHAnsi"/>
          <w:sz w:val="28"/>
          <w:szCs w:val="28"/>
        </w:rPr>
        <w:t xml:space="preserve"> </w:t>
      </w:r>
      <w:r w:rsidR="00527184" w:rsidRPr="000672E5">
        <w:rPr>
          <w:rFonts w:cstheme="minorHAnsi"/>
          <w:sz w:val="28"/>
          <w:szCs w:val="28"/>
        </w:rPr>
        <w:t xml:space="preserve"> </w:t>
      </w:r>
    </w:p>
    <w:tbl>
      <w:tblPr>
        <w:tblW w:w="9252" w:type="dxa"/>
        <w:tblInd w:w="88" w:type="dxa"/>
        <w:tblLook w:val="04A0" w:firstRow="1" w:lastRow="0" w:firstColumn="1" w:lastColumn="0" w:noHBand="0" w:noVBand="1"/>
      </w:tblPr>
      <w:tblGrid>
        <w:gridCol w:w="2010"/>
        <w:gridCol w:w="2032"/>
        <w:gridCol w:w="1265"/>
        <w:gridCol w:w="1401"/>
        <w:gridCol w:w="2272"/>
        <w:gridCol w:w="622"/>
      </w:tblGrid>
      <w:tr w:rsidR="00BF4C0E" w:rsidRPr="00BF4C0E" w14:paraId="601D43BF" w14:textId="77777777" w:rsidTr="00BF4C0E">
        <w:trPr>
          <w:trHeight w:val="324"/>
        </w:trPr>
        <w:tc>
          <w:tcPr>
            <w:tcW w:w="6533" w:type="dxa"/>
            <w:gridSpan w:val="4"/>
            <w:tcBorders>
              <w:top w:val="nil"/>
              <w:left w:val="nil"/>
              <w:bottom w:val="nil"/>
              <w:right w:val="nil"/>
            </w:tcBorders>
            <w:shd w:val="clear" w:color="auto" w:fill="auto"/>
            <w:noWrap/>
            <w:vAlign w:val="bottom"/>
            <w:hideMark/>
          </w:tcPr>
          <w:p w14:paraId="6C2F4648" w14:textId="72EB8463" w:rsidR="00BF4C0E" w:rsidRPr="00BF4C0E" w:rsidRDefault="00E9016A" w:rsidP="00E9016A">
            <w:pPr>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 xml:space="preserve">Table 12: </w:t>
            </w:r>
            <w:r w:rsidR="00BF4C0E" w:rsidRPr="00BF4C0E">
              <w:rPr>
                <w:rFonts w:ascii="Calibri" w:eastAsia="Times New Roman" w:hAnsi="Calibri" w:cs="Calibri"/>
                <w:b/>
                <w:bCs/>
                <w:color w:val="5F735C"/>
                <w:lang w:eastAsia="en-GB"/>
              </w:rPr>
              <w:t>Rating schema of positive attributes of the main types of offshore provision</w:t>
            </w:r>
          </w:p>
        </w:tc>
        <w:tc>
          <w:tcPr>
            <w:tcW w:w="2097" w:type="dxa"/>
            <w:tcBorders>
              <w:top w:val="nil"/>
              <w:left w:val="nil"/>
              <w:bottom w:val="nil"/>
              <w:right w:val="nil"/>
            </w:tcBorders>
            <w:shd w:val="clear" w:color="auto" w:fill="auto"/>
            <w:noWrap/>
            <w:vAlign w:val="bottom"/>
            <w:hideMark/>
          </w:tcPr>
          <w:p w14:paraId="6CA81C8F" w14:textId="77777777" w:rsidR="00BF4C0E" w:rsidRPr="00BF4C0E" w:rsidRDefault="00BF4C0E" w:rsidP="00BF4C0E">
            <w:pPr>
              <w:spacing w:after="0" w:line="240" w:lineRule="auto"/>
              <w:rPr>
                <w:rFonts w:ascii="Calibri" w:eastAsia="Times New Roman" w:hAnsi="Calibri" w:cs="Calibri"/>
                <w:color w:val="000000"/>
                <w:lang w:eastAsia="en-GB"/>
              </w:rPr>
            </w:pPr>
          </w:p>
        </w:tc>
        <w:tc>
          <w:tcPr>
            <w:tcW w:w="622" w:type="dxa"/>
            <w:tcBorders>
              <w:top w:val="nil"/>
              <w:left w:val="nil"/>
              <w:bottom w:val="nil"/>
              <w:right w:val="nil"/>
            </w:tcBorders>
            <w:shd w:val="clear" w:color="auto" w:fill="auto"/>
            <w:noWrap/>
            <w:vAlign w:val="bottom"/>
            <w:hideMark/>
          </w:tcPr>
          <w:p w14:paraId="085C8314"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1E32D225" w14:textId="77777777" w:rsidTr="00BF4C0E">
        <w:trPr>
          <w:trHeight w:val="324"/>
        </w:trPr>
        <w:tc>
          <w:tcPr>
            <w:tcW w:w="2010" w:type="dxa"/>
            <w:tcBorders>
              <w:top w:val="single" w:sz="8" w:space="0" w:color="FFFFFF"/>
              <w:left w:val="single" w:sz="8" w:space="0" w:color="FFFFFF"/>
              <w:bottom w:val="single" w:sz="8" w:space="0" w:color="FFFFFF"/>
              <w:right w:val="single" w:sz="8" w:space="0" w:color="FFFFFF"/>
            </w:tcBorders>
            <w:shd w:val="clear" w:color="000000" w:fill="49723B"/>
            <w:noWrap/>
            <w:vAlign w:val="bottom"/>
            <w:hideMark/>
          </w:tcPr>
          <w:p w14:paraId="5DBCDA0A" w14:textId="77777777" w:rsidR="00BF4C0E" w:rsidRPr="00BF4C0E" w:rsidRDefault="00BF4C0E" w:rsidP="00BF4C0E">
            <w:pPr>
              <w:spacing w:after="0" w:line="240" w:lineRule="auto"/>
              <w:jc w:val="center"/>
              <w:rPr>
                <w:rFonts w:ascii="Calibri" w:eastAsia="Times New Roman" w:hAnsi="Calibri" w:cs="Calibri"/>
                <w:b/>
                <w:bCs/>
                <w:color w:val="FFFFFF"/>
                <w:lang w:eastAsia="en-GB"/>
              </w:rPr>
            </w:pPr>
            <w:r w:rsidRPr="00BF4C0E">
              <w:rPr>
                <w:rFonts w:ascii="Calibri" w:eastAsia="Times New Roman" w:hAnsi="Calibri" w:cs="Calibri"/>
                <w:b/>
                <w:bCs/>
                <w:color w:val="FFFFFF"/>
                <w:lang w:eastAsia="en-GB"/>
              </w:rPr>
              <w:t>Positive attribute</w:t>
            </w:r>
          </w:p>
        </w:tc>
        <w:tc>
          <w:tcPr>
            <w:tcW w:w="2032" w:type="dxa"/>
            <w:tcBorders>
              <w:top w:val="single" w:sz="8" w:space="0" w:color="FFFFFF"/>
              <w:left w:val="nil"/>
              <w:bottom w:val="single" w:sz="8" w:space="0" w:color="FFFFFF"/>
              <w:right w:val="single" w:sz="8" w:space="0" w:color="FFFFFF"/>
            </w:tcBorders>
            <w:shd w:val="clear" w:color="000000" w:fill="49723B"/>
            <w:noWrap/>
            <w:vAlign w:val="bottom"/>
            <w:hideMark/>
          </w:tcPr>
          <w:p w14:paraId="3105A1CD" w14:textId="77777777" w:rsidR="00BF4C0E" w:rsidRPr="00BF4C0E" w:rsidRDefault="00BF4C0E" w:rsidP="00BF4C0E">
            <w:pPr>
              <w:spacing w:after="0" w:line="240" w:lineRule="auto"/>
              <w:jc w:val="center"/>
              <w:rPr>
                <w:rFonts w:ascii="Calibri" w:eastAsia="Times New Roman" w:hAnsi="Calibri" w:cs="Calibri"/>
                <w:b/>
                <w:bCs/>
                <w:color w:val="FFFFFF"/>
                <w:lang w:eastAsia="en-GB"/>
              </w:rPr>
            </w:pPr>
            <w:r w:rsidRPr="00BF4C0E">
              <w:rPr>
                <w:rFonts w:ascii="Calibri" w:eastAsia="Times New Roman" w:hAnsi="Calibri" w:cs="Calibri"/>
                <w:b/>
                <w:bCs/>
                <w:color w:val="FFFFFF"/>
                <w:lang w:eastAsia="en-GB"/>
              </w:rPr>
              <w:t>Low</w:t>
            </w:r>
          </w:p>
        </w:tc>
        <w:tc>
          <w:tcPr>
            <w:tcW w:w="1198" w:type="dxa"/>
            <w:tcBorders>
              <w:top w:val="single" w:sz="8" w:space="0" w:color="FFFFFF"/>
              <w:left w:val="nil"/>
              <w:bottom w:val="single" w:sz="8" w:space="0" w:color="FFFFFF"/>
              <w:right w:val="single" w:sz="8" w:space="0" w:color="FFFFFF"/>
            </w:tcBorders>
            <w:shd w:val="clear" w:color="000000" w:fill="49723B"/>
            <w:noWrap/>
            <w:vAlign w:val="bottom"/>
            <w:hideMark/>
          </w:tcPr>
          <w:p w14:paraId="401D0C17" w14:textId="77777777" w:rsidR="00BF4C0E" w:rsidRPr="00BF4C0E" w:rsidRDefault="00BF4C0E" w:rsidP="00BF4C0E">
            <w:pPr>
              <w:spacing w:after="0" w:line="240" w:lineRule="auto"/>
              <w:jc w:val="center"/>
              <w:rPr>
                <w:rFonts w:ascii="Calibri" w:eastAsia="Times New Roman" w:hAnsi="Calibri" w:cs="Calibri"/>
                <w:b/>
                <w:bCs/>
                <w:color w:val="FFFFFF"/>
                <w:lang w:eastAsia="en-GB"/>
              </w:rPr>
            </w:pPr>
            <w:r w:rsidRPr="00BF4C0E">
              <w:rPr>
                <w:rFonts w:ascii="Calibri" w:eastAsia="Times New Roman" w:hAnsi="Calibri" w:cs="Calibri"/>
                <w:b/>
                <w:bCs/>
                <w:color w:val="FFFFFF"/>
                <w:lang w:eastAsia="en-GB"/>
              </w:rPr>
              <w:t>Medium-low</w:t>
            </w:r>
          </w:p>
        </w:tc>
        <w:tc>
          <w:tcPr>
            <w:tcW w:w="1293" w:type="dxa"/>
            <w:tcBorders>
              <w:top w:val="single" w:sz="8" w:space="0" w:color="FFFFFF"/>
              <w:left w:val="nil"/>
              <w:bottom w:val="single" w:sz="8" w:space="0" w:color="FFFFFF"/>
              <w:right w:val="single" w:sz="8" w:space="0" w:color="FFFFFF"/>
            </w:tcBorders>
            <w:shd w:val="clear" w:color="000000" w:fill="49723B"/>
            <w:noWrap/>
            <w:vAlign w:val="bottom"/>
            <w:hideMark/>
          </w:tcPr>
          <w:p w14:paraId="3565A74C" w14:textId="77777777" w:rsidR="00BF4C0E" w:rsidRPr="00BF4C0E" w:rsidRDefault="00BF4C0E" w:rsidP="00BF4C0E">
            <w:pPr>
              <w:spacing w:after="0" w:line="240" w:lineRule="auto"/>
              <w:jc w:val="center"/>
              <w:rPr>
                <w:rFonts w:ascii="Calibri" w:eastAsia="Times New Roman" w:hAnsi="Calibri" w:cs="Calibri"/>
                <w:b/>
                <w:bCs/>
                <w:color w:val="FFFFFF"/>
                <w:lang w:eastAsia="en-GB"/>
              </w:rPr>
            </w:pPr>
            <w:r w:rsidRPr="00BF4C0E">
              <w:rPr>
                <w:rFonts w:ascii="Calibri" w:eastAsia="Times New Roman" w:hAnsi="Calibri" w:cs="Calibri"/>
                <w:b/>
                <w:bCs/>
                <w:color w:val="FFFFFF"/>
                <w:lang w:eastAsia="en-GB"/>
              </w:rPr>
              <w:t>Medium-high</w:t>
            </w:r>
          </w:p>
        </w:tc>
        <w:tc>
          <w:tcPr>
            <w:tcW w:w="2097" w:type="dxa"/>
            <w:tcBorders>
              <w:top w:val="single" w:sz="8" w:space="0" w:color="FFFFFF"/>
              <w:left w:val="nil"/>
              <w:bottom w:val="single" w:sz="8" w:space="0" w:color="FFFFFF"/>
              <w:right w:val="single" w:sz="8" w:space="0" w:color="FFFFFF"/>
            </w:tcBorders>
            <w:shd w:val="clear" w:color="000000" w:fill="49723B"/>
            <w:noWrap/>
            <w:vAlign w:val="bottom"/>
            <w:hideMark/>
          </w:tcPr>
          <w:p w14:paraId="17CFD964" w14:textId="77777777" w:rsidR="00BF4C0E" w:rsidRPr="00BF4C0E" w:rsidRDefault="00BF4C0E" w:rsidP="00BF4C0E">
            <w:pPr>
              <w:spacing w:after="0" w:line="240" w:lineRule="auto"/>
              <w:jc w:val="center"/>
              <w:rPr>
                <w:rFonts w:ascii="Calibri" w:eastAsia="Times New Roman" w:hAnsi="Calibri" w:cs="Calibri"/>
                <w:b/>
                <w:bCs/>
                <w:color w:val="FFFFFF"/>
                <w:lang w:eastAsia="en-GB"/>
              </w:rPr>
            </w:pPr>
            <w:r w:rsidRPr="00BF4C0E">
              <w:rPr>
                <w:rFonts w:ascii="Calibri" w:eastAsia="Times New Roman" w:hAnsi="Calibri" w:cs="Calibri"/>
                <w:b/>
                <w:bCs/>
                <w:color w:val="FFFFFF"/>
                <w:lang w:eastAsia="en-GB"/>
              </w:rPr>
              <w:t>High</w:t>
            </w:r>
          </w:p>
        </w:tc>
        <w:tc>
          <w:tcPr>
            <w:tcW w:w="622" w:type="dxa"/>
            <w:tcBorders>
              <w:top w:val="nil"/>
              <w:left w:val="nil"/>
              <w:bottom w:val="nil"/>
              <w:right w:val="nil"/>
            </w:tcBorders>
            <w:shd w:val="clear" w:color="auto" w:fill="auto"/>
            <w:noWrap/>
            <w:vAlign w:val="bottom"/>
            <w:hideMark/>
          </w:tcPr>
          <w:p w14:paraId="1BD38F72"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07449146"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1EB4A518"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Minimise quality assurance/</w:t>
            </w:r>
          </w:p>
        </w:tc>
        <w:tc>
          <w:tcPr>
            <w:tcW w:w="2032" w:type="dxa"/>
            <w:tcBorders>
              <w:top w:val="nil"/>
              <w:left w:val="nil"/>
              <w:bottom w:val="single" w:sz="8" w:space="0" w:color="FFFFFF"/>
              <w:right w:val="single" w:sz="8" w:space="0" w:color="FFFFFF"/>
            </w:tcBorders>
            <w:shd w:val="clear" w:color="000000" w:fill="EFEAE6"/>
            <w:noWrap/>
            <w:vAlign w:val="bottom"/>
            <w:hideMark/>
          </w:tcPr>
          <w:p w14:paraId="132E406B"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Franchising</w:t>
            </w:r>
          </w:p>
        </w:tc>
        <w:tc>
          <w:tcPr>
            <w:tcW w:w="1198" w:type="dxa"/>
            <w:tcBorders>
              <w:top w:val="nil"/>
              <w:left w:val="nil"/>
              <w:bottom w:val="single" w:sz="8" w:space="0" w:color="FFFFFF"/>
              <w:right w:val="single" w:sz="8" w:space="0" w:color="FFFFFF"/>
            </w:tcBorders>
            <w:shd w:val="clear" w:color="000000" w:fill="EFEAE6"/>
            <w:noWrap/>
            <w:vAlign w:val="bottom"/>
            <w:hideMark/>
          </w:tcPr>
          <w:p w14:paraId="706A1346"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Joint ventures</w:t>
            </w:r>
          </w:p>
        </w:tc>
        <w:tc>
          <w:tcPr>
            <w:tcW w:w="1293" w:type="dxa"/>
            <w:tcBorders>
              <w:top w:val="nil"/>
              <w:left w:val="nil"/>
              <w:bottom w:val="single" w:sz="8" w:space="0" w:color="FFFFFF"/>
              <w:right w:val="single" w:sz="8" w:space="0" w:color="FFFFFF"/>
            </w:tcBorders>
            <w:shd w:val="clear" w:color="000000" w:fill="EFEAE6"/>
            <w:noWrap/>
            <w:vAlign w:val="bottom"/>
            <w:hideMark/>
          </w:tcPr>
          <w:p w14:paraId="30724C6E"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Distance</w:t>
            </w:r>
          </w:p>
        </w:tc>
        <w:tc>
          <w:tcPr>
            <w:tcW w:w="2097" w:type="dxa"/>
            <w:tcBorders>
              <w:top w:val="nil"/>
              <w:left w:val="nil"/>
              <w:bottom w:val="single" w:sz="8" w:space="0" w:color="FFFFFF"/>
              <w:right w:val="single" w:sz="8" w:space="0" w:color="FFFFFF"/>
            </w:tcBorders>
            <w:shd w:val="clear" w:color="000000" w:fill="EFEAE6"/>
            <w:noWrap/>
            <w:vAlign w:val="bottom"/>
            <w:hideMark/>
          </w:tcPr>
          <w:p w14:paraId="2BEAF64C"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Branch</w:t>
            </w:r>
          </w:p>
        </w:tc>
        <w:tc>
          <w:tcPr>
            <w:tcW w:w="622" w:type="dxa"/>
            <w:tcBorders>
              <w:top w:val="nil"/>
              <w:left w:val="nil"/>
              <w:bottom w:val="nil"/>
              <w:right w:val="nil"/>
            </w:tcBorders>
            <w:shd w:val="clear" w:color="auto" w:fill="auto"/>
            <w:noWrap/>
            <w:vAlign w:val="bottom"/>
            <w:hideMark/>
          </w:tcPr>
          <w:p w14:paraId="6FF78F62"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648FCA73"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6C85E8D8"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reputational risks</w:t>
            </w:r>
          </w:p>
        </w:tc>
        <w:tc>
          <w:tcPr>
            <w:tcW w:w="2032" w:type="dxa"/>
            <w:tcBorders>
              <w:top w:val="nil"/>
              <w:left w:val="nil"/>
              <w:bottom w:val="single" w:sz="8" w:space="0" w:color="FFFFFF"/>
              <w:right w:val="single" w:sz="8" w:space="0" w:color="FFFFFF"/>
            </w:tcBorders>
            <w:shd w:val="clear" w:color="000000" w:fill="EFEAE6"/>
            <w:noWrap/>
            <w:vAlign w:val="bottom"/>
            <w:hideMark/>
          </w:tcPr>
          <w:p w14:paraId="68428C12"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Validation</w:t>
            </w:r>
          </w:p>
        </w:tc>
        <w:tc>
          <w:tcPr>
            <w:tcW w:w="1198" w:type="dxa"/>
            <w:tcBorders>
              <w:top w:val="nil"/>
              <w:left w:val="nil"/>
              <w:bottom w:val="single" w:sz="8" w:space="0" w:color="FFFFFF"/>
              <w:right w:val="single" w:sz="8" w:space="0" w:color="FFFFFF"/>
            </w:tcBorders>
            <w:shd w:val="clear" w:color="000000" w:fill="EFEAE6"/>
            <w:noWrap/>
            <w:vAlign w:val="bottom"/>
            <w:hideMark/>
          </w:tcPr>
          <w:p w14:paraId="5C047411"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Articulation</w:t>
            </w:r>
          </w:p>
        </w:tc>
        <w:tc>
          <w:tcPr>
            <w:tcW w:w="1293" w:type="dxa"/>
            <w:tcBorders>
              <w:top w:val="nil"/>
              <w:left w:val="nil"/>
              <w:bottom w:val="single" w:sz="8" w:space="0" w:color="FFFFFF"/>
              <w:right w:val="single" w:sz="8" w:space="0" w:color="FFFFFF"/>
            </w:tcBorders>
            <w:shd w:val="clear" w:color="000000" w:fill="EFEAE6"/>
            <w:noWrap/>
            <w:vAlign w:val="bottom"/>
            <w:hideMark/>
          </w:tcPr>
          <w:p w14:paraId="31E58EBD"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learning</w:t>
            </w:r>
          </w:p>
        </w:tc>
        <w:tc>
          <w:tcPr>
            <w:tcW w:w="2097" w:type="dxa"/>
            <w:tcBorders>
              <w:top w:val="nil"/>
              <w:left w:val="nil"/>
              <w:bottom w:val="single" w:sz="8" w:space="0" w:color="FFFFFF"/>
              <w:right w:val="single" w:sz="8" w:space="0" w:color="FFFFFF"/>
            </w:tcBorders>
            <w:shd w:val="clear" w:color="000000" w:fill="EFEAE6"/>
            <w:noWrap/>
            <w:vAlign w:val="bottom"/>
            <w:hideMark/>
          </w:tcPr>
          <w:p w14:paraId="4EA1A4FA"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campus</w:t>
            </w:r>
          </w:p>
        </w:tc>
        <w:tc>
          <w:tcPr>
            <w:tcW w:w="622" w:type="dxa"/>
            <w:tcBorders>
              <w:top w:val="nil"/>
              <w:left w:val="nil"/>
              <w:bottom w:val="nil"/>
              <w:right w:val="nil"/>
            </w:tcBorders>
            <w:shd w:val="clear" w:color="auto" w:fill="auto"/>
            <w:noWrap/>
            <w:vAlign w:val="bottom"/>
            <w:hideMark/>
          </w:tcPr>
          <w:p w14:paraId="2A42ED21"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306E713C"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7B569835"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Maximise visibility/impact of</w:t>
            </w:r>
          </w:p>
        </w:tc>
        <w:tc>
          <w:tcPr>
            <w:tcW w:w="2032" w:type="dxa"/>
            <w:tcBorders>
              <w:top w:val="nil"/>
              <w:left w:val="nil"/>
              <w:bottom w:val="single" w:sz="8" w:space="0" w:color="FFFFFF"/>
              <w:right w:val="single" w:sz="8" w:space="0" w:color="FFFFFF"/>
            </w:tcBorders>
            <w:shd w:val="clear" w:color="000000" w:fill="EFEAE6"/>
            <w:noWrap/>
            <w:vAlign w:val="bottom"/>
            <w:hideMark/>
          </w:tcPr>
          <w:p w14:paraId="441A21D0"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Validation</w:t>
            </w:r>
          </w:p>
        </w:tc>
        <w:tc>
          <w:tcPr>
            <w:tcW w:w="1198" w:type="dxa"/>
            <w:tcBorders>
              <w:top w:val="nil"/>
              <w:left w:val="nil"/>
              <w:bottom w:val="single" w:sz="8" w:space="0" w:color="FFFFFF"/>
              <w:right w:val="single" w:sz="8" w:space="0" w:color="FFFFFF"/>
            </w:tcBorders>
            <w:shd w:val="clear" w:color="000000" w:fill="EFEAE6"/>
            <w:noWrap/>
            <w:vAlign w:val="bottom"/>
            <w:hideMark/>
          </w:tcPr>
          <w:p w14:paraId="39900C71"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Fly-in faculty</w:t>
            </w:r>
          </w:p>
        </w:tc>
        <w:tc>
          <w:tcPr>
            <w:tcW w:w="1293" w:type="dxa"/>
            <w:tcBorders>
              <w:top w:val="nil"/>
              <w:left w:val="nil"/>
              <w:bottom w:val="single" w:sz="8" w:space="0" w:color="FFFFFF"/>
              <w:right w:val="single" w:sz="8" w:space="0" w:color="FFFFFF"/>
            </w:tcBorders>
            <w:shd w:val="clear" w:color="000000" w:fill="EFEAE6"/>
            <w:noWrap/>
            <w:vAlign w:val="bottom"/>
            <w:hideMark/>
          </w:tcPr>
          <w:p w14:paraId="663A29C2"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Joint ventures/</w:t>
            </w:r>
          </w:p>
        </w:tc>
        <w:tc>
          <w:tcPr>
            <w:tcW w:w="2097" w:type="dxa"/>
            <w:tcBorders>
              <w:top w:val="nil"/>
              <w:left w:val="nil"/>
              <w:bottom w:val="single" w:sz="8" w:space="0" w:color="FFFFFF"/>
              <w:right w:val="single" w:sz="8" w:space="0" w:color="FFFFFF"/>
            </w:tcBorders>
            <w:shd w:val="clear" w:color="000000" w:fill="EFEAE6"/>
            <w:noWrap/>
            <w:vAlign w:val="bottom"/>
            <w:hideMark/>
          </w:tcPr>
          <w:p w14:paraId="6060E818"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xml:space="preserve">Branch </w:t>
            </w:r>
          </w:p>
        </w:tc>
        <w:tc>
          <w:tcPr>
            <w:tcW w:w="622" w:type="dxa"/>
            <w:tcBorders>
              <w:top w:val="nil"/>
              <w:left w:val="nil"/>
              <w:bottom w:val="nil"/>
              <w:right w:val="nil"/>
            </w:tcBorders>
            <w:shd w:val="clear" w:color="auto" w:fill="auto"/>
            <w:noWrap/>
            <w:vAlign w:val="bottom"/>
            <w:hideMark/>
          </w:tcPr>
          <w:p w14:paraId="00B4BAC9"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3FAC9841"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17FAD7D4"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university brand</w:t>
            </w:r>
          </w:p>
        </w:tc>
        <w:tc>
          <w:tcPr>
            <w:tcW w:w="2032" w:type="dxa"/>
            <w:tcBorders>
              <w:top w:val="nil"/>
              <w:left w:val="nil"/>
              <w:bottom w:val="single" w:sz="8" w:space="0" w:color="FFFFFF"/>
              <w:right w:val="single" w:sz="8" w:space="0" w:color="FFFFFF"/>
            </w:tcBorders>
            <w:shd w:val="clear" w:color="000000" w:fill="EFEAE6"/>
            <w:noWrap/>
            <w:vAlign w:val="bottom"/>
            <w:hideMark/>
          </w:tcPr>
          <w:p w14:paraId="0D369482"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Articulation</w:t>
            </w:r>
          </w:p>
        </w:tc>
        <w:tc>
          <w:tcPr>
            <w:tcW w:w="1198" w:type="dxa"/>
            <w:tcBorders>
              <w:top w:val="nil"/>
              <w:left w:val="nil"/>
              <w:bottom w:val="single" w:sz="8" w:space="0" w:color="FFFFFF"/>
              <w:right w:val="single" w:sz="8" w:space="0" w:color="FFFFFF"/>
            </w:tcBorders>
            <w:shd w:val="clear" w:color="000000" w:fill="EFEAE6"/>
            <w:noWrap/>
            <w:vAlign w:val="bottom"/>
            <w:hideMark/>
          </w:tcPr>
          <w:p w14:paraId="01EBE8B4"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Distance learning</w:t>
            </w:r>
          </w:p>
        </w:tc>
        <w:tc>
          <w:tcPr>
            <w:tcW w:w="1293" w:type="dxa"/>
            <w:tcBorders>
              <w:top w:val="nil"/>
              <w:left w:val="nil"/>
              <w:bottom w:val="single" w:sz="8" w:space="0" w:color="FFFFFF"/>
              <w:right w:val="single" w:sz="8" w:space="0" w:color="FFFFFF"/>
            </w:tcBorders>
            <w:shd w:val="clear" w:color="000000" w:fill="EFEAE6"/>
            <w:noWrap/>
            <w:vAlign w:val="bottom"/>
            <w:hideMark/>
          </w:tcPr>
          <w:p w14:paraId="524AF654"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collaboration</w:t>
            </w:r>
          </w:p>
        </w:tc>
        <w:tc>
          <w:tcPr>
            <w:tcW w:w="2097" w:type="dxa"/>
            <w:tcBorders>
              <w:top w:val="nil"/>
              <w:left w:val="nil"/>
              <w:bottom w:val="single" w:sz="8" w:space="0" w:color="FFFFFF"/>
              <w:right w:val="single" w:sz="8" w:space="0" w:color="FFFFFF"/>
            </w:tcBorders>
            <w:shd w:val="clear" w:color="000000" w:fill="EFEAE6"/>
            <w:noWrap/>
            <w:vAlign w:val="bottom"/>
            <w:hideMark/>
          </w:tcPr>
          <w:p w14:paraId="20D8C7CE"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campus</w:t>
            </w:r>
          </w:p>
        </w:tc>
        <w:tc>
          <w:tcPr>
            <w:tcW w:w="622" w:type="dxa"/>
            <w:tcBorders>
              <w:top w:val="nil"/>
              <w:left w:val="nil"/>
              <w:bottom w:val="nil"/>
              <w:right w:val="nil"/>
            </w:tcBorders>
            <w:shd w:val="clear" w:color="auto" w:fill="auto"/>
            <w:noWrap/>
            <w:vAlign w:val="bottom"/>
            <w:hideMark/>
          </w:tcPr>
          <w:p w14:paraId="3775DD03"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0142DC8D"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5B59B91F"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Minimise financial outlay and</w:t>
            </w:r>
          </w:p>
        </w:tc>
        <w:tc>
          <w:tcPr>
            <w:tcW w:w="2032" w:type="dxa"/>
            <w:tcBorders>
              <w:top w:val="nil"/>
              <w:left w:val="nil"/>
              <w:bottom w:val="single" w:sz="8" w:space="0" w:color="FFFFFF"/>
              <w:right w:val="single" w:sz="8" w:space="0" w:color="FFFFFF"/>
            </w:tcBorders>
            <w:shd w:val="clear" w:color="000000" w:fill="EFEAE6"/>
            <w:noWrap/>
            <w:vAlign w:val="bottom"/>
            <w:hideMark/>
          </w:tcPr>
          <w:p w14:paraId="1C1FCD5B"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Validation</w:t>
            </w:r>
          </w:p>
        </w:tc>
        <w:tc>
          <w:tcPr>
            <w:tcW w:w="1198" w:type="dxa"/>
            <w:tcBorders>
              <w:top w:val="nil"/>
              <w:left w:val="nil"/>
              <w:bottom w:val="single" w:sz="8" w:space="0" w:color="FFFFFF"/>
              <w:right w:val="single" w:sz="8" w:space="0" w:color="FFFFFF"/>
            </w:tcBorders>
            <w:shd w:val="clear" w:color="000000" w:fill="EFEAE6"/>
            <w:noWrap/>
            <w:vAlign w:val="bottom"/>
            <w:hideMark/>
          </w:tcPr>
          <w:p w14:paraId="0B15CF8A"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Franchising</w:t>
            </w:r>
          </w:p>
        </w:tc>
        <w:tc>
          <w:tcPr>
            <w:tcW w:w="1293" w:type="dxa"/>
            <w:tcBorders>
              <w:top w:val="nil"/>
              <w:left w:val="nil"/>
              <w:bottom w:val="single" w:sz="8" w:space="0" w:color="FFFFFF"/>
              <w:right w:val="single" w:sz="8" w:space="0" w:color="FFFFFF"/>
            </w:tcBorders>
            <w:shd w:val="clear" w:color="000000" w:fill="EFEAE6"/>
            <w:noWrap/>
            <w:vAlign w:val="bottom"/>
            <w:hideMark/>
          </w:tcPr>
          <w:p w14:paraId="5EC78C71"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Distance</w:t>
            </w:r>
          </w:p>
        </w:tc>
        <w:tc>
          <w:tcPr>
            <w:tcW w:w="2097" w:type="dxa"/>
            <w:tcBorders>
              <w:top w:val="nil"/>
              <w:left w:val="nil"/>
              <w:bottom w:val="single" w:sz="8" w:space="0" w:color="FFFFFF"/>
              <w:right w:val="single" w:sz="8" w:space="0" w:color="FFFFFF"/>
            </w:tcBorders>
            <w:shd w:val="clear" w:color="000000" w:fill="EFEAE6"/>
            <w:noWrap/>
            <w:vAlign w:val="bottom"/>
            <w:hideMark/>
          </w:tcPr>
          <w:p w14:paraId="2863A471"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xml:space="preserve">Branch </w:t>
            </w:r>
          </w:p>
        </w:tc>
        <w:tc>
          <w:tcPr>
            <w:tcW w:w="622" w:type="dxa"/>
            <w:tcBorders>
              <w:top w:val="nil"/>
              <w:left w:val="nil"/>
              <w:bottom w:val="nil"/>
              <w:right w:val="nil"/>
            </w:tcBorders>
            <w:shd w:val="clear" w:color="auto" w:fill="auto"/>
            <w:noWrap/>
            <w:vAlign w:val="bottom"/>
            <w:hideMark/>
          </w:tcPr>
          <w:p w14:paraId="11A85147"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4501238C"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7D13B2D5"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associated risks</w:t>
            </w:r>
          </w:p>
        </w:tc>
        <w:tc>
          <w:tcPr>
            <w:tcW w:w="2032" w:type="dxa"/>
            <w:tcBorders>
              <w:top w:val="nil"/>
              <w:left w:val="nil"/>
              <w:bottom w:val="single" w:sz="8" w:space="0" w:color="FFFFFF"/>
              <w:right w:val="single" w:sz="8" w:space="0" w:color="FFFFFF"/>
            </w:tcBorders>
            <w:shd w:val="clear" w:color="000000" w:fill="EFEAE6"/>
            <w:noWrap/>
            <w:vAlign w:val="bottom"/>
            <w:hideMark/>
          </w:tcPr>
          <w:p w14:paraId="77C09C9F"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Articulation</w:t>
            </w:r>
          </w:p>
        </w:tc>
        <w:tc>
          <w:tcPr>
            <w:tcW w:w="1198" w:type="dxa"/>
            <w:tcBorders>
              <w:top w:val="nil"/>
              <w:left w:val="nil"/>
              <w:bottom w:val="single" w:sz="8" w:space="0" w:color="FFFFFF"/>
              <w:right w:val="single" w:sz="8" w:space="0" w:color="FFFFFF"/>
            </w:tcBorders>
            <w:shd w:val="clear" w:color="000000" w:fill="EFEAE6"/>
            <w:noWrap/>
            <w:vAlign w:val="bottom"/>
            <w:hideMark/>
          </w:tcPr>
          <w:p w14:paraId="33458642"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w:t>
            </w:r>
          </w:p>
        </w:tc>
        <w:tc>
          <w:tcPr>
            <w:tcW w:w="1293" w:type="dxa"/>
            <w:tcBorders>
              <w:top w:val="nil"/>
              <w:left w:val="nil"/>
              <w:bottom w:val="single" w:sz="8" w:space="0" w:color="FFFFFF"/>
              <w:right w:val="single" w:sz="8" w:space="0" w:color="FFFFFF"/>
            </w:tcBorders>
            <w:shd w:val="clear" w:color="000000" w:fill="EFEAE6"/>
            <w:noWrap/>
            <w:vAlign w:val="bottom"/>
            <w:hideMark/>
          </w:tcPr>
          <w:p w14:paraId="0D3C6D9E"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learning</w:t>
            </w:r>
          </w:p>
        </w:tc>
        <w:tc>
          <w:tcPr>
            <w:tcW w:w="2097" w:type="dxa"/>
            <w:tcBorders>
              <w:top w:val="nil"/>
              <w:left w:val="nil"/>
              <w:bottom w:val="single" w:sz="8" w:space="0" w:color="FFFFFF"/>
              <w:right w:val="single" w:sz="8" w:space="0" w:color="FFFFFF"/>
            </w:tcBorders>
            <w:shd w:val="clear" w:color="000000" w:fill="EFEAE6"/>
            <w:noWrap/>
            <w:vAlign w:val="bottom"/>
            <w:hideMark/>
          </w:tcPr>
          <w:p w14:paraId="6245FF7E"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campus</w:t>
            </w:r>
          </w:p>
        </w:tc>
        <w:tc>
          <w:tcPr>
            <w:tcW w:w="622" w:type="dxa"/>
            <w:tcBorders>
              <w:top w:val="nil"/>
              <w:left w:val="nil"/>
              <w:bottom w:val="nil"/>
              <w:right w:val="nil"/>
            </w:tcBorders>
            <w:shd w:val="clear" w:color="auto" w:fill="auto"/>
            <w:noWrap/>
            <w:vAlign w:val="bottom"/>
            <w:hideMark/>
          </w:tcPr>
          <w:p w14:paraId="32676E59"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3CAB4D18"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57BD9C2E"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Financial returns</w:t>
            </w:r>
          </w:p>
        </w:tc>
        <w:tc>
          <w:tcPr>
            <w:tcW w:w="2032" w:type="dxa"/>
            <w:tcBorders>
              <w:top w:val="nil"/>
              <w:left w:val="nil"/>
              <w:bottom w:val="single" w:sz="8" w:space="0" w:color="FFFFFF"/>
              <w:right w:val="single" w:sz="8" w:space="0" w:color="FFFFFF"/>
            </w:tcBorders>
            <w:shd w:val="clear" w:color="000000" w:fill="EFEAE6"/>
            <w:noWrap/>
            <w:vAlign w:val="bottom"/>
            <w:hideMark/>
          </w:tcPr>
          <w:p w14:paraId="201D8740"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Validation</w:t>
            </w:r>
          </w:p>
        </w:tc>
        <w:tc>
          <w:tcPr>
            <w:tcW w:w="1198" w:type="dxa"/>
            <w:tcBorders>
              <w:top w:val="nil"/>
              <w:left w:val="nil"/>
              <w:bottom w:val="single" w:sz="8" w:space="0" w:color="FFFFFF"/>
              <w:right w:val="single" w:sz="8" w:space="0" w:color="FFFFFF"/>
            </w:tcBorders>
            <w:shd w:val="clear" w:color="000000" w:fill="EFEAE6"/>
            <w:noWrap/>
            <w:vAlign w:val="bottom"/>
            <w:hideMark/>
          </w:tcPr>
          <w:p w14:paraId="27DA635D"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Franchising</w:t>
            </w:r>
          </w:p>
        </w:tc>
        <w:tc>
          <w:tcPr>
            <w:tcW w:w="1293" w:type="dxa"/>
            <w:tcBorders>
              <w:top w:val="nil"/>
              <w:left w:val="nil"/>
              <w:bottom w:val="single" w:sz="8" w:space="0" w:color="FFFFFF"/>
              <w:right w:val="single" w:sz="8" w:space="0" w:color="FFFFFF"/>
            </w:tcBorders>
            <w:shd w:val="clear" w:color="000000" w:fill="EFEAE6"/>
            <w:noWrap/>
            <w:vAlign w:val="bottom"/>
            <w:hideMark/>
          </w:tcPr>
          <w:p w14:paraId="0022BAB6"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Distance learning</w:t>
            </w:r>
          </w:p>
        </w:tc>
        <w:tc>
          <w:tcPr>
            <w:tcW w:w="2097" w:type="dxa"/>
            <w:tcBorders>
              <w:top w:val="nil"/>
              <w:left w:val="nil"/>
              <w:bottom w:val="single" w:sz="8" w:space="0" w:color="FFFFFF"/>
              <w:right w:val="single" w:sz="8" w:space="0" w:color="FFFFFF"/>
            </w:tcBorders>
            <w:shd w:val="clear" w:color="000000" w:fill="EFEAE6"/>
            <w:noWrap/>
            <w:vAlign w:val="bottom"/>
            <w:hideMark/>
          </w:tcPr>
          <w:p w14:paraId="4F617603"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Articulation, joint</w:t>
            </w:r>
          </w:p>
        </w:tc>
        <w:tc>
          <w:tcPr>
            <w:tcW w:w="622" w:type="dxa"/>
            <w:tcBorders>
              <w:top w:val="nil"/>
              <w:left w:val="nil"/>
              <w:bottom w:val="nil"/>
              <w:right w:val="nil"/>
            </w:tcBorders>
            <w:shd w:val="clear" w:color="auto" w:fill="auto"/>
            <w:noWrap/>
            <w:vAlign w:val="bottom"/>
            <w:hideMark/>
          </w:tcPr>
          <w:p w14:paraId="68F93D23"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4E8470A8"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12B96258"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w:t>
            </w:r>
          </w:p>
        </w:tc>
        <w:tc>
          <w:tcPr>
            <w:tcW w:w="2032" w:type="dxa"/>
            <w:tcBorders>
              <w:top w:val="nil"/>
              <w:left w:val="nil"/>
              <w:bottom w:val="single" w:sz="8" w:space="0" w:color="FFFFFF"/>
              <w:right w:val="single" w:sz="8" w:space="0" w:color="FFFFFF"/>
            </w:tcBorders>
            <w:shd w:val="clear" w:color="000000" w:fill="EFEAE6"/>
            <w:noWrap/>
            <w:vAlign w:val="bottom"/>
            <w:hideMark/>
          </w:tcPr>
          <w:p w14:paraId="6CFE8E87"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w:t>
            </w:r>
          </w:p>
        </w:tc>
        <w:tc>
          <w:tcPr>
            <w:tcW w:w="1198" w:type="dxa"/>
            <w:tcBorders>
              <w:top w:val="nil"/>
              <w:left w:val="nil"/>
              <w:bottom w:val="single" w:sz="8" w:space="0" w:color="FFFFFF"/>
              <w:right w:val="single" w:sz="8" w:space="0" w:color="FFFFFF"/>
            </w:tcBorders>
            <w:shd w:val="clear" w:color="000000" w:fill="EFEAE6"/>
            <w:noWrap/>
            <w:vAlign w:val="bottom"/>
            <w:hideMark/>
          </w:tcPr>
          <w:p w14:paraId="7CAEB299"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Branch campus</w:t>
            </w:r>
          </w:p>
        </w:tc>
        <w:tc>
          <w:tcPr>
            <w:tcW w:w="1293" w:type="dxa"/>
            <w:tcBorders>
              <w:top w:val="nil"/>
              <w:left w:val="nil"/>
              <w:bottom w:val="single" w:sz="8" w:space="0" w:color="FFFFFF"/>
              <w:right w:val="single" w:sz="8" w:space="0" w:color="FFFFFF"/>
            </w:tcBorders>
            <w:shd w:val="clear" w:color="000000" w:fill="EFEAE6"/>
            <w:noWrap/>
            <w:vAlign w:val="bottom"/>
            <w:hideMark/>
          </w:tcPr>
          <w:p w14:paraId="5506849A"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Branch campus</w:t>
            </w:r>
          </w:p>
        </w:tc>
        <w:tc>
          <w:tcPr>
            <w:tcW w:w="2097" w:type="dxa"/>
            <w:tcBorders>
              <w:top w:val="nil"/>
              <w:left w:val="nil"/>
              <w:bottom w:val="single" w:sz="8" w:space="0" w:color="FFFFFF"/>
              <w:right w:val="single" w:sz="8" w:space="0" w:color="FFFFFF"/>
            </w:tcBorders>
            <w:shd w:val="clear" w:color="000000" w:fill="EFEAE6"/>
            <w:noWrap/>
            <w:vAlign w:val="bottom"/>
            <w:hideMark/>
          </w:tcPr>
          <w:p w14:paraId="7619ECDF"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xml:space="preserve"> ventures/collaboration</w:t>
            </w:r>
          </w:p>
        </w:tc>
        <w:tc>
          <w:tcPr>
            <w:tcW w:w="622" w:type="dxa"/>
            <w:tcBorders>
              <w:top w:val="nil"/>
              <w:left w:val="nil"/>
              <w:bottom w:val="nil"/>
              <w:right w:val="nil"/>
            </w:tcBorders>
            <w:shd w:val="clear" w:color="auto" w:fill="auto"/>
            <w:noWrap/>
            <w:vAlign w:val="bottom"/>
            <w:hideMark/>
          </w:tcPr>
          <w:p w14:paraId="5BA11A8D"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53657C07"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49E2CA47"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Research opportunities</w:t>
            </w:r>
          </w:p>
        </w:tc>
        <w:tc>
          <w:tcPr>
            <w:tcW w:w="2032" w:type="dxa"/>
            <w:tcBorders>
              <w:top w:val="nil"/>
              <w:left w:val="nil"/>
              <w:bottom w:val="single" w:sz="8" w:space="0" w:color="FFFFFF"/>
              <w:right w:val="single" w:sz="8" w:space="0" w:color="FFFFFF"/>
            </w:tcBorders>
            <w:shd w:val="clear" w:color="000000" w:fill="EFEAE6"/>
            <w:noWrap/>
            <w:vAlign w:val="bottom"/>
            <w:hideMark/>
          </w:tcPr>
          <w:p w14:paraId="1C76D931"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Franchising, validation,</w:t>
            </w:r>
          </w:p>
        </w:tc>
        <w:tc>
          <w:tcPr>
            <w:tcW w:w="1198" w:type="dxa"/>
            <w:tcBorders>
              <w:top w:val="nil"/>
              <w:left w:val="nil"/>
              <w:bottom w:val="single" w:sz="8" w:space="0" w:color="FFFFFF"/>
              <w:right w:val="single" w:sz="8" w:space="0" w:color="FFFFFF"/>
            </w:tcBorders>
            <w:shd w:val="clear" w:color="000000" w:fill="EFEAE6"/>
            <w:noWrap/>
            <w:vAlign w:val="bottom"/>
            <w:hideMark/>
          </w:tcPr>
          <w:p w14:paraId="1676E6A6"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w:t>
            </w:r>
          </w:p>
        </w:tc>
        <w:tc>
          <w:tcPr>
            <w:tcW w:w="1293" w:type="dxa"/>
            <w:tcBorders>
              <w:top w:val="nil"/>
              <w:left w:val="nil"/>
              <w:bottom w:val="single" w:sz="8" w:space="0" w:color="FFFFFF"/>
              <w:right w:val="single" w:sz="8" w:space="0" w:color="FFFFFF"/>
            </w:tcBorders>
            <w:shd w:val="clear" w:color="000000" w:fill="EFEAE6"/>
            <w:noWrap/>
            <w:vAlign w:val="bottom"/>
            <w:hideMark/>
          </w:tcPr>
          <w:p w14:paraId="6A7B2A78"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w:t>
            </w:r>
          </w:p>
        </w:tc>
        <w:tc>
          <w:tcPr>
            <w:tcW w:w="2097" w:type="dxa"/>
            <w:tcBorders>
              <w:top w:val="nil"/>
              <w:left w:val="nil"/>
              <w:bottom w:val="single" w:sz="8" w:space="0" w:color="FFFFFF"/>
              <w:right w:val="single" w:sz="8" w:space="0" w:color="FFFFFF"/>
            </w:tcBorders>
            <w:shd w:val="clear" w:color="000000" w:fill="EFEAE6"/>
            <w:noWrap/>
            <w:vAlign w:val="bottom"/>
            <w:hideMark/>
          </w:tcPr>
          <w:p w14:paraId="12193854"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Joint collaboration</w:t>
            </w:r>
          </w:p>
        </w:tc>
        <w:tc>
          <w:tcPr>
            <w:tcW w:w="622" w:type="dxa"/>
            <w:tcBorders>
              <w:top w:val="nil"/>
              <w:left w:val="nil"/>
              <w:bottom w:val="nil"/>
              <w:right w:val="nil"/>
            </w:tcBorders>
            <w:shd w:val="clear" w:color="auto" w:fill="auto"/>
            <w:noWrap/>
            <w:vAlign w:val="bottom"/>
            <w:hideMark/>
          </w:tcPr>
          <w:p w14:paraId="6C92B638" w14:textId="77777777" w:rsidR="00BF4C0E" w:rsidRPr="00BF4C0E" w:rsidRDefault="00BF4C0E" w:rsidP="00BF4C0E">
            <w:pPr>
              <w:spacing w:after="0" w:line="240" w:lineRule="auto"/>
              <w:rPr>
                <w:rFonts w:ascii="Calibri" w:eastAsia="Times New Roman" w:hAnsi="Calibri" w:cs="Calibri"/>
                <w:color w:val="000000"/>
                <w:lang w:eastAsia="en-GB"/>
              </w:rPr>
            </w:pPr>
          </w:p>
        </w:tc>
      </w:tr>
      <w:tr w:rsidR="00BF4C0E" w:rsidRPr="00BF4C0E" w14:paraId="417B0152" w14:textId="77777777" w:rsidTr="00BF4C0E">
        <w:trPr>
          <w:trHeight w:val="324"/>
        </w:trPr>
        <w:tc>
          <w:tcPr>
            <w:tcW w:w="2010" w:type="dxa"/>
            <w:tcBorders>
              <w:top w:val="nil"/>
              <w:left w:val="single" w:sz="8" w:space="0" w:color="FFFFFF"/>
              <w:bottom w:val="single" w:sz="8" w:space="0" w:color="FFFFFF"/>
              <w:right w:val="single" w:sz="8" w:space="0" w:color="FFFFFF"/>
            </w:tcBorders>
            <w:shd w:val="clear" w:color="000000" w:fill="EFEAE6"/>
            <w:noWrap/>
            <w:vAlign w:val="bottom"/>
            <w:hideMark/>
          </w:tcPr>
          <w:p w14:paraId="7753F1C8"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w:t>
            </w:r>
          </w:p>
        </w:tc>
        <w:tc>
          <w:tcPr>
            <w:tcW w:w="2032" w:type="dxa"/>
            <w:tcBorders>
              <w:top w:val="nil"/>
              <w:left w:val="nil"/>
              <w:bottom w:val="single" w:sz="8" w:space="0" w:color="FFFFFF"/>
              <w:right w:val="single" w:sz="8" w:space="0" w:color="FFFFFF"/>
            </w:tcBorders>
            <w:shd w:val="clear" w:color="000000" w:fill="EFEAE6"/>
            <w:noWrap/>
            <w:vAlign w:val="bottom"/>
            <w:hideMark/>
          </w:tcPr>
          <w:p w14:paraId="6A6F6C4E"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articulation, distance learning</w:t>
            </w:r>
          </w:p>
        </w:tc>
        <w:tc>
          <w:tcPr>
            <w:tcW w:w="1198" w:type="dxa"/>
            <w:tcBorders>
              <w:top w:val="nil"/>
              <w:left w:val="nil"/>
              <w:bottom w:val="single" w:sz="8" w:space="0" w:color="FFFFFF"/>
              <w:right w:val="single" w:sz="8" w:space="0" w:color="FFFFFF"/>
            </w:tcBorders>
            <w:shd w:val="clear" w:color="000000" w:fill="EFEAE6"/>
            <w:noWrap/>
            <w:vAlign w:val="bottom"/>
            <w:hideMark/>
          </w:tcPr>
          <w:p w14:paraId="4F9AE6D8"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w:t>
            </w:r>
          </w:p>
        </w:tc>
        <w:tc>
          <w:tcPr>
            <w:tcW w:w="1293" w:type="dxa"/>
            <w:tcBorders>
              <w:top w:val="nil"/>
              <w:left w:val="nil"/>
              <w:bottom w:val="single" w:sz="8" w:space="0" w:color="FFFFFF"/>
              <w:right w:val="single" w:sz="8" w:space="0" w:color="FFFFFF"/>
            </w:tcBorders>
            <w:shd w:val="clear" w:color="000000" w:fill="EFEAE6"/>
            <w:noWrap/>
            <w:vAlign w:val="bottom"/>
            <w:hideMark/>
          </w:tcPr>
          <w:p w14:paraId="0496C5A3"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 </w:t>
            </w:r>
          </w:p>
        </w:tc>
        <w:tc>
          <w:tcPr>
            <w:tcW w:w="2097" w:type="dxa"/>
            <w:tcBorders>
              <w:top w:val="nil"/>
              <w:left w:val="nil"/>
              <w:bottom w:val="single" w:sz="8" w:space="0" w:color="FFFFFF"/>
              <w:right w:val="single" w:sz="8" w:space="0" w:color="FFFFFF"/>
            </w:tcBorders>
            <w:shd w:val="clear" w:color="000000" w:fill="EFEAE6"/>
            <w:noWrap/>
            <w:vAlign w:val="bottom"/>
            <w:hideMark/>
          </w:tcPr>
          <w:p w14:paraId="2728B789" w14:textId="77777777" w:rsidR="00BF4C0E" w:rsidRPr="00BF4C0E" w:rsidRDefault="00BF4C0E" w:rsidP="00BF4C0E">
            <w:pPr>
              <w:spacing w:after="0" w:line="240" w:lineRule="auto"/>
              <w:jc w:val="center"/>
              <w:rPr>
                <w:rFonts w:ascii="Calibri" w:eastAsia="Times New Roman" w:hAnsi="Calibri" w:cs="Calibri"/>
                <w:color w:val="000000"/>
                <w:lang w:eastAsia="en-GB"/>
              </w:rPr>
            </w:pPr>
            <w:r w:rsidRPr="00BF4C0E">
              <w:rPr>
                <w:rFonts w:ascii="Calibri" w:eastAsia="Times New Roman" w:hAnsi="Calibri" w:cs="Calibri"/>
                <w:color w:val="000000"/>
                <w:lang w:eastAsia="en-GB"/>
              </w:rPr>
              <w:t>Branch campus</w:t>
            </w:r>
          </w:p>
        </w:tc>
        <w:tc>
          <w:tcPr>
            <w:tcW w:w="622" w:type="dxa"/>
            <w:tcBorders>
              <w:top w:val="nil"/>
              <w:left w:val="nil"/>
              <w:bottom w:val="nil"/>
              <w:right w:val="nil"/>
            </w:tcBorders>
            <w:shd w:val="clear" w:color="auto" w:fill="auto"/>
            <w:noWrap/>
            <w:vAlign w:val="bottom"/>
            <w:hideMark/>
          </w:tcPr>
          <w:p w14:paraId="6015DAE2" w14:textId="77777777" w:rsidR="00BF4C0E" w:rsidRPr="00BF4C0E" w:rsidRDefault="00BF4C0E" w:rsidP="00BF4C0E">
            <w:pPr>
              <w:spacing w:after="0" w:line="240" w:lineRule="auto"/>
              <w:rPr>
                <w:rFonts w:ascii="Calibri" w:eastAsia="Times New Roman" w:hAnsi="Calibri" w:cs="Calibri"/>
                <w:color w:val="000000"/>
                <w:lang w:eastAsia="en-GB"/>
              </w:rPr>
            </w:pPr>
          </w:p>
        </w:tc>
      </w:tr>
    </w:tbl>
    <w:p w14:paraId="26EE6BE0" w14:textId="77777777" w:rsidR="00944C61" w:rsidRPr="000672E5" w:rsidRDefault="00944C61" w:rsidP="00E114E2">
      <w:pPr>
        <w:jc w:val="both"/>
        <w:rPr>
          <w:rFonts w:cstheme="minorHAnsi"/>
          <w:sz w:val="28"/>
          <w:szCs w:val="28"/>
        </w:rPr>
      </w:pPr>
    </w:p>
    <w:p w14:paraId="23AD35FC" w14:textId="7445E5F6" w:rsidR="00DC3691" w:rsidRPr="000672E5" w:rsidRDefault="00AE7196" w:rsidP="00776903">
      <w:pPr>
        <w:jc w:val="both"/>
        <w:rPr>
          <w:rFonts w:cstheme="minorHAnsi"/>
          <w:sz w:val="28"/>
          <w:szCs w:val="28"/>
        </w:rPr>
      </w:pPr>
      <w:r>
        <w:rPr>
          <w:rFonts w:cstheme="minorHAnsi"/>
          <w:sz w:val="28"/>
          <w:szCs w:val="28"/>
        </w:rPr>
        <w:t>L</w:t>
      </w:r>
      <w:r w:rsidR="00776903" w:rsidRPr="000672E5">
        <w:rPr>
          <w:rFonts w:cstheme="minorHAnsi"/>
          <w:sz w:val="28"/>
          <w:szCs w:val="28"/>
        </w:rPr>
        <w:t xml:space="preserve">ow return-high risk-low visibility validation partnerships will continue to interest </w:t>
      </w:r>
      <w:r w:rsidR="00A260E3" w:rsidRPr="000672E5">
        <w:rPr>
          <w:rFonts w:cstheme="minorHAnsi"/>
          <w:sz w:val="28"/>
          <w:szCs w:val="28"/>
        </w:rPr>
        <w:t xml:space="preserve">only </w:t>
      </w:r>
      <w:r w:rsidR="00776903" w:rsidRPr="000672E5">
        <w:rPr>
          <w:rFonts w:cstheme="minorHAnsi"/>
          <w:sz w:val="28"/>
          <w:szCs w:val="28"/>
        </w:rPr>
        <w:t xml:space="preserve">a </w:t>
      </w:r>
      <w:r w:rsidR="00A260E3" w:rsidRPr="000672E5">
        <w:rPr>
          <w:rFonts w:cstheme="minorHAnsi"/>
          <w:sz w:val="28"/>
          <w:szCs w:val="28"/>
        </w:rPr>
        <w:t xml:space="preserve">relatively </w:t>
      </w:r>
      <w:r w:rsidR="00776903" w:rsidRPr="000672E5">
        <w:rPr>
          <w:rFonts w:cstheme="minorHAnsi"/>
          <w:sz w:val="28"/>
          <w:szCs w:val="28"/>
        </w:rPr>
        <w:t xml:space="preserve">small group of mainly ex-polytechnic universities but, </w:t>
      </w:r>
      <w:r w:rsidR="00776903" w:rsidRPr="000672E5">
        <w:rPr>
          <w:rFonts w:cstheme="minorHAnsi"/>
          <w:sz w:val="28"/>
          <w:szCs w:val="28"/>
        </w:rPr>
        <w:lastRenderedPageBreak/>
        <w:t>in overall terms,</w:t>
      </w:r>
      <w:r w:rsidR="00DC3691" w:rsidRPr="000672E5">
        <w:rPr>
          <w:rFonts w:cstheme="minorHAnsi"/>
          <w:sz w:val="28"/>
          <w:szCs w:val="28"/>
        </w:rPr>
        <w:t xml:space="preserve"> validation enrolments could fall quite appreciably. For example, Staffordshire University’s offshore enrolments declined by over 4,000 (20% of total) in 2016/17. </w:t>
      </w:r>
    </w:p>
    <w:p w14:paraId="5BBCCE2B" w14:textId="77777777" w:rsidR="00432A63" w:rsidRDefault="00432A63" w:rsidP="00A36101">
      <w:pPr>
        <w:jc w:val="both"/>
        <w:rPr>
          <w:rFonts w:cstheme="minorHAnsi"/>
          <w:sz w:val="28"/>
          <w:szCs w:val="28"/>
        </w:rPr>
      </w:pPr>
      <w:r>
        <w:rPr>
          <w:rFonts w:cstheme="minorHAnsi"/>
          <w:b/>
          <w:sz w:val="28"/>
          <w:szCs w:val="28"/>
        </w:rPr>
        <w:t xml:space="preserve">5.1.2 </w:t>
      </w:r>
      <w:r w:rsidR="002D49F0" w:rsidRPr="000672E5">
        <w:rPr>
          <w:rFonts w:cstheme="minorHAnsi"/>
          <w:b/>
          <w:sz w:val="28"/>
          <w:szCs w:val="28"/>
        </w:rPr>
        <w:t>International competition</w:t>
      </w:r>
    </w:p>
    <w:p w14:paraId="46FCD492" w14:textId="753E2714" w:rsidR="00A36101" w:rsidRPr="000672E5" w:rsidRDefault="00DC3691" w:rsidP="00A36101">
      <w:pPr>
        <w:jc w:val="both"/>
        <w:rPr>
          <w:rFonts w:cstheme="minorHAnsi"/>
          <w:sz w:val="28"/>
          <w:szCs w:val="28"/>
        </w:rPr>
      </w:pPr>
      <w:r w:rsidRPr="000672E5">
        <w:rPr>
          <w:rFonts w:cstheme="minorHAnsi"/>
          <w:sz w:val="28"/>
          <w:szCs w:val="28"/>
        </w:rPr>
        <w:t xml:space="preserve">Despite the growing interest in </w:t>
      </w:r>
      <w:r w:rsidR="002D49F0" w:rsidRPr="000672E5">
        <w:rPr>
          <w:rFonts w:cstheme="minorHAnsi"/>
          <w:sz w:val="28"/>
          <w:szCs w:val="28"/>
        </w:rPr>
        <w:t xml:space="preserve">the </w:t>
      </w:r>
      <w:r w:rsidRPr="000672E5">
        <w:rPr>
          <w:rFonts w:cstheme="minorHAnsi"/>
          <w:sz w:val="28"/>
          <w:szCs w:val="28"/>
        </w:rPr>
        <w:t>internationalisation of hi</w:t>
      </w:r>
      <w:r w:rsidR="00F56D36">
        <w:rPr>
          <w:rFonts w:cstheme="minorHAnsi"/>
          <w:sz w:val="28"/>
          <w:szCs w:val="28"/>
        </w:rPr>
        <w:t xml:space="preserve">gher education provision, it seems </w:t>
      </w:r>
      <w:r w:rsidRPr="000672E5">
        <w:rPr>
          <w:rFonts w:cstheme="minorHAnsi"/>
          <w:sz w:val="28"/>
          <w:szCs w:val="28"/>
        </w:rPr>
        <w:t xml:space="preserve">unlikely that the </w:t>
      </w:r>
      <w:r w:rsidR="00512953">
        <w:rPr>
          <w:rFonts w:cstheme="minorHAnsi"/>
          <w:sz w:val="28"/>
          <w:szCs w:val="28"/>
        </w:rPr>
        <w:t xml:space="preserve">British </w:t>
      </w:r>
      <w:r w:rsidRPr="000672E5">
        <w:rPr>
          <w:rFonts w:cstheme="minorHAnsi"/>
          <w:sz w:val="28"/>
          <w:szCs w:val="28"/>
        </w:rPr>
        <w:t xml:space="preserve">and Australian </w:t>
      </w:r>
      <w:r w:rsidR="00512953">
        <w:rPr>
          <w:rFonts w:cstheme="minorHAnsi"/>
          <w:sz w:val="28"/>
          <w:szCs w:val="28"/>
        </w:rPr>
        <w:t xml:space="preserve">university </w:t>
      </w:r>
      <w:r w:rsidRPr="000672E5">
        <w:rPr>
          <w:rFonts w:cstheme="minorHAnsi"/>
          <w:sz w:val="28"/>
          <w:szCs w:val="28"/>
        </w:rPr>
        <w:t xml:space="preserve">dominance of </w:t>
      </w:r>
      <w:r w:rsidR="002D49F0" w:rsidRPr="000672E5">
        <w:rPr>
          <w:rFonts w:cstheme="minorHAnsi"/>
          <w:sz w:val="28"/>
          <w:szCs w:val="28"/>
        </w:rPr>
        <w:t xml:space="preserve">offshore </w:t>
      </w:r>
      <w:r w:rsidRPr="000672E5">
        <w:rPr>
          <w:rFonts w:cstheme="minorHAnsi"/>
          <w:sz w:val="28"/>
          <w:szCs w:val="28"/>
        </w:rPr>
        <w:t xml:space="preserve">overseas partnerships will be </w:t>
      </w:r>
      <w:r w:rsidR="00BE73D0" w:rsidRPr="000672E5">
        <w:rPr>
          <w:rFonts w:cstheme="minorHAnsi"/>
          <w:sz w:val="28"/>
          <w:szCs w:val="28"/>
        </w:rPr>
        <w:t>s</w:t>
      </w:r>
      <w:r w:rsidR="00205F19">
        <w:rPr>
          <w:rFonts w:cstheme="minorHAnsi"/>
          <w:sz w:val="28"/>
          <w:szCs w:val="28"/>
        </w:rPr>
        <w:t xml:space="preserve">ignificantly </w:t>
      </w:r>
      <w:r w:rsidRPr="000672E5">
        <w:rPr>
          <w:rFonts w:cstheme="minorHAnsi"/>
          <w:sz w:val="28"/>
          <w:szCs w:val="28"/>
        </w:rPr>
        <w:t>threatened</w:t>
      </w:r>
      <w:r w:rsidR="00205F19">
        <w:rPr>
          <w:rFonts w:cstheme="minorHAnsi"/>
          <w:sz w:val="28"/>
          <w:szCs w:val="28"/>
        </w:rPr>
        <w:t>, at least for the next five-ten years</w:t>
      </w:r>
      <w:r w:rsidRPr="000672E5">
        <w:rPr>
          <w:rFonts w:cstheme="minorHAnsi"/>
          <w:sz w:val="28"/>
          <w:szCs w:val="28"/>
        </w:rPr>
        <w:t>.</w:t>
      </w:r>
      <w:r w:rsidR="00A36101" w:rsidRPr="000672E5">
        <w:rPr>
          <w:rFonts w:cstheme="minorHAnsi"/>
          <w:sz w:val="28"/>
          <w:szCs w:val="28"/>
        </w:rPr>
        <w:t xml:space="preserve"> A </w:t>
      </w:r>
      <w:r w:rsidR="00BE73D0" w:rsidRPr="000672E5">
        <w:rPr>
          <w:rFonts w:cstheme="minorHAnsi"/>
          <w:sz w:val="28"/>
          <w:szCs w:val="28"/>
        </w:rPr>
        <w:t xml:space="preserve">quick </w:t>
      </w:r>
      <w:r w:rsidR="00A36101" w:rsidRPr="000672E5">
        <w:rPr>
          <w:rFonts w:cstheme="minorHAnsi"/>
          <w:sz w:val="28"/>
          <w:szCs w:val="28"/>
        </w:rPr>
        <w:t>examination of overseas par</w:t>
      </w:r>
      <w:r w:rsidR="00BE73D0" w:rsidRPr="000672E5">
        <w:rPr>
          <w:rFonts w:cstheme="minorHAnsi"/>
          <w:sz w:val="28"/>
          <w:szCs w:val="28"/>
        </w:rPr>
        <w:t xml:space="preserve">tnership agreements at a selection of major </w:t>
      </w:r>
      <w:r w:rsidR="00A36101" w:rsidRPr="000672E5">
        <w:rPr>
          <w:rFonts w:cstheme="minorHAnsi"/>
          <w:sz w:val="28"/>
          <w:szCs w:val="28"/>
        </w:rPr>
        <w:t xml:space="preserve">universities </w:t>
      </w:r>
      <w:r w:rsidR="00BE73D0" w:rsidRPr="000672E5">
        <w:rPr>
          <w:rFonts w:cstheme="minorHAnsi"/>
          <w:sz w:val="28"/>
          <w:szCs w:val="28"/>
        </w:rPr>
        <w:t xml:space="preserve">in Europe and North America </w:t>
      </w:r>
      <w:r w:rsidR="00A36101" w:rsidRPr="000672E5">
        <w:rPr>
          <w:rFonts w:cstheme="minorHAnsi"/>
          <w:sz w:val="28"/>
          <w:szCs w:val="28"/>
        </w:rPr>
        <w:t xml:space="preserve">indicates that most university overseas partnerships continue to focus on student and faculty exchange and research. </w:t>
      </w:r>
      <w:r w:rsidR="00BE73D0" w:rsidRPr="000672E5">
        <w:rPr>
          <w:rFonts w:cstheme="minorHAnsi"/>
          <w:sz w:val="28"/>
          <w:szCs w:val="28"/>
        </w:rPr>
        <w:t xml:space="preserve">For most </w:t>
      </w:r>
      <w:r w:rsidR="00A855B6" w:rsidRPr="000672E5">
        <w:rPr>
          <w:rFonts w:cstheme="minorHAnsi"/>
          <w:sz w:val="28"/>
          <w:szCs w:val="28"/>
        </w:rPr>
        <w:t>universities</w:t>
      </w:r>
      <w:r w:rsidR="00BE73D0" w:rsidRPr="000672E5">
        <w:rPr>
          <w:rFonts w:cstheme="minorHAnsi"/>
          <w:sz w:val="28"/>
          <w:szCs w:val="28"/>
        </w:rPr>
        <w:t>, t</w:t>
      </w:r>
      <w:r w:rsidR="00A36101" w:rsidRPr="000672E5">
        <w:rPr>
          <w:rFonts w:cstheme="minorHAnsi"/>
          <w:sz w:val="28"/>
          <w:szCs w:val="28"/>
        </w:rPr>
        <w:t xml:space="preserve">he main </w:t>
      </w:r>
      <w:r w:rsidR="00BE73D0" w:rsidRPr="000672E5">
        <w:rPr>
          <w:rFonts w:cstheme="minorHAnsi"/>
          <w:sz w:val="28"/>
          <w:szCs w:val="28"/>
        </w:rPr>
        <w:t xml:space="preserve">thrust of their internationalisation strategies </w:t>
      </w:r>
      <w:r w:rsidR="00A855B6" w:rsidRPr="000672E5">
        <w:rPr>
          <w:rFonts w:cstheme="minorHAnsi"/>
          <w:sz w:val="28"/>
          <w:szCs w:val="28"/>
        </w:rPr>
        <w:t>will continue</w:t>
      </w:r>
      <w:r w:rsidR="00A36101" w:rsidRPr="000672E5">
        <w:rPr>
          <w:rFonts w:cstheme="minorHAnsi"/>
          <w:sz w:val="28"/>
          <w:szCs w:val="28"/>
        </w:rPr>
        <w:t xml:space="preserve"> to be attracting </w:t>
      </w:r>
      <w:r w:rsidR="00BE73D0" w:rsidRPr="000672E5">
        <w:rPr>
          <w:rFonts w:cstheme="minorHAnsi"/>
          <w:sz w:val="28"/>
          <w:szCs w:val="28"/>
        </w:rPr>
        <w:t xml:space="preserve">onshore </w:t>
      </w:r>
      <w:r w:rsidR="00A36101" w:rsidRPr="000672E5">
        <w:rPr>
          <w:rFonts w:cstheme="minorHAnsi"/>
          <w:sz w:val="28"/>
          <w:szCs w:val="28"/>
        </w:rPr>
        <w:t xml:space="preserve">overseas students. </w:t>
      </w:r>
      <w:r w:rsidR="00A855B6" w:rsidRPr="000672E5">
        <w:rPr>
          <w:rFonts w:cstheme="minorHAnsi"/>
          <w:sz w:val="28"/>
          <w:szCs w:val="28"/>
        </w:rPr>
        <w:t xml:space="preserve">Large for-profit education corporations do not generally get involved in FVA course provision precisely because most </w:t>
      </w:r>
      <w:r w:rsidR="00AE7196">
        <w:rPr>
          <w:rFonts w:cstheme="minorHAnsi"/>
          <w:sz w:val="28"/>
          <w:szCs w:val="28"/>
        </w:rPr>
        <w:t xml:space="preserve">of it </w:t>
      </w:r>
      <w:r w:rsidR="00A855B6" w:rsidRPr="000672E5">
        <w:rPr>
          <w:rFonts w:cstheme="minorHAnsi"/>
          <w:sz w:val="28"/>
          <w:szCs w:val="28"/>
        </w:rPr>
        <w:t>is not very profitable.</w:t>
      </w:r>
      <w:r w:rsidR="00AE7196">
        <w:rPr>
          <w:rFonts w:cstheme="minorHAnsi"/>
          <w:sz w:val="28"/>
          <w:szCs w:val="28"/>
        </w:rPr>
        <w:t xml:space="preserve"> However, more lucrative high input franchising courses could be of interest to major education corporations such as Kaplan</w:t>
      </w:r>
      <w:r w:rsidR="00AE7196">
        <w:rPr>
          <w:rStyle w:val="FootnoteReference"/>
          <w:rFonts w:cstheme="minorHAnsi"/>
          <w:sz w:val="28"/>
          <w:szCs w:val="28"/>
        </w:rPr>
        <w:footnoteReference w:id="8"/>
      </w:r>
      <w:r w:rsidR="00AE7196">
        <w:rPr>
          <w:rFonts w:cstheme="minorHAnsi"/>
          <w:sz w:val="28"/>
          <w:szCs w:val="28"/>
        </w:rPr>
        <w:t>.</w:t>
      </w:r>
      <w:r w:rsidR="00A855B6" w:rsidRPr="000672E5">
        <w:rPr>
          <w:rFonts w:cstheme="minorHAnsi"/>
          <w:sz w:val="28"/>
          <w:szCs w:val="28"/>
        </w:rPr>
        <w:t xml:space="preserve"> </w:t>
      </w:r>
    </w:p>
    <w:p w14:paraId="30AC7C79" w14:textId="77777777" w:rsidR="00432A63" w:rsidRDefault="00432A63" w:rsidP="00636533">
      <w:pPr>
        <w:jc w:val="both"/>
        <w:rPr>
          <w:rFonts w:cstheme="minorHAnsi"/>
          <w:b/>
          <w:sz w:val="28"/>
          <w:szCs w:val="28"/>
        </w:rPr>
      </w:pPr>
      <w:r>
        <w:rPr>
          <w:rFonts w:cstheme="minorHAnsi"/>
          <w:b/>
          <w:sz w:val="28"/>
          <w:szCs w:val="28"/>
        </w:rPr>
        <w:t xml:space="preserve">5.1.3 </w:t>
      </w:r>
      <w:r w:rsidR="00636533" w:rsidRPr="000672E5">
        <w:rPr>
          <w:rFonts w:cstheme="minorHAnsi"/>
          <w:b/>
          <w:sz w:val="28"/>
          <w:szCs w:val="28"/>
        </w:rPr>
        <w:t>Futur</w:t>
      </w:r>
      <w:r>
        <w:rPr>
          <w:rFonts w:cstheme="minorHAnsi"/>
          <w:b/>
          <w:sz w:val="28"/>
          <w:szCs w:val="28"/>
        </w:rPr>
        <w:t>e demand for offshore provision</w:t>
      </w:r>
    </w:p>
    <w:p w14:paraId="6C73BE93" w14:textId="642FEB52" w:rsidR="00636533" w:rsidRPr="000672E5" w:rsidRDefault="00636533" w:rsidP="00636533">
      <w:pPr>
        <w:jc w:val="both"/>
        <w:rPr>
          <w:rFonts w:cstheme="minorHAnsi"/>
          <w:sz w:val="28"/>
          <w:szCs w:val="28"/>
        </w:rPr>
      </w:pPr>
      <w:r w:rsidRPr="000672E5">
        <w:rPr>
          <w:rFonts w:cstheme="minorHAnsi"/>
          <w:sz w:val="28"/>
          <w:szCs w:val="28"/>
        </w:rPr>
        <w:t>The 2014 BIS report noted that ‘overseas partners are increasingly seeking to going it alone as they gain confidence and, in many cases, their own degree-awarding powers’ (p.55).  More up to date information is needed, but it is quite possible that, as national higher education systems mature, universities will independently establish their own overseas partnerships and reduce, and even phase out, their involvements with UK and other foreign universities.</w:t>
      </w:r>
    </w:p>
    <w:p w14:paraId="2F630FEE" w14:textId="77777777" w:rsidR="00A36101" w:rsidRPr="000672E5" w:rsidRDefault="00A36101" w:rsidP="00A36101">
      <w:pPr>
        <w:jc w:val="both"/>
        <w:rPr>
          <w:rFonts w:cstheme="minorHAnsi"/>
          <w:sz w:val="28"/>
          <w:szCs w:val="28"/>
        </w:rPr>
      </w:pPr>
      <w:r w:rsidRPr="000672E5">
        <w:rPr>
          <w:rFonts w:cstheme="minorHAnsi"/>
          <w:sz w:val="28"/>
          <w:szCs w:val="28"/>
        </w:rPr>
        <w:t xml:space="preserve">The acute shortage of national higher education capacity to meet burgeoning demand for higher education in low and middle income developing countries </w:t>
      </w:r>
      <w:r w:rsidR="00CC0BE2" w:rsidRPr="000672E5">
        <w:rPr>
          <w:rFonts w:cstheme="minorHAnsi"/>
          <w:sz w:val="28"/>
          <w:szCs w:val="28"/>
        </w:rPr>
        <w:t>is seen by the offshore optimists as continuing to fuel the growth of offshore provision. However, the a</w:t>
      </w:r>
      <w:r w:rsidRPr="000672E5">
        <w:rPr>
          <w:rFonts w:cstheme="minorHAnsi"/>
          <w:sz w:val="28"/>
          <w:szCs w:val="28"/>
        </w:rPr>
        <w:t>ffordability</w:t>
      </w:r>
      <w:r w:rsidR="00CC0BE2" w:rsidRPr="000672E5">
        <w:rPr>
          <w:rFonts w:cstheme="minorHAnsi"/>
          <w:sz w:val="28"/>
          <w:szCs w:val="28"/>
        </w:rPr>
        <w:t xml:space="preserve"> of offshore courses will </w:t>
      </w:r>
      <w:r w:rsidR="00EE5132" w:rsidRPr="000672E5">
        <w:rPr>
          <w:rFonts w:cstheme="minorHAnsi"/>
          <w:sz w:val="28"/>
          <w:szCs w:val="28"/>
        </w:rPr>
        <w:t xml:space="preserve">continue to </w:t>
      </w:r>
      <w:r w:rsidR="00CC0BE2" w:rsidRPr="000672E5">
        <w:rPr>
          <w:rFonts w:cstheme="minorHAnsi"/>
          <w:sz w:val="28"/>
          <w:szCs w:val="28"/>
        </w:rPr>
        <w:t xml:space="preserve">seriously constrain demand especially in low income countries in sub-Saharan </w:t>
      </w:r>
      <w:r w:rsidR="00CC0BE2" w:rsidRPr="000672E5">
        <w:rPr>
          <w:rFonts w:cstheme="minorHAnsi"/>
          <w:sz w:val="28"/>
          <w:szCs w:val="28"/>
        </w:rPr>
        <w:lastRenderedPageBreak/>
        <w:t>Africa and South Asia</w:t>
      </w:r>
      <w:r w:rsidRPr="000672E5">
        <w:rPr>
          <w:rFonts w:cstheme="minorHAnsi"/>
          <w:sz w:val="28"/>
          <w:szCs w:val="28"/>
        </w:rPr>
        <w:t xml:space="preserve">. </w:t>
      </w:r>
      <w:r w:rsidR="00636533" w:rsidRPr="000672E5">
        <w:rPr>
          <w:rStyle w:val="FootnoteReference"/>
          <w:rFonts w:cstheme="minorHAnsi"/>
          <w:sz w:val="28"/>
          <w:szCs w:val="28"/>
        </w:rPr>
        <w:footnoteReference w:id="9"/>
      </w:r>
      <w:r w:rsidR="00C229FB" w:rsidRPr="000672E5">
        <w:rPr>
          <w:rFonts w:cstheme="minorHAnsi"/>
          <w:sz w:val="28"/>
          <w:szCs w:val="28"/>
        </w:rPr>
        <w:t xml:space="preserve"> The narrow range of subjects offered by overseas partners is also unlikely to change markedly in the </w:t>
      </w:r>
      <w:r w:rsidR="0006196B" w:rsidRPr="000672E5">
        <w:rPr>
          <w:rFonts w:cstheme="minorHAnsi"/>
          <w:sz w:val="28"/>
          <w:szCs w:val="28"/>
        </w:rPr>
        <w:t>near to medium term.</w:t>
      </w:r>
      <w:r w:rsidR="00C229FB" w:rsidRPr="000672E5">
        <w:rPr>
          <w:rFonts w:cstheme="minorHAnsi"/>
          <w:sz w:val="28"/>
          <w:szCs w:val="28"/>
        </w:rPr>
        <w:t xml:space="preserve"> </w:t>
      </w:r>
    </w:p>
    <w:p w14:paraId="0666E120" w14:textId="77777777" w:rsidR="00BE73D0" w:rsidRPr="000672E5" w:rsidRDefault="00A855B6" w:rsidP="00BE73D0">
      <w:pPr>
        <w:jc w:val="both"/>
        <w:rPr>
          <w:rFonts w:cstheme="minorHAnsi"/>
          <w:sz w:val="28"/>
          <w:szCs w:val="28"/>
        </w:rPr>
      </w:pPr>
      <w:r w:rsidRPr="000672E5">
        <w:rPr>
          <w:rFonts w:cstheme="minorHAnsi"/>
          <w:sz w:val="28"/>
          <w:szCs w:val="28"/>
        </w:rPr>
        <w:t xml:space="preserve">As discussed earlier, </w:t>
      </w:r>
      <w:r w:rsidR="00BE73D0" w:rsidRPr="000672E5">
        <w:rPr>
          <w:rFonts w:cstheme="minorHAnsi"/>
          <w:sz w:val="28"/>
          <w:szCs w:val="28"/>
        </w:rPr>
        <w:t>UK offshore enrolments are heavily concentrated in a small group of countries</w:t>
      </w:r>
      <w:r w:rsidR="0006196B" w:rsidRPr="000672E5">
        <w:rPr>
          <w:rFonts w:cstheme="minorHAnsi"/>
          <w:sz w:val="28"/>
          <w:szCs w:val="28"/>
        </w:rPr>
        <w:t>,</w:t>
      </w:r>
      <w:r w:rsidR="00BE73D0" w:rsidRPr="000672E5">
        <w:rPr>
          <w:rFonts w:cstheme="minorHAnsi"/>
          <w:sz w:val="28"/>
          <w:szCs w:val="28"/>
        </w:rPr>
        <w:t xml:space="preserve"> </w:t>
      </w:r>
      <w:r w:rsidRPr="000672E5">
        <w:rPr>
          <w:rFonts w:cstheme="minorHAnsi"/>
          <w:sz w:val="28"/>
          <w:szCs w:val="28"/>
        </w:rPr>
        <w:t xml:space="preserve">all of </w:t>
      </w:r>
      <w:r w:rsidR="00BE73D0" w:rsidRPr="000672E5">
        <w:rPr>
          <w:rFonts w:cstheme="minorHAnsi"/>
          <w:sz w:val="28"/>
          <w:szCs w:val="28"/>
        </w:rPr>
        <w:t xml:space="preserve">which have </w:t>
      </w:r>
      <w:r w:rsidRPr="000672E5">
        <w:rPr>
          <w:rFonts w:cstheme="minorHAnsi"/>
          <w:sz w:val="28"/>
          <w:szCs w:val="28"/>
        </w:rPr>
        <w:t>ambitious goals with regard</w:t>
      </w:r>
      <w:r w:rsidR="00F56D36">
        <w:rPr>
          <w:rFonts w:cstheme="minorHAnsi"/>
          <w:sz w:val="28"/>
          <w:szCs w:val="28"/>
        </w:rPr>
        <w:t xml:space="preserve"> to </w:t>
      </w:r>
      <w:r w:rsidRPr="000672E5">
        <w:rPr>
          <w:rFonts w:cstheme="minorHAnsi"/>
          <w:sz w:val="28"/>
          <w:szCs w:val="28"/>
        </w:rPr>
        <w:t xml:space="preserve">the development of their </w:t>
      </w:r>
      <w:r w:rsidR="00C229FB" w:rsidRPr="000672E5">
        <w:rPr>
          <w:rFonts w:cstheme="minorHAnsi"/>
          <w:sz w:val="28"/>
          <w:szCs w:val="28"/>
        </w:rPr>
        <w:t xml:space="preserve">own </w:t>
      </w:r>
      <w:r w:rsidRPr="000672E5">
        <w:rPr>
          <w:rFonts w:cstheme="minorHAnsi"/>
          <w:sz w:val="28"/>
          <w:szCs w:val="28"/>
        </w:rPr>
        <w:t>universit</w:t>
      </w:r>
      <w:r w:rsidR="00C229FB" w:rsidRPr="000672E5">
        <w:rPr>
          <w:rFonts w:cstheme="minorHAnsi"/>
          <w:sz w:val="28"/>
          <w:szCs w:val="28"/>
        </w:rPr>
        <w:t>ies</w:t>
      </w:r>
      <w:r w:rsidRPr="000672E5">
        <w:rPr>
          <w:rFonts w:cstheme="minorHAnsi"/>
          <w:sz w:val="28"/>
          <w:szCs w:val="28"/>
        </w:rPr>
        <w:t xml:space="preserve"> both nationally and also as</w:t>
      </w:r>
      <w:r w:rsidR="00BE73D0" w:rsidRPr="000672E5">
        <w:rPr>
          <w:rFonts w:cstheme="minorHAnsi"/>
          <w:sz w:val="28"/>
          <w:szCs w:val="28"/>
        </w:rPr>
        <w:t xml:space="preserve"> regional education hubs. Like the original ‘tiger economies’, they are drawing on the expertise and </w:t>
      </w:r>
      <w:r w:rsidR="00F56D36">
        <w:rPr>
          <w:rFonts w:cstheme="minorHAnsi"/>
          <w:sz w:val="28"/>
          <w:szCs w:val="28"/>
        </w:rPr>
        <w:t>c</w:t>
      </w:r>
      <w:r w:rsidR="00BE73D0" w:rsidRPr="000672E5">
        <w:rPr>
          <w:rFonts w:cstheme="minorHAnsi"/>
          <w:sz w:val="28"/>
          <w:szCs w:val="28"/>
        </w:rPr>
        <w:t xml:space="preserve">apacity of UK and other foreign </w:t>
      </w:r>
      <w:r w:rsidRPr="000672E5">
        <w:rPr>
          <w:rFonts w:cstheme="minorHAnsi"/>
          <w:sz w:val="28"/>
          <w:szCs w:val="28"/>
        </w:rPr>
        <w:t xml:space="preserve">universities </w:t>
      </w:r>
      <w:r w:rsidR="00BE73D0" w:rsidRPr="000672E5">
        <w:rPr>
          <w:rFonts w:cstheme="minorHAnsi"/>
          <w:sz w:val="28"/>
          <w:szCs w:val="28"/>
        </w:rPr>
        <w:t xml:space="preserve">to develop rapidly their </w:t>
      </w:r>
      <w:r w:rsidR="00F56D36">
        <w:rPr>
          <w:rFonts w:cstheme="minorHAnsi"/>
          <w:sz w:val="28"/>
          <w:szCs w:val="28"/>
        </w:rPr>
        <w:t xml:space="preserve">own </w:t>
      </w:r>
      <w:r w:rsidR="00BE73D0" w:rsidRPr="000672E5">
        <w:rPr>
          <w:rFonts w:cstheme="minorHAnsi"/>
          <w:sz w:val="28"/>
          <w:szCs w:val="28"/>
        </w:rPr>
        <w:t>higher education s</w:t>
      </w:r>
      <w:r w:rsidR="00C229FB" w:rsidRPr="000672E5">
        <w:rPr>
          <w:rFonts w:cstheme="minorHAnsi"/>
          <w:sz w:val="28"/>
          <w:szCs w:val="28"/>
        </w:rPr>
        <w:t>ystems</w:t>
      </w:r>
      <w:r w:rsidR="00BE73D0" w:rsidRPr="000672E5">
        <w:rPr>
          <w:rFonts w:cstheme="minorHAnsi"/>
          <w:sz w:val="28"/>
          <w:szCs w:val="28"/>
        </w:rPr>
        <w:t>. They have explicit targets to increase the number of overseas students and establish</w:t>
      </w:r>
      <w:r w:rsidRPr="000672E5">
        <w:rPr>
          <w:rFonts w:cstheme="minorHAnsi"/>
          <w:sz w:val="28"/>
          <w:szCs w:val="28"/>
        </w:rPr>
        <w:t xml:space="preserve"> </w:t>
      </w:r>
      <w:r w:rsidR="00BE73D0" w:rsidRPr="000672E5">
        <w:rPr>
          <w:rFonts w:cstheme="minorHAnsi"/>
          <w:sz w:val="28"/>
          <w:szCs w:val="28"/>
        </w:rPr>
        <w:t xml:space="preserve">their own </w:t>
      </w:r>
      <w:r w:rsidRPr="000672E5">
        <w:rPr>
          <w:rFonts w:cstheme="minorHAnsi"/>
          <w:sz w:val="28"/>
          <w:szCs w:val="28"/>
        </w:rPr>
        <w:t>‘</w:t>
      </w:r>
      <w:r w:rsidR="00BE73D0" w:rsidRPr="000672E5">
        <w:rPr>
          <w:rFonts w:cstheme="minorHAnsi"/>
          <w:sz w:val="28"/>
          <w:szCs w:val="28"/>
        </w:rPr>
        <w:t>world class universities</w:t>
      </w:r>
      <w:r w:rsidRPr="000672E5">
        <w:rPr>
          <w:rFonts w:cstheme="minorHAnsi"/>
          <w:sz w:val="28"/>
          <w:szCs w:val="28"/>
        </w:rPr>
        <w:t>’</w:t>
      </w:r>
      <w:r w:rsidR="00BE73D0" w:rsidRPr="000672E5">
        <w:rPr>
          <w:rFonts w:cstheme="minorHAnsi"/>
          <w:sz w:val="28"/>
          <w:szCs w:val="28"/>
        </w:rPr>
        <w:t xml:space="preserve">. The key question, therefore, is what will be </w:t>
      </w:r>
      <w:r w:rsidR="00F56D36">
        <w:rPr>
          <w:rFonts w:cstheme="minorHAnsi"/>
          <w:sz w:val="28"/>
          <w:szCs w:val="28"/>
        </w:rPr>
        <w:t xml:space="preserve">the </w:t>
      </w:r>
      <w:r w:rsidR="00BE73D0" w:rsidRPr="000672E5">
        <w:rPr>
          <w:rFonts w:cstheme="minorHAnsi"/>
          <w:sz w:val="28"/>
          <w:szCs w:val="28"/>
        </w:rPr>
        <w:t xml:space="preserve">role, if any, for </w:t>
      </w:r>
      <w:r w:rsidRPr="000672E5">
        <w:rPr>
          <w:rFonts w:cstheme="minorHAnsi"/>
          <w:sz w:val="28"/>
          <w:szCs w:val="28"/>
        </w:rPr>
        <w:t xml:space="preserve">universities in the </w:t>
      </w:r>
      <w:r w:rsidR="00BE73D0" w:rsidRPr="000672E5">
        <w:rPr>
          <w:rFonts w:cstheme="minorHAnsi"/>
          <w:sz w:val="28"/>
          <w:szCs w:val="28"/>
        </w:rPr>
        <w:t xml:space="preserve">UK and other foreign countries once these higher education systems have developed and matured.  Overseas student fees in these countries are and will continue to be much lower than in the UK and, as regional education hubs, universities in these countries will themselves become increasingly involved in offshore provision. </w:t>
      </w:r>
    </w:p>
    <w:p w14:paraId="33D73CED" w14:textId="77777777" w:rsidR="008B6458" w:rsidRPr="000672E5" w:rsidRDefault="008B6458" w:rsidP="008B6458">
      <w:pPr>
        <w:jc w:val="both"/>
        <w:rPr>
          <w:rFonts w:cstheme="minorHAnsi"/>
          <w:sz w:val="28"/>
          <w:szCs w:val="28"/>
        </w:rPr>
      </w:pPr>
      <w:r w:rsidRPr="000672E5">
        <w:rPr>
          <w:rFonts w:cstheme="minorHAnsi"/>
          <w:sz w:val="28"/>
          <w:szCs w:val="28"/>
        </w:rPr>
        <w:t>A significant number of countries</w:t>
      </w:r>
      <w:r w:rsidR="00B30E2D" w:rsidRPr="000672E5">
        <w:rPr>
          <w:rFonts w:cstheme="minorHAnsi"/>
          <w:sz w:val="28"/>
          <w:szCs w:val="28"/>
        </w:rPr>
        <w:t>, especially where for-profit higher education is banned,</w:t>
      </w:r>
      <w:r w:rsidRPr="000672E5">
        <w:rPr>
          <w:rFonts w:cstheme="minorHAnsi"/>
          <w:sz w:val="28"/>
          <w:szCs w:val="28"/>
        </w:rPr>
        <w:t xml:space="preserve"> are likely to remain </w:t>
      </w:r>
      <w:r w:rsidR="00D46200" w:rsidRPr="000672E5">
        <w:rPr>
          <w:rFonts w:cstheme="minorHAnsi"/>
          <w:sz w:val="28"/>
          <w:szCs w:val="28"/>
        </w:rPr>
        <w:t xml:space="preserve">off limits </w:t>
      </w:r>
      <w:r w:rsidR="00F56D36">
        <w:rPr>
          <w:rFonts w:cstheme="minorHAnsi"/>
          <w:sz w:val="28"/>
          <w:szCs w:val="28"/>
        </w:rPr>
        <w:t xml:space="preserve">or </w:t>
      </w:r>
      <w:r w:rsidR="00B30E2D" w:rsidRPr="000672E5">
        <w:rPr>
          <w:rFonts w:cstheme="minorHAnsi"/>
          <w:sz w:val="28"/>
          <w:szCs w:val="28"/>
        </w:rPr>
        <w:t xml:space="preserve">unwelcoming for overseas offshore provision. These </w:t>
      </w:r>
      <w:r w:rsidR="00C229FB" w:rsidRPr="000672E5">
        <w:rPr>
          <w:rFonts w:cstheme="minorHAnsi"/>
          <w:sz w:val="28"/>
          <w:szCs w:val="28"/>
        </w:rPr>
        <w:t xml:space="preserve">countries include </w:t>
      </w:r>
      <w:r w:rsidRPr="000672E5">
        <w:rPr>
          <w:rFonts w:cstheme="minorHAnsi"/>
          <w:sz w:val="28"/>
          <w:szCs w:val="28"/>
        </w:rPr>
        <w:t>Bangladesh, India, Israel</w:t>
      </w:r>
      <w:r w:rsidR="00B30E2D" w:rsidRPr="000672E5">
        <w:rPr>
          <w:rFonts w:cstheme="minorHAnsi"/>
          <w:sz w:val="28"/>
          <w:szCs w:val="28"/>
        </w:rPr>
        <w:t xml:space="preserve">, </w:t>
      </w:r>
      <w:r w:rsidRPr="000672E5">
        <w:rPr>
          <w:rFonts w:cstheme="minorHAnsi"/>
          <w:sz w:val="28"/>
          <w:szCs w:val="28"/>
        </w:rPr>
        <w:t>South Africa</w:t>
      </w:r>
      <w:r w:rsidR="00B30E2D" w:rsidRPr="000672E5">
        <w:rPr>
          <w:rFonts w:cstheme="minorHAnsi"/>
          <w:sz w:val="28"/>
          <w:szCs w:val="28"/>
        </w:rPr>
        <w:t xml:space="preserve"> and South Korea.</w:t>
      </w:r>
      <w:r w:rsidRPr="000672E5">
        <w:rPr>
          <w:rFonts w:cstheme="minorHAnsi"/>
          <w:sz w:val="28"/>
          <w:szCs w:val="28"/>
        </w:rPr>
        <w:t xml:space="preserve"> </w:t>
      </w:r>
      <w:r w:rsidR="00C229FB" w:rsidRPr="000672E5">
        <w:rPr>
          <w:rFonts w:cstheme="minorHAnsi"/>
          <w:sz w:val="28"/>
          <w:szCs w:val="28"/>
        </w:rPr>
        <w:t xml:space="preserve">Other </w:t>
      </w:r>
      <w:r w:rsidR="0006196B" w:rsidRPr="000672E5">
        <w:rPr>
          <w:rFonts w:cstheme="minorHAnsi"/>
          <w:sz w:val="28"/>
          <w:szCs w:val="28"/>
        </w:rPr>
        <w:t xml:space="preserve">large population </w:t>
      </w:r>
      <w:r w:rsidR="00C229FB" w:rsidRPr="000672E5">
        <w:rPr>
          <w:rFonts w:cstheme="minorHAnsi"/>
          <w:sz w:val="28"/>
          <w:szCs w:val="28"/>
        </w:rPr>
        <w:t xml:space="preserve">countries (most notably Nigeria and Pakistan) will continue to be seen as too difficult or </w:t>
      </w:r>
      <w:r w:rsidRPr="000672E5">
        <w:rPr>
          <w:rFonts w:cstheme="minorHAnsi"/>
          <w:sz w:val="28"/>
          <w:szCs w:val="28"/>
        </w:rPr>
        <w:t xml:space="preserve">challenging </w:t>
      </w:r>
      <w:r w:rsidR="00C229FB" w:rsidRPr="000672E5">
        <w:rPr>
          <w:rFonts w:cstheme="minorHAnsi"/>
          <w:sz w:val="28"/>
          <w:szCs w:val="28"/>
        </w:rPr>
        <w:t>to invest heavily in overseas partnerships.</w:t>
      </w:r>
      <w:r w:rsidR="0006196B" w:rsidRPr="000672E5">
        <w:rPr>
          <w:rFonts w:cstheme="minorHAnsi"/>
          <w:sz w:val="28"/>
          <w:szCs w:val="28"/>
        </w:rPr>
        <w:t xml:space="preserve"> Continued reliance on English as the dominant medium of instruction and learning will </w:t>
      </w:r>
      <w:r w:rsidR="00D46200" w:rsidRPr="000672E5">
        <w:rPr>
          <w:rFonts w:cstheme="minorHAnsi"/>
          <w:sz w:val="28"/>
          <w:szCs w:val="28"/>
        </w:rPr>
        <w:t xml:space="preserve">also </w:t>
      </w:r>
      <w:r w:rsidR="0006196B" w:rsidRPr="000672E5">
        <w:rPr>
          <w:rFonts w:cstheme="minorHAnsi"/>
          <w:sz w:val="28"/>
          <w:szCs w:val="28"/>
        </w:rPr>
        <w:t>continue to limit the geographical scope of UK offshore provision.</w:t>
      </w:r>
      <w:r w:rsidR="00C229FB" w:rsidRPr="000672E5">
        <w:rPr>
          <w:rFonts w:cstheme="minorHAnsi"/>
          <w:sz w:val="28"/>
          <w:szCs w:val="28"/>
        </w:rPr>
        <w:t xml:space="preserve"> </w:t>
      </w:r>
      <w:r w:rsidRPr="000672E5">
        <w:rPr>
          <w:rFonts w:cstheme="minorHAnsi"/>
          <w:sz w:val="28"/>
          <w:szCs w:val="28"/>
        </w:rPr>
        <w:t xml:space="preserve">  </w:t>
      </w:r>
    </w:p>
    <w:p w14:paraId="634921B1" w14:textId="74FCACF4" w:rsidR="0006196B" w:rsidRPr="000672E5" w:rsidRDefault="00E55A4D" w:rsidP="00E55A4D">
      <w:pPr>
        <w:rPr>
          <w:rFonts w:cstheme="minorHAnsi"/>
          <w:b/>
          <w:sz w:val="28"/>
          <w:szCs w:val="28"/>
        </w:rPr>
      </w:pPr>
      <w:r>
        <w:rPr>
          <w:rFonts w:cstheme="minorHAnsi"/>
          <w:b/>
          <w:sz w:val="28"/>
          <w:szCs w:val="28"/>
        </w:rPr>
        <w:t>5.2 OVERSEAS DISTANCE LEARNING</w:t>
      </w:r>
      <w:r w:rsidR="00776903" w:rsidRPr="000672E5">
        <w:rPr>
          <w:rFonts w:cstheme="minorHAnsi"/>
          <w:b/>
          <w:sz w:val="28"/>
          <w:szCs w:val="28"/>
        </w:rPr>
        <w:t xml:space="preserve"> </w:t>
      </w:r>
    </w:p>
    <w:p w14:paraId="079E7C17" w14:textId="77777777" w:rsidR="00A423E5" w:rsidRDefault="00DB2E63" w:rsidP="00E114E2">
      <w:pPr>
        <w:jc w:val="both"/>
        <w:rPr>
          <w:rFonts w:cstheme="minorHAnsi"/>
          <w:sz w:val="28"/>
          <w:szCs w:val="28"/>
        </w:rPr>
      </w:pPr>
      <w:r>
        <w:rPr>
          <w:rFonts w:cstheme="minorHAnsi"/>
          <w:sz w:val="28"/>
          <w:szCs w:val="28"/>
        </w:rPr>
        <w:t xml:space="preserve">As things stand, </w:t>
      </w:r>
      <w:r w:rsidR="00F93E11">
        <w:rPr>
          <w:rFonts w:cstheme="minorHAnsi"/>
          <w:sz w:val="28"/>
          <w:szCs w:val="28"/>
        </w:rPr>
        <w:t xml:space="preserve">ODL enrolments </w:t>
      </w:r>
      <w:r>
        <w:rPr>
          <w:rFonts w:cstheme="minorHAnsi"/>
          <w:sz w:val="28"/>
          <w:szCs w:val="28"/>
        </w:rPr>
        <w:t xml:space="preserve">at UK universities </w:t>
      </w:r>
      <w:r w:rsidR="00F93E11">
        <w:rPr>
          <w:rFonts w:cstheme="minorHAnsi"/>
          <w:sz w:val="28"/>
          <w:szCs w:val="28"/>
        </w:rPr>
        <w:t>are likely to fall, possibly quite significantly</w:t>
      </w:r>
      <w:r>
        <w:rPr>
          <w:rFonts w:cstheme="minorHAnsi"/>
          <w:sz w:val="28"/>
          <w:szCs w:val="28"/>
        </w:rPr>
        <w:t>,</w:t>
      </w:r>
      <w:r w:rsidR="00F93E11">
        <w:rPr>
          <w:rFonts w:cstheme="minorHAnsi"/>
          <w:sz w:val="28"/>
          <w:szCs w:val="28"/>
        </w:rPr>
        <w:t xml:space="preserve"> over the next five-ten years. </w:t>
      </w:r>
      <w:r>
        <w:rPr>
          <w:rFonts w:cstheme="minorHAnsi"/>
          <w:sz w:val="28"/>
          <w:szCs w:val="28"/>
        </w:rPr>
        <w:t>As noted earlier, i</w:t>
      </w:r>
      <w:r w:rsidR="00F93E11">
        <w:rPr>
          <w:rFonts w:cstheme="minorHAnsi"/>
          <w:sz w:val="28"/>
          <w:szCs w:val="28"/>
        </w:rPr>
        <w:t xml:space="preserve">t is slightly ironic that the most traditional form of offshore provision is </w:t>
      </w:r>
      <w:r>
        <w:rPr>
          <w:rFonts w:cstheme="minorHAnsi"/>
          <w:sz w:val="28"/>
          <w:szCs w:val="28"/>
        </w:rPr>
        <w:t xml:space="preserve">currently </w:t>
      </w:r>
      <w:r w:rsidR="00F93E11">
        <w:rPr>
          <w:rFonts w:cstheme="minorHAnsi"/>
          <w:sz w:val="28"/>
          <w:szCs w:val="28"/>
        </w:rPr>
        <w:t xml:space="preserve">the most profitable. Universities will continue to be attracted </w:t>
      </w:r>
      <w:r w:rsidR="004A6D53">
        <w:rPr>
          <w:rFonts w:cstheme="minorHAnsi"/>
          <w:sz w:val="28"/>
          <w:szCs w:val="28"/>
        </w:rPr>
        <w:t>by the</w:t>
      </w:r>
      <w:r w:rsidR="00A423E5">
        <w:rPr>
          <w:rFonts w:cstheme="minorHAnsi"/>
          <w:sz w:val="28"/>
          <w:szCs w:val="28"/>
        </w:rPr>
        <w:t>s</w:t>
      </w:r>
      <w:r w:rsidR="004A6D53">
        <w:rPr>
          <w:rFonts w:cstheme="minorHAnsi"/>
          <w:sz w:val="28"/>
          <w:szCs w:val="28"/>
        </w:rPr>
        <w:t>e</w:t>
      </w:r>
      <w:r w:rsidR="00A423E5">
        <w:rPr>
          <w:rFonts w:cstheme="minorHAnsi"/>
          <w:sz w:val="28"/>
          <w:szCs w:val="28"/>
        </w:rPr>
        <w:t xml:space="preserve"> high earnings potential of ODL especially for high tu</w:t>
      </w:r>
      <w:r>
        <w:rPr>
          <w:rFonts w:cstheme="minorHAnsi"/>
          <w:sz w:val="28"/>
          <w:szCs w:val="28"/>
        </w:rPr>
        <w:t xml:space="preserve">ition fee </w:t>
      </w:r>
      <w:r w:rsidR="00F93E11">
        <w:rPr>
          <w:rFonts w:cstheme="minorHAnsi"/>
          <w:sz w:val="28"/>
          <w:szCs w:val="28"/>
        </w:rPr>
        <w:t>courses (especially blended MBAs)</w:t>
      </w:r>
      <w:r w:rsidR="00A423E5">
        <w:rPr>
          <w:rFonts w:cstheme="minorHAnsi"/>
          <w:sz w:val="28"/>
          <w:szCs w:val="28"/>
        </w:rPr>
        <w:t xml:space="preserve">. However, </w:t>
      </w:r>
      <w:r w:rsidR="00F93E11">
        <w:rPr>
          <w:rFonts w:cstheme="minorHAnsi"/>
          <w:sz w:val="28"/>
          <w:szCs w:val="28"/>
        </w:rPr>
        <w:t xml:space="preserve">international competition is quite intense and, ODL tuition fees </w:t>
      </w:r>
      <w:r w:rsidR="00A423E5">
        <w:rPr>
          <w:rFonts w:cstheme="minorHAnsi"/>
          <w:sz w:val="28"/>
          <w:szCs w:val="28"/>
        </w:rPr>
        <w:t xml:space="preserve">in the UK </w:t>
      </w:r>
      <w:r w:rsidR="00F93E11">
        <w:rPr>
          <w:rFonts w:cstheme="minorHAnsi"/>
          <w:sz w:val="28"/>
          <w:szCs w:val="28"/>
        </w:rPr>
        <w:t xml:space="preserve">are relatively high especially compared to ODL courses in the </w:t>
      </w:r>
      <w:r w:rsidR="00F93E11">
        <w:rPr>
          <w:rFonts w:cstheme="minorHAnsi"/>
          <w:sz w:val="28"/>
          <w:szCs w:val="28"/>
        </w:rPr>
        <w:lastRenderedPageBreak/>
        <w:t>Middle East, South Asia and South Africa.</w:t>
      </w:r>
      <w:r w:rsidR="00A423E5">
        <w:rPr>
          <w:rFonts w:cstheme="minorHAnsi"/>
          <w:sz w:val="28"/>
          <w:szCs w:val="28"/>
        </w:rPr>
        <w:t xml:space="preserve"> Currently, only one percent of distance learning students registered at US universities are domiciled overseas but</w:t>
      </w:r>
      <w:r>
        <w:rPr>
          <w:rFonts w:cstheme="minorHAnsi"/>
          <w:sz w:val="28"/>
          <w:szCs w:val="28"/>
        </w:rPr>
        <w:t>,</w:t>
      </w:r>
      <w:r w:rsidR="00A423E5">
        <w:rPr>
          <w:rFonts w:cstheme="minorHAnsi"/>
          <w:sz w:val="28"/>
          <w:szCs w:val="28"/>
        </w:rPr>
        <w:t xml:space="preserve"> should the major DL universities and corporations in the US become more engaged in overseas markets</w:t>
      </w:r>
      <w:r>
        <w:rPr>
          <w:rFonts w:cstheme="minorHAnsi"/>
          <w:sz w:val="28"/>
          <w:szCs w:val="28"/>
        </w:rPr>
        <w:t>,</w:t>
      </w:r>
      <w:r w:rsidR="00A423E5">
        <w:rPr>
          <w:rFonts w:cstheme="minorHAnsi"/>
          <w:sz w:val="28"/>
          <w:szCs w:val="28"/>
        </w:rPr>
        <w:t xml:space="preserve"> this would pose a very major challenge to ODL providers in the UK.</w:t>
      </w:r>
      <w:r w:rsidR="00F93E11">
        <w:rPr>
          <w:rFonts w:cstheme="minorHAnsi"/>
          <w:sz w:val="28"/>
          <w:szCs w:val="28"/>
        </w:rPr>
        <w:t xml:space="preserve"> </w:t>
      </w:r>
    </w:p>
    <w:p w14:paraId="660B2A56" w14:textId="77777777" w:rsidR="00776903" w:rsidRPr="000672E5" w:rsidRDefault="00DB2E63" w:rsidP="00E114E2">
      <w:pPr>
        <w:jc w:val="both"/>
        <w:rPr>
          <w:rFonts w:cstheme="minorHAnsi"/>
          <w:sz w:val="28"/>
          <w:szCs w:val="28"/>
        </w:rPr>
      </w:pPr>
      <w:r>
        <w:rPr>
          <w:rFonts w:cstheme="minorHAnsi"/>
          <w:sz w:val="28"/>
          <w:szCs w:val="28"/>
        </w:rPr>
        <w:t>T</w:t>
      </w:r>
      <w:r w:rsidR="00F93E11">
        <w:rPr>
          <w:rFonts w:cstheme="minorHAnsi"/>
          <w:sz w:val="28"/>
          <w:szCs w:val="28"/>
        </w:rPr>
        <w:t xml:space="preserve">echnological barriers to entry will </w:t>
      </w:r>
      <w:r>
        <w:rPr>
          <w:rFonts w:cstheme="minorHAnsi"/>
          <w:sz w:val="28"/>
          <w:szCs w:val="28"/>
        </w:rPr>
        <w:t xml:space="preserve">also </w:t>
      </w:r>
      <w:r w:rsidR="00F93E11">
        <w:rPr>
          <w:rFonts w:cstheme="minorHAnsi"/>
          <w:sz w:val="28"/>
          <w:szCs w:val="28"/>
        </w:rPr>
        <w:t xml:space="preserve">remain </w:t>
      </w:r>
      <w:r>
        <w:rPr>
          <w:rFonts w:cstheme="minorHAnsi"/>
          <w:sz w:val="28"/>
          <w:szCs w:val="28"/>
        </w:rPr>
        <w:t xml:space="preserve">high </w:t>
      </w:r>
      <w:r w:rsidR="00F93E11">
        <w:rPr>
          <w:rFonts w:cstheme="minorHAnsi"/>
          <w:sz w:val="28"/>
          <w:szCs w:val="28"/>
        </w:rPr>
        <w:t xml:space="preserve">for the foreseeable future which will probably lead to more </w:t>
      </w:r>
      <w:r>
        <w:rPr>
          <w:rFonts w:cstheme="minorHAnsi"/>
          <w:sz w:val="28"/>
          <w:szCs w:val="28"/>
        </w:rPr>
        <w:t xml:space="preserve">UK </w:t>
      </w:r>
      <w:r w:rsidR="00F93E11">
        <w:rPr>
          <w:rFonts w:cstheme="minorHAnsi"/>
          <w:sz w:val="28"/>
          <w:szCs w:val="28"/>
        </w:rPr>
        <w:t xml:space="preserve">universities contracting out their </w:t>
      </w:r>
      <w:r>
        <w:rPr>
          <w:rFonts w:cstheme="minorHAnsi"/>
          <w:sz w:val="28"/>
          <w:szCs w:val="28"/>
        </w:rPr>
        <w:t xml:space="preserve">distance learning </w:t>
      </w:r>
      <w:r w:rsidR="00F93E11">
        <w:rPr>
          <w:rFonts w:cstheme="minorHAnsi"/>
          <w:sz w:val="28"/>
          <w:szCs w:val="28"/>
        </w:rPr>
        <w:t xml:space="preserve">courses to specialist providers. This, in turn, will significantly reduce returns </w:t>
      </w:r>
      <w:r>
        <w:rPr>
          <w:rFonts w:cstheme="minorHAnsi"/>
          <w:sz w:val="28"/>
          <w:szCs w:val="28"/>
        </w:rPr>
        <w:t xml:space="preserve">with </w:t>
      </w:r>
      <w:r w:rsidR="00A423E5">
        <w:rPr>
          <w:rFonts w:cstheme="minorHAnsi"/>
          <w:sz w:val="28"/>
          <w:szCs w:val="28"/>
        </w:rPr>
        <w:t>ODL</w:t>
      </w:r>
      <w:r w:rsidR="00F93E11">
        <w:rPr>
          <w:rFonts w:cstheme="minorHAnsi"/>
          <w:sz w:val="28"/>
          <w:szCs w:val="28"/>
        </w:rPr>
        <w:t xml:space="preserve"> </w:t>
      </w:r>
      <w:r w:rsidR="00A423E5">
        <w:rPr>
          <w:rFonts w:cstheme="minorHAnsi"/>
          <w:sz w:val="28"/>
          <w:szCs w:val="28"/>
        </w:rPr>
        <w:t>provision by UK universities becom</w:t>
      </w:r>
      <w:r>
        <w:rPr>
          <w:rFonts w:cstheme="minorHAnsi"/>
          <w:sz w:val="28"/>
          <w:szCs w:val="28"/>
        </w:rPr>
        <w:t>ing</w:t>
      </w:r>
      <w:r w:rsidR="00A423E5">
        <w:rPr>
          <w:rFonts w:cstheme="minorHAnsi"/>
          <w:sz w:val="28"/>
          <w:szCs w:val="28"/>
        </w:rPr>
        <w:t xml:space="preserve"> more akin to the rent seeking activity which is </w:t>
      </w:r>
      <w:r>
        <w:rPr>
          <w:rFonts w:cstheme="minorHAnsi"/>
          <w:sz w:val="28"/>
          <w:szCs w:val="28"/>
        </w:rPr>
        <w:t xml:space="preserve">more </w:t>
      </w:r>
      <w:r w:rsidR="00A423E5">
        <w:rPr>
          <w:rFonts w:cstheme="minorHAnsi"/>
          <w:sz w:val="28"/>
          <w:szCs w:val="28"/>
        </w:rPr>
        <w:t xml:space="preserve">characteristic of low-return franchised and validation forms of offshore provision.  </w:t>
      </w:r>
    </w:p>
    <w:p w14:paraId="0EFF2276" w14:textId="0A388145" w:rsidR="00E55A4D" w:rsidRDefault="00E55A4D" w:rsidP="00E114E2">
      <w:pPr>
        <w:jc w:val="both"/>
        <w:rPr>
          <w:rFonts w:cstheme="minorHAnsi"/>
          <w:b/>
          <w:sz w:val="28"/>
          <w:szCs w:val="28"/>
        </w:rPr>
      </w:pPr>
      <w:r>
        <w:rPr>
          <w:rFonts w:cstheme="minorHAnsi"/>
          <w:b/>
          <w:sz w:val="28"/>
          <w:szCs w:val="28"/>
        </w:rPr>
        <w:t>5.3 OVERSEAS BRANCH CAMPUSES</w:t>
      </w:r>
    </w:p>
    <w:p w14:paraId="556416FB" w14:textId="6CD9D524" w:rsidR="009B3A4B" w:rsidRDefault="00DC3691" w:rsidP="00E114E2">
      <w:pPr>
        <w:jc w:val="both"/>
        <w:rPr>
          <w:rFonts w:cstheme="minorHAnsi"/>
          <w:sz w:val="28"/>
          <w:szCs w:val="28"/>
        </w:rPr>
      </w:pPr>
      <w:r w:rsidRPr="000672E5">
        <w:rPr>
          <w:rFonts w:cstheme="minorHAnsi"/>
          <w:b/>
          <w:sz w:val="28"/>
          <w:szCs w:val="28"/>
        </w:rPr>
        <w:t xml:space="preserve"> </w:t>
      </w:r>
      <w:r w:rsidR="00DB2E63" w:rsidRPr="00DB2E63">
        <w:rPr>
          <w:rFonts w:cstheme="minorHAnsi"/>
          <w:sz w:val="28"/>
          <w:szCs w:val="28"/>
        </w:rPr>
        <w:t>Despite all the hype, only a handful of UK universities have sizeable overseas campuses.</w:t>
      </w:r>
      <w:r w:rsidR="003949A1" w:rsidRPr="00DB2E63">
        <w:rPr>
          <w:rFonts w:cstheme="minorHAnsi"/>
          <w:sz w:val="28"/>
          <w:szCs w:val="28"/>
        </w:rPr>
        <w:t xml:space="preserve"> </w:t>
      </w:r>
      <w:r w:rsidR="00DB2E63" w:rsidRPr="00DB2E63">
        <w:rPr>
          <w:rFonts w:cstheme="minorHAnsi"/>
          <w:sz w:val="28"/>
          <w:szCs w:val="28"/>
        </w:rPr>
        <w:t xml:space="preserve">Total enrolment </w:t>
      </w:r>
      <w:r w:rsidR="00DB2E63">
        <w:rPr>
          <w:rFonts w:cstheme="minorHAnsi"/>
          <w:sz w:val="28"/>
          <w:szCs w:val="28"/>
        </w:rPr>
        <w:t xml:space="preserve">has remained </w:t>
      </w:r>
      <w:r w:rsidR="00DB2E63" w:rsidRPr="00DB2E63">
        <w:rPr>
          <w:rFonts w:cstheme="minorHAnsi"/>
          <w:sz w:val="28"/>
          <w:szCs w:val="28"/>
        </w:rPr>
        <w:t>relativel</w:t>
      </w:r>
      <w:r w:rsidR="00DB2E63">
        <w:rPr>
          <w:rFonts w:cstheme="minorHAnsi"/>
          <w:sz w:val="28"/>
          <w:szCs w:val="28"/>
        </w:rPr>
        <w:t xml:space="preserve">y small and </w:t>
      </w:r>
      <w:r w:rsidR="009B3A4B">
        <w:rPr>
          <w:rFonts w:cstheme="minorHAnsi"/>
          <w:sz w:val="28"/>
          <w:szCs w:val="28"/>
        </w:rPr>
        <w:t xml:space="preserve">is </w:t>
      </w:r>
      <w:r w:rsidR="00DB2E63">
        <w:rPr>
          <w:rFonts w:cstheme="minorHAnsi"/>
          <w:sz w:val="28"/>
          <w:szCs w:val="28"/>
        </w:rPr>
        <w:t xml:space="preserve">growing </w:t>
      </w:r>
      <w:r w:rsidR="004A6D53">
        <w:rPr>
          <w:rFonts w:cstheme="minorHAnsi"/>
          <w:sz w:val="28"/>
          <w:szCs w:val="28"/>
        </w:rPr>
        <w:t xml:space="preserve">only </w:t>
      </w:r>
      <w:r w:rsidR="00DB2E63">
        <w:rPr>
          <w:rFonts w:cstheme="minorHAnsi"/>
          <w:sz w:val="28"/>
          <w:szCs w:val="28"/>
        </w:rPr>
        <w:t xml:space="preserve">slowly. </w:t>
      </w:r>
    </w:p>
    <w:p w14:paraId="7BD2910B" w14:textId="344C6A92" w:rsidR="004F06BA" w:rsidRDefault="00DB2E63" w:rsidP="00E114E2">
      <w:pPr>
        <w:jc w:val="both"/>
        <w:rPr>
          <w:rFonts w:cstheme="minorHAnsi"/>
          <w:sz w:val="28"/>
          <w:szCs w:val="28"/>
        </w:rPr>
      </w:pPr>
      <w:r>
        <w:rPr>
          <w:rFonts w:cstheme="minorHAnsi"/>
          <w:sz w:val="28"/>
          <w:szCs w:val="28"/>
        </w:rPr>
        <w:t>It seems unlikely that the current small number of host countries will increase appreciably over the next decade while</w:t>
      </w:r>
      <w:r w:rsidR="009B3A4B">
        <w:rPr>
          <w:rFonts w:cstheme="minorHAnsi"/>
          <w:sz w:val="28"/>
          <w:szCs w:val="28"/>
        </w:rPr>
        <w:t>,</w:t>
      </w:r>
      <w:r>
        <w:rPr>
          <w:rFonts w:cstheme="minorHAnsi"/>
          <w:sz w:val="28"/>
          <w:szCs w:val="28"/>
        </w:rPr>
        <w:t xml:space="preserve"> at the same time</w:t>
      </w:r>
      <w:r w:rsidR="009B3A4B">
        <w:rPr>
          <w:rFonts w:cstheme="minorHAnsi"/>
          <w:sz w:val="28"/>
          <w:szCs w:val="28"/>
        </w:rPr>
        <w:t>,</w:t>
      </w:r>
      <w:r>
        <w:rPr>
          <w:rFonts w:cstheme="minorHAnsi"/>
          <w:sz w:val="28"/>
          <w:szCs w:val="28"/>
        </w:rPr>
        <w:t xml:space="preserve"> </w:t>
      </w:r>
      <w:r w:rsidR="009B3A4B">
        <w:rPr>
          <w:rFonts w:cstheme="minorHAnsi"/>
          <w:sz w:val="28"/>
          <w:szCs w:val="28"/>
        </w:rPr>
        <w:t xml:space="preserve">international </w:t>
      </w:r>
      <w:r>
        <w:rPr>
          <w:rFonts w:cstheme="minorHAnsi"/>
          <w:sz w:val="28"/>
          <w:szCs w:val="28"/>
        </w:rPr>
        <w:t>competition</w:t>
      </w:r>
      <w:r w:rsidR="009B3A4B">
        <w:rPr>
          <w:rFonts w:cstheme="minorHAnsi"/>
          <w:sz w:val="28"/>
          <w:szCs w:val="28"/>
        </w:rPr>
        <w:t>,</w:t>
      </w:r>
      <w:r>
        <w:rPr>
          <w:rFonts w:cstheme="minorHAnsi"/>
          <w:sz w:val="28"/>
          <w:szCs w:val="28"/>
        </w:rPr>
        <w:t xml:space="preserve"> especially from US </w:t>
      </w:r>
      <w:r w:rsidR="009B3A4B">
        <w:rPr>
          <w:rFonts w:cstheme="minorHAnsi"/>
          <w:sz w:val="28"/>
          <w:szCs w:val="28"/>
        </w:rPr>
        <w:t xml:space="preserve">and Australian </w:t>
      </w:r>
      <w:r>
        <w:rPr>
          <w:rFonts w:cstheme="minorHAnsi"/>
          <w:sz w:val="28"/>
          <w:szCs w:val="28"/>
        </w:rPr>
        <w:t>universities</w:t>
      </w:r>
      <w:r w:rsidR="009B3A4B">
        <w:rPr>
          <w:rFonts w:cstheme="minorHAnsi"/>
          <w:sz w:val="28"/>
          <w:szCs w:val="28"/>
        </w:rPr>
        <w:t>,</w:t>
      </w:r>
      <w:r>
        <w:rPr>
          <w:rFonts w:cstheme="minorHAnsi"/>
          <w:sz w:val="28"/>
          <w:szCs w:val="28"/>
        </w:rPr>
        <w:t xml:space="preserve"> will intensify.</w:t>
      </w:r>
      <w:r w:rsidR="009B3A4B">
        <w:rPr>
          <w:rFonts w:cstheme="minorHAnsi"/>
          <w:sz w:val="28"/>
          <w:szCs w:val="28"/>
        </w:rPr>
        <w:t xml:space="preserve"> As </w:t>
      </w:r>
      <w:r w:rsidR="00B2412F">
        <w:rPr>
          <w:rFonts w:cstheme="minorHAnsi"/>
          <w:sz w:val="28"/>
          <w:szCs w:val="28"/>
        </w:rPr>
        <w:t xml:space="preserve">more </w:t>
      </w:r>
      <w:r w:rsidR="009B3A4B">
        <w:rPr>
          <w:rFonts w:cstheme="minorHAnsi"/>
          <w:sz w:val="28"/>
          <w:szCs w:val="28"/>
        </w:rPr>
        <w:t xml:space="preserve">universities in current and potential host countries mature, it is also likely that they will become less interested in entering into joint venture partnerships with overseas universities and governments will also impose increasingly tight restrictions on the establishment of overseas campuses. The already very limited involvement of low status UK universities will, therefore, continue and may even contract. </w:t>
      </w:r>
    </w:p>
    <w:p w14:paraId="5813487C" w14:textId="1B00C591" w:rsidR="00EE5132" w:rsidRPr="00E55A4D" w:rsidRDefault="00E55A4D" w:rsidP="00E55A4D">
      <w:pPr>
        <w:rPr>
          <w:b/>
          <w:sz w:val="32"/>
          <w:szCs w:val="32"/>
        </w:rPr>
      </w:pPr>
      <w:bookmarkStart w:id="20" w:name="_Toc531957321"/>
      <w:r w:rsidRPr="00E55A4D">
        <w:rPr>
          <w:b/>
          <w:sz w:val="32"/>
          <w:szCs w:val="32"/>
        </w:rPr>
        <w:t>6</w:t>
      </w:r>
      <w:r w:rsidR="004F06BA" w:rsidRPr="00E55A4D">
        <w:rPr>
          <w:b/>
          <w:sz w:val="32"/>
          <w:szCs w:val="32"/>
        </w:rPr>
        <w:t>.</w:t>
      </w:r>
      <w:r w:rsidR="00D46200" w:rsidRPr="00E55A4D">
        <w:rPr>
          <w:b/>
          <w:sz w:val="32"/>
          <w:szCs w:val="32"/>
        </w:rPr>
        <w:t xml:space="preserve"> CONCLU</w:t>
      </w:r>
      <w:bookmarkEnd w:id="20"/>
      <w:r w:rsidR="004F06BA" w:rsidRPr="00E55A4D">
        <w:rPr>
          <w:b/>
          <w:sz w:val="32"/>
          <w:szCs w:val="32"/>
        </w:rPr>
        <w:t>SION</w:t>
      </w:r>
    </w:p>
    <w:p w14:paraId="3A25608D" w14:textId="6E4AC7DC" w:rsidR="00D46200" w:rsidRPr="000672E5" w:rsidRDefault="00D46200" w:rsidP="00E114E2">
      <w:pPr>
        <w:jc w:val="both"/>
        <w:rPr>
          <w:rFonts w:cstheme="minorHAnsi"/>
          <w:sz w:val="28"/>
          <w:szCs w:val="28"/>
        </w:rPr>
      </w:pPr>
      <w:r w:rsidRPr="000672E5">
        <w:rPr>
          <w:rFonts w:cstheme="minorHAnsi"/>
          <w:sz w:val="28"/>
          <w:szCs w:val="28"/>
        </w:rPr>
        <w:t>The main conclusion of this review</w:t>
      </w:r>
      <w:r w:rsidR="00CF4560">
        <w:rPr>
          <w:rFonts w:cstheme="minorHAnsi"/>
          <w:sz w:val="28"/>
          <w:szCs w:val="28"/>
        </w:rPr>
        <w:t xml:space="preserve"> update</w:t>
      </w:r>
      <w:r w:rsidRPr="000672E5">
        <w:rPr>
          <w:rFonts w:cstheme="minorHAnsi"/>
          <w:sz w:val="28"/>
          <w:szCs w:val="28"/>
        </w:rPr>
        <w:t xml:space="preserve"> is that the future prospects for </w:t>
      </w:r>
      <w:r w:rsidR="00E55A4D">
        <w:rPr>
          <w:rFonts w:cstheme="minorHAnsi"/>
          <w:sz w:val="28"/>
          <w:szCs w:val="28"/>
        </w:rPr>
        <w:t xml:space="preserve">TNE </w:t>
      </w:r>
      <w:r w:rsidRPr="000672E5">
        <w:rPr>
          <w:rFonts w:cstheme="minorHAnsi"/>
          <w:sz w:val="28"/>
          <w:szCs w:val="28"/>
        </w:rPr>
        <w:t>in the UK are quite uncertain.</w:t>
      </w:r>
      <w:r w:rsidR="00CF4560">
        <w:rPr>
          <w:rFonts w:cstheme="minorHAnsi"/>
          <w:sz w:val="28"/>
          <w:szCs w:val="28"/>
        </w:rPr>
        <w:t xml:space="preserve"> Although UK universities are not</w:t>
      </w:r>
      <w:r w:rsidR="005B63AF">
        <w:rPr>
          <w:rFonts w:cstheme="minorHAnsi"/>
          <w:sz w:val="28"/>
          <w:szCs w:val="28"/>
        </w:rPr>
        <w:t xml:space="preserve"> conventional profit maximis</w:t>
      </w:r>
      <w:r w:rsidR="00CF4560">
        <w:rPr>
          <w:rFonts w:cstheme="minorHAnsi"/>
          <w:sz w:val="28"/>
          <w:szCs w:val="28"/>
        </w:rPr>
        <w:t xml:space="preserve">ers, low returns from </w:t>
      </w:r>
      <w:r w:rsidR="00A934CD">
        <w:rPr>
          <w:rFonts w:cstheme="minorHAnsi"/>
          <w:sz w:val="28"/>
          <w:szCs w:val="28"/>
        </w:rPr>
        <w:t xml:space="preserve">most </w:t>
      </w:r>
      <w:r w:rsidR="00CF4560">
        <w:rPr>
          <w:rFonts w:cstheme="minorHAnsi"/>
          <w:sz w:val="28"/>
          <w:szCs w:val="28"/>
        </w:rPr>
        <w:t xml:space="preserve">overseas </w:t>
      </w:r>
      <w:r w:rsidR="006678EF">
        <w:rPr>
          <w:rFonts w:cstheme="minorHAnsi"/>
          <w:sz w:val="28"/>
          <w:szCs w:val="28"/>
        </w:rPr>
        <w:t xml:space="preserve">validation </w:t>
      </w:r>
      <w:r w:rsidR="00CF4560">
        <w:rPr>
          <w:rFonts w:cstheme="minorHAnsi"/>
          <w:sz w:val="28"/>
          <w:szCs w:val="28"/>
        </w:rPr>
        <w:t>partnerships</w:t>
      </w:r>
      <w:r w:rsidR="006678EF">
        <w:rPr>
          <w:rFonts w:cstheme="minorHAnsi"/>
          <w:sz w:val="28"/>
          <w:szCs w:val="28"/>
        </w:rPr>
        <w:t xml:space="preserve">, </w:t>
      </w:r>
      <w:r w:rsidR="00907D21">
        <w:rPr>
          <w:rFonts w:cstheme="minorHAnsi"/>
          <w:sz w:val="28"/>
          <w:szCs w:val="28"/>
        </w:rPr>
        <w:t xml:space="preserve">the majority of </w:t>
      </w:r>
      <w:r w:rsidR="00CF4560">
        <w:rPr>
          <w:rFonts w:cstheme="minorHAnsi"/>
          <w:sz w:val="28"/>
          <w:szCs w:val="28"/>
        </w:rPr>
        <w:t>branch campuses and</w:t>
      </w:r>
      <w:r w:rsidR="005B63AF">
        <w:rPr>
          <w:rFonts w:cstheme="minorHAnsi"/>
          <w:sz w:val="28"/>
          <w:szCs w:val="28"/>
        </w:rPr>
        <w:t>,</w:t>
      </w:r>
      <w:r w:rsidR="00CF4560">
        <w:rPr>
          <w:rFonts w:cstheme="minorHAnsi"/>
          <w:sz w:val="28"/>
          <w:szCs w:val="28"/>
        </w:rPr>
        <w:t xml:space="preserve"> increasingly</w:t>
      </w:r>
      <w:r w:rsidR="005B63AF">
        <w:rPr>
          <w:rFonts w:cstheme="minorHAnsi"/>
          <w:sz w:val="28"/>
          <w:szCs w:val="28"/>
        </w:rPr>
        <w:t>,</w:t>
      </w:r>
      <w:r w:rsidR="00CF4560">
        <w:rPr>
          <w:rFonts w:cstheme="minorHAnsi"/>
          <w:sz w:val="28"/>
          <w:szCs w:val="28"/>
        </w:rPr>
        <w:t xml:space="preserve"> from distance lea</w:t>
      </w:r>
      <w:r w:rsidR="006678EF">
        <w:rPr>
          <w:rFonts w:cstheme="minorHAnsi"/>
          <w:sz w:val="28"/>
          <w:szCs w:val="28"/>
        </w:rPr>
        <w:t xml:space="preserve">rning </w:t>
      </w:r>
      <w:r w:rsidR="00907D21">
        <w:rPr>
          <w:rFonts w:cstheme="minorHAnsi"/>
          <w:sz w:val="28"/>
          <w:szCs w:val="28"/>
        </w:rPr>
        <w:t xml:space="preserve">courses </w:t>
      </w:r>
      <w:r w:rsidR="00E55A4D">
        <w:rPr>
          <w:rFonts w:cstheme="minorHAnsi"/>
          <w:sz w:val="28"/>
          <w:szCs w:val="28"/>
        </w:rPr>
        <w:t xml:space="preserve">could </w:t>
      </w:r>
      <w:r w:rsidR="006678EF">
        <w:rPr>
          <w:rFonts w:cstheme="minorHAnsi"/>
          <w:sz w:val="28"/>
          <w:szCs w:val="28"/>
        </w:rPr>
        <w:t xml:space="preserve">eventually </w:t>
      </w:r>
      <w:r w:rsidR="00CF4560">
        <w:rPr>
          <w:rFonts w:cstheme="minorHAnsi"/>
          <w:sz w:val="28"/>
          <w:szCs w:val="28"/>
        </w:rPr>
        <w:t xml:space="preserve">lead </w:t>
      </w:r>
      <w:r w:rsidR="00907D21">
        <w:rPr>
          <w:rFonts w:cstheme="minorHAnsi"/>
          <w:sz w:val="28"/>
          <w:szCs w:val="28"/>
        </w:rPr>
        <w:t xml:space="preserve">UK </w:t>
      </w:r>
      <w:r w:rsidR="00CF4560">
        <w:rPr>
          <w:rFonts w:cstheme="minorHAnsi"/>
          <w:sz w:val="28"/>
          <w:szCs w:val="28"/>
        </w:rPr>
        <w:t xml:space="preserve">universities to </w:t>
      </w:r>
      <w:r w:rsidR="006678EF">
        <w:rPr>
          <w:rFonts w:cstheme="minorHAnsi"/>
          <w:sz w:val="28"/>
          <w:szCs w:val="28"/>
        </w:rPr>
        <w:t>reduce significantly their involvement in these forms of offshore provision. The two main growth areas for offshore provision are likely to be</w:t>
      </w:r>
      <w:r w:rsidR="00907D21">
        <w:rPr>
          <w:rFonts w:cstheme="minorHAnsi"/>
          <w:sz w:val="28"/>
          <w:szCs w:val="28"/>
        </w:rPr>
        <w:t>, firstly,</w:t>
      </w:r>
      <w:r w:rsidR="006678EF">
        <w:rPr>
          <w:rFonts w:cstheme="minorHAnsi"/>
          <w:sz w:val="28"/>
          <w:szCs w:val="28"/>
        </w:rPr>
        <w:t xml:space="preserve"> higher return </w:t>
      </w:r>
      <w:r w:rsidR="00B2412F">
        <w:rPr>
          <w:rFonts w:cstheme="minorHAnsi"/>
          <w:sz w:val="28"/>
          <w:szCs w:val="28"/>
        </w:rPr>
        <w:t xml:space="preserve">but lower enrolment </w:t>
      </w:r>
      <w:r w:rsidR="006678EF">
        <w:rPr>
          <w:rFonts w:cstheme="minorHAnsi"/>
          <w:sz w:val="28"/>
          <w:szCs w:val="28"/>
        </w:rPr>
        <w:t xml:space="preserve">collaborative </w:t>
      </w:r>
      <w:r w:rsidR="00907D21">
        <w:rPr>
          <w:rFonts w:cstheme="minorHAnsi"/>
          <w:sz w:val="28"/>
          <w:szCs w:val="28"/>
        </w:rPr>
        <w:lastRenderedPageBreak/>
        <w:t>(</w:t>
      </w:r>
      <w:r w:rsidR="006678EF">
        <w:rPr>
          <w:rFonts w:cstheme="minorHAnsi"/>
          <w:sz w:val="28"/>
          <w:szCs w:val="28"/>
        </w:rPr>
        <w:t>joint degree and franchise</w:t>
      </w:r>
      <w:r w:rsidR="00907D21">
        <w:rPr>
          <w:rFonts w:cstheme="minorHAnsi"/>
          <w:sz w:val="28"/>
          <w:szCs w:val="28"/>
        </w:rPr>
        <w:t>)</w:t>
      </w:r>
      <w:r w:rsidR="006678EF">
        <w:rPr>
          <w:rFonts w:cstheme="minorHAnsi"/>
          <w:sz w:val="28"/>
          <w:szCs w:val="28"/>
        </w:rPr>
        <w:t xml:space="preserve"> partnerships which </w:t>
      </w:r>
      <w:r w:rsidR="00907D21">
        <w:rPr>
          <w:rFonts w:cstheme="minorHAnsi"/>
          <w:sz w:val="28"/>
          <w:szCs w:val="28"/>
        </w:rPr>
        <w:t xml:space="preserve">also </w:t>
      </w:r>
      <w:r w:rsidR="006678EF">
        <w:rPr>
          <w:rFonts w:cstheme="minorHAnsi"/>
          <w:sz w:val="28"/>
          <w:szCs w:val="28"/>
        </w:rPr>
        <w:t>offer the opportunity for substantive research activity and</w:t>
      </w:r>
      <w:r w:rsidR="00907D21">
        <w:rPr>
          <w:rFonts w:cstheme="minorHAnsi"/>
          <w:sz w:val="28"/>
          <w:szCs w:val="28"/>
        </w:rPr>
        <w:t xml:space="preserve">, secondly, </w:t>
      </w:r>
      <w:r w:rsidR="00B2412F">
        <w:rPr>
          <w:rFonts w:cstheme="minorHAnsi"/>
          <w:sz w:val="28"/>
          <w:szCs w:val="28"/>
        </w:rPr>
        <w:t xml:space="preserve">high volume </w:t>
      </w:r>
      <w:r w:rsidR="006678EF">
        <w:rPr>
          <w:rFonts w:cstheme="minorHAnsi"/>
          <w:sz w:val="28"/>
          <w:szCs w:val="28"/>
        </w:rPr>
        <w:t>articulation/</w:t>
      </w:r>
      <w:r w:rsidR="00E55A4D">
        <w:rPr>
          <w:rFonts w:cstheme="minorHAnsi"/>
          <w:sz w:val="28"/>
          <w:szCs w:val="28"/>
        </w:rPr>
        <w:t xml:space="preserve"> </w:t>
      </w:r>
      <w:r w:rsidR="006678EF">
        <w:rPr>
          <w:rFonts w:cstheme="minorHAnsi"/>
          <w:sz w:val="28"/>
          <w:szCs w:val="28"/>
        </w:rPr>
        <w:t xml:space="preserve">progression arrangements which enable universities to boost their onshore overseas enrolments and are, therefore, </w:t>
      </w:r>
      <w:r w:rsidR="00907D21">
        <w:rPr>
          <w:rFonts w:cstheme="minorHAnsi"/>
          <w:sz w:val="28"/>
          <w:szCs w:val="28"/>
        </w:rPr>
        <w:t xml:space="preserve">relatively  </w:t>
      </w:r>
      <w:r w:rsidR="006678EF">
        <w:rPr>
          <w:rFonts w:cstheme="minorHAnsi"/>
          <w:sz w:val="28"/>
          <w:szCs w:val="28"/>
        </w:rPr>
        <w:t xml:space="preserve">lucrative.  </w:t>
      </w:r>
      <w:r w:rsidR="00B2412F">
        <w:rPr>
          <w:rFonts w:cstheme="minorHAnsi"/>
          <w:sz w:val="28"/>
          <w:szCs w:val="28"/>
        </w:rPr>
        <w:t xml:space="preserve">In short, therefore, </w:t>
      </w:r>
      <w:r w:rsidR="006678EF">
        <w:rPr>
          <w:rFonts w:cstheme="minorHAnsi"/>
          <w:sz w:val="28"/>
          <w:szCs w:val="28"/>
        </w:rPr>
        <w:t>t</w:t>
      </w:r>
      <w:r w:rsidR="00907D21">
        <w:rPr>
          <w:rFonts w:cstheme="minorHAnsi"/>
          <w:sz w:val="28"/>
          <w:szCs w:val="28"/>
        </w:rPr>
        <w:t>he current shift away from high-volume, low-</w:t>
      </w:r>
      <w:r w:rsidR="006678EF">
        <w:rPr>
          <w:rFonts w:cstheme="minorHAnsi"/>
          <w:sz w:val="28"/>
          <w:szCs w:val="28"/>
        </w:rPr>
        <w:t>return partnerships will continue and probably accelerate with increasing emphasis being given to lower volume, high</w:t>
      </w:r>
      <w:r w:rsidR="00907D21">
        <w:rPr>
          <w:rFonts w:cstheme="minorHAnsi"/>
          <w:sz w:val="28"/>
          <w:szCs w:val="28"/>
        </w:rPr>
        <w:t>er</w:t>
      </w:r>
      <w:r w:rsidR="006678EF">
        <w:rPr>
          <w:rFonts w:cstheme="minorHAnsi"/>
          <w:sz w:val="28"/>
          <w:szCs w:val="28"/>
        </w:rPr>
        <w:t xml:space="preserve"> return, ‘quality’ partnerships.  </w:t>
      </w:r>
    </w:p>
    <w:p w14:paraId="2F084839" w14:textId="140DB62F" w:rsidR="006151C3" w:rsidRPr="00E55A4D" w:rsidRDefault="00A934CD" w:rsidP="00E55A4D">
      <w:pPr>
        <w:jc w:val="center"/>
        <w:rPr>
          <w:b/>
          <w:sz w:val="28"/>
          <w:szCs w:val="28"/>
        </w:rPr>
      </w:pPr>
      <w:r>
        <w:rPr>
          <w:rFonts w:cstheme="minorHAnsi"/>
          <w:sz w:val="28"/>
          <w:szCs w:val="28"/>
        </w:rPr>
        <w:br w:type="page"/>
      </w:r>
      <w:bookmarkStart w:id="21" w:name="_Toc531957322"/>
      <w:r w:rsidR="006151C3" w:rsidRPr="00E55A4D">
        <w:rPr>
          <w:b/>
          <w:sz w:val="28"/>
          <w:szCs w:val="28"/>
        </w:rPr>
        <w:lastRenderedPageBreak/>
        <w:t>REFERENCES</w:t>
      </w:r>
      <w:bookmarkEnd w:id="21"/>
    </w:p>
    <w:p w14:paraId="60483576" w14:textId="2B438AF8" w:rsidR="00A311EB" w:rsidRPr="000672E5" w:rsidRDefault="00A311EB" w:rsidP="00E114E2">
      <w:pPr>
        <w:jc w:val="both"/>
        <w:rPr>
          <w:rFonts w:cstheme="minorHAnsi"/>
          <w:sz w:val="28"/>
          <w:szCs w:val="28"/>
        </w:rPr>
      </w:pPr>
      <w:r w:rsidRPr="000672E5">
        <w:rPr>
          <w:rFonts w:cstheme="minorHAnsi"/>
          <w:sz w:val="28"/>
          <w:szCs w:val="28"/>
        </w:rPr>
        <w:t>Bennell, P.</w:t>
      </w:r>
      <w:r w:rsidR="001F32AC">
        <w:rPr>
          <w:rFonts w:cstheme="minorHAnsi"/>
          <w:sz w:val="28"/>
          <w:szCs w:val="28"/>
        </w:rPr>
        <w:t xml:space="preserve"> </w:t>
      </w:r>
      <w:r w:rsidR="008E344A">
        <w:rPr>
          <w:rFonts w:cstheme="minorHAnsi"/>
          <w:sz w:val="28"/>
          <w:szCs w:val="28"/>
        </w:rPr>
        <w:t>with T. Pearce. 2003</w:t>
      </w:r>
      <w:r w:rsidRPr="000672E5">
        <w:rPr>
          <w:rFonts w:cstheme="minorHAnsi"/>
          <w:sz w:val="28"/>
          <w:szCs w:val="28"/>
        </w:rPr>
        <w:t xml:space="preserve">. The internationalisation of higher education: Exporting education to developing and transitional economies. </w:t>
      </w:r>
      <w:r w:rsidR="008E344A">
        <w:rPr>
          <w:rFonts w:cstheme="minorHAnsi"/>
          <w:sz w:val="28"/>
          <w:szCs w:val="28"/>
        </w:rPr>
        <w:t xml:space="preserve">International Journal of Educational Development, vol. no. pp. </w:t>
      </w:r>
      <w:r w:rsidRPr="000672E5">
        <w:rPr>
          <w:rFonts w:cstheme="minorHAnsi"/>
          <w:sz w:val="28"/>
          <w:szCs w:val="28"/>
        </w:rPr>
        <w:t>.</w:t>
      </w:r>
    </w:p>
    <w:p w14:paraId="4D37E5E1" w14:textId="77777777" w:rsidR="00C12FEA" w:rsidRPr="000672E5" w:rsidRDefault="00C12FEA" w:rsidP="00E114E2">
      <w:pPr>
        <w:jc w:val="both"/>
        <w:rPr>
          <w:rFonts w:cstheme="minorHAnsi"/>
          <w:sz w:val="28"/>
          <w:szCs w:val="28"/>
        </w:rPr>
      </w:pPr>
      <w:r w:rsidRPr="000672E5">
        <w:rPr>
          <w:rFonts w:cstheme="minorHAnsi"/>
          <w:sz w:val="28"/>
          <w:szCs w:val="28"/>
        </w:rPr>
        <w:t xml:space="preserve">British Council. 2013. The shape of things to come. The evolution of transnational education: data, definitions, opportunities and impact analysis. Going Global 2013. London, British Council. </w:t>
      </w:r>
    </w:p>
    <w:p w14:paraId="250313E1" w14:textId="4C26CBEA" w:rsidR="001F32AC" w:rsidRPr="000672E5" w:rsidRDefault="00F3268D" w:rsidP="001F32AC">
      <w:pPr>
        <w:jc w:val="both"/>
        <w:rPr>
          <w:rFonts w:cstheme="minorHAnsi"/>
          <w:sz w:val="28"/>
          <w:szCs w:val="28"/>
        </w:rPr>
      </w:pPr>
      <w:r>
        <w:rPr>
          <w:rFonts w:cstheme="minorHAnsi"/>
          <w:sz w:val="28"/>
          <w:szCs w:val="28"/>
        </w:rPr>
        <w:t>British Council. 2015.</w:t>
      </w:r>
      <w:r w:rsidR="001F32AC" w:rsidRPr="000672E5">
        <w:rPr>
          <w:rFonts w:cstheme="minorHAnsi"/>
          <w:sz w:val="28"/>
          <w:szCs w:val="28"/>
        </w:rPr>
        <w:t xml:space="preserve"> Transnational education: a guide for creating partnerships in India. December, British Council, London</w:t>
      </w:r>
    </w:p>
    <w:p w14:paraId="021E6074" w14:textId="77777777" w:rsidR="00ED0541" w:rsidRPr="000672E5" w:rsidRDefault="00ED0541" w:rsidP="00ED0541">
      <w:pPr>
        <w:jc w:val="both"/>
        <w:rPr>
          <w:rFonts w:cstheme="minorHAnsi"/>
          <w:sz w:val="28"/>
          <w:szCs w:val="28"/>
        </w:rPr>
      </w:pPr>
      <w:r>
        <w:rPr>
          <w:rFonts w:cstheme="minorHAnsi"/>
          <w:sz w:val="28"/>
          <w:szCs w:val="28"/>
        </w:rPr>
        <w:t xml:space="preserve">British Council. 2015. </w:t>
      </w:r>
      <w:r w:rsidRPr="000672E5">
        <w:rPr>
          <w:rFonts w:cstheme="minorHAnsi"/>
          <w:sz w:val="28"/>
          <w:szCs w:val="28"/>
        </w:rPr>
        <w:t xml:space="preserve">The global value of education and training exports to the UK economy. London, British Council and UK Trade and Investment. </w:t>
      </w:r>
    </w:p>
    <w:p w14:paraId="24A14C4A" w14:textId="014CC175" w:rsidR="00692880" w:rsidRPr="000672E5" w:rsidRDefault="00692880" w:rsidP="00E114E2">
      <w:pPr>
        <w:jc w:val="both"/>
        <w:rPr>
          <w:rFonts w:cstheme="minorHAnsi"/>
          <w:sz w:val="28"/>
          <w:szCs w:val="28"/>
        </w:rPr>
      </w:pPr>
      <w:r w:rsidRPr="000672E5">
        <w:rPr>
          <w:rFonts w:cstheme="minorHAnsi"/>
          <w:sz w:val="28"/>
          <w:szCs w:val="28"/>
        </w:rPr>
        <w:t>Drew, S., McCaig, C., Marsden, D., Haughton, P., McBride, J., W</w:t>
      </w:r>
      <w:r w:rsidR="00F3268D">
        <w:rPr>
          <w:rFonts w:cstheme="minorHAnsi"/>
          <w:sz w:val="28"/>
          <w:szCs w:val="28"/>
        </w:rPr>
        <w:t>illis, B. and Wolstenholme, C. 2008</w:t>
      </w:r>
      <w:r w:rsidR="00E55A4D">
        <w:rPr>
          <w:rFonts w:cstheme="minorHAnsi"/>
          <w:sz w:val="28"/>
          <w:szCs w:val="28"/>
        </w:rPr>
        <w:t>. Trans</w:t>
      </w:r>
      <w:r w:rsidRPr="000672E5">
        <w:rPr>
          <w:rFonts w:cstheme="minorHAnsi"/>
          <w:sz w:val="28"/>
          <w:szCs w:val="28"/>
        </w:rPr>
        <w:t>n</w:t>
      </w:r>
      <w:r w:rsidR="00E55A4D">
        <w:rPr>
          <w:rFonts w:cstheme="minorHAnsi"/>
          <w:sz w:val="28"/>
          <w:szCs w:val="28"/>
        </w:rPr>
        <w:t>a</w:t>
      </w:r>
      <w:r w:rsidRPr="000672E5">
        <w:rPr>
          <w:rFonts w:cstheme="minorHAnsi"/>
          <w:sz w:val="28"/>
          <w:szCs w:val="28"/>
        </w:rPr>
        <w:t>tional education and higher education institutions: exploring patterns of HE activity. London: DBIS.</w:t>
      </w:r>
    </w:p>
    <w:p w14:paraId="5AF86C34" w14:textId="74FF8E71" w:rsidR="006151C3" w:rsidRPr="000672E5" w:rsidRDefault="00276BFD" w:rsidP="00E114E2">
      <w:pPr>
        <w:jc w:val="both"/>
        <w:rPr>
          <w:rFonts w:cstheme="minorHAnsi"/>
          <w:sz w:val="28"/>
          <w:szCs w:val="28"/>
        </w:rPr>
      </w:pPr>
      <w:r>
        <w:rPr>
          <w:rFonts w:cstheme="minorHAnsi"/>
          <w:sz w:val="28"/>
          <w:szCs w:val="28"/>
        </w:rPr>
        <w:t>Healey, N., 2013</w:t>
      </w:r>
      <w:r w:rsidR="006151C3" w:rsidRPr="000672E5">
        <w:rPr>
          <w:rFonts w:cstheme="minorHAnsi"/>
          <w:sz w:val="28"/>
          <w:szCs w:val="28"/>
        </w:rPr>
        <w:t>. Is UK trans</w:t>
      </w:r>
      <w:r w:rsidR="007C4848" w:rsidRPr="000672E5">
        <w:rPr>
          <w:rFonts w:cstheme="minorHAnsi"/>
          <w:sz w:val="28"/>
          <w:szCs w:val="28"/>
        </w:rPr>
        <w:t>na</w:t>
      </w:r>
      <w:r w:rsidR="006151C3" w:rsidRPr="000672E5">
        <w:rPr>
          <w:rFonts w:cstheme="minorHAnsi"/>
          <w:sz w:val="28"/>
          <w:szCs w:val="28"/>
        </w:rPr>
        <w:t>tional education ‘one of Britain’s great g</w:t>
      </w:r>
      <w:r w:rsidR="00936541" w:rsidRPr="000672E5">
        <w:rPr>
          <w:rFonts w:cstheme="minorHAnsi"/>
          <w:sz w:val="28"/>
          <w:szCs w:val="28"/>
        </w:rPr>
        <w:t>rowth industries of the future?</w:t>
      </w:r>
      <w:r w:rsidR="006151C3" w:rsidRPr="000672E5">
        <w:rPr>
          <w:rFonts w:cstheme="minorHAnsi"/>
          <w:sz w:val="28"/>
          <w:szCs w:val="28"/>
        </w:rPr>
        <w:t xml:space="preserve"> Higher Education Review, </w:t>
      </w:r>
      <w:r w:rsidR="00936541" w:rsidRPr="000672E5">
        <w:rPr>
          <w:rFonts w:cstheme="minorHAnsi"/>
          <w:sz w:val="28"/>
          <w:szCs w:val="28"/>
        </w:rPr>
        <w:t>55, pp.333-355</w:t>
      </w:r>
    </w:p>
    <w:p w14:paraId="7E2EAAE0" w14:textId="77777777" w:rsidR="00C12FEA" w:rsidRPr="000672E5" w:rsidRDefault="00C12FEA" w:rsidP="00E114E2">
      <w:pPr>
        <w:jc w:val="both"/>
        <w:rPr>
          <w:rFonts w:cstheme="minorHAnsi"/>
          <w:sz w:val="28"/>
          <w:szCs w:val="28"/>
        </w:rPr>
      </w:pPr>
      <w:r w:rsidRPr="000672E5">
        <w:rPr>
          <w:rFonts w:cstheme="minorHAnsi"/>
          <w:sz w:val="28"/>
          <w:szCs w:val="28"/>
        </w:rPr>
        <w:t>Lenton, P. 2007. Global value: the value of UK education and training exports: an update. London, British Council.</w:t>
      </w:r>
    </w:p>
    <w:p w14:paraId="40ADA708" w14:textId="77777777" w:rsidR="00A1732A" w:rsidRPr="000672E5" w:rsidRDefault="00A1732A" w:rsidP="00A1732A">
      <w:pPr>
        <w:jc w:val="both"/>
        <w:rPr>
          <w:rFonts w:cstheme="minorHAnsi"/>
          <w:sz w:val="28"/>
          <w:szCs w:val="28"/>
        </w:rPr>
      </w:pPr>
      <w:r>
        <w:rPr>
          <w:rFonts w:cstheme="minorHAnsi"/>
          <w:sz w:val="28"/>
          <w:szCs w:val="28"/>
        </w:rPr>
        <w:t>Universities UK. 2017</w:t>
      </w:r>
      <w:r w:rsidRPr="000672E5">
        <w:rPr>
          <w:rFonts w:cstheme="minorHAnsi"/>
          <w:sz w:val="28"/>
          <w:szCs w:val="28"/>
        </w:rPr>
        <w:t>. The scale and scope of UK higher education transnational education. Universities UK and British Council. June. London.</w:t>
      </w:r>
    </w:p>
    <w:p w14:paraId="60EDA862" w14:textId="433B6290" w:rsidR="00015C21" w:rsidRDefault="00015C21">
      <w:pPr>
        <w:rPr>
          <w:rFonts w:ascii="Arial" w:hAnsi="Arial" w:cs="Arial"/>
          <w:sz w:val="28"/>
          <w:szCs w:val="28"/>
        </w:rPr>
      </w:pPr>
      <w:r>
        <w:rPr>
          <w:rFonts w:ascii="Arial" w:hAnsi="Arial" w:cs="Arial"/>
          <w:sz w:val="28"/>
          <w:szCs w:val="28"/>
        </w:rPr>
        <w:br w:type="page"/>
      </w:r>
    </w:p>
    <w:sectPr w:rsidR="00015C21" w:rsidSect="008B38BC">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2A72F" w16cid:durableId="1F8EB0DE"/>
  <w16cid:commentId w16cid:paraId="68848100" w16cid:durableId="1F8EB0DF"/>
  <w16cid:commentId w16cid:paraId="551F5D69" w16cid:durableId="1F8EB0E0"/>
  <w16cid:commentId w16cid:paraId="7D02FD5B" w16cid:durableId="1F8EB0E1"/>
  <w16cid:commentId w16cid:paraId="76BE82D1" w16cid:durableId="1F8EB0E2"/>
  <w16cid:commentId w16cid:paraId="6D55E633" w16cid:durableId="1F8EB0E3"/>
  <w16cid:commentId w16cid:paraId="136D2120" w16cid:durableId="1F8EB0E4"/>
  <w16cid:commentId w16cid:paraId="5C9C7FFF" w16cid:durableId="1F8EB0E5"/>
  <w16cid:commentId w16cid:paraId="7AE73C64" w16cid:durableId="1F8EB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4130F" w14:textId="77777777" w:rsidR="001E48C3" w:rsidRDefault="001E48C3" w:rsidP="003D5B9C">
      <w:pPr>
        <w:spacing w:after="0" w:line="240" w:lineRule="auto"/>
      </w:pPr>
      <w:r>
        <w:separator/>
      </w:r>
    </w:p>
  </w:endnote>
  <w:endnote w:type="continuationSeparator" w:id="0">
    <w:p w14:paraId="45C17AA9" w14:textId="77777777" w:rsidR="001E48C3" w:rsidRDefault="001E48C3" w:rsidP="003D5B9C">
      <w:pPr>
        <w:spacing w:after="0" w:line="240" w:lineRule="auto"/>
      </w:pPr>
      <w:r>
        <w:continuationSeparator/>
      </w:r>
    </w:p>
  </w:endnote>
  <w:endnote w:id="1">
    <w:p w14:paraId="4B676CB6" w14:textId="77777777" w:rsidR="001F62C5" w:rsidRPr="00E55A4D" w:rsidRDefault="001F62C5" w:rsidP="00E55A4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245730"/>
      <w:docPartObj>
        <w:docPartGallery w:val="Page Numbers (Bottom of Page)"/>
        <w:docPartUnique/>
      </w:docPartObj>
    </w:sdtPr>
    <w:sdtEndPr>
      <w:rPr>
        <w:noProof/>
      </w:rPr>
    </w:sdtEndPr>
    <w:sdtContent>
      <w:p w14:paraId="52FF7B67" w14:textId="3F367491" w:rsidR="001F62C5" w:rsidRDefault="001F62C5">
        <w:pPr>
          <w:pStyle w:val="Footer"/>
          <w:jc w:val="center"/>
        </w:pPr>
        <w:r>
          <w:rPr>
            <w:noProof/>
          </w:rPr>
          <w:fldChar w:fldCharType="begin"/>
        </w:r>
        <w:r>
          <w:rPr>
            <w:noProof/>
          </w:rPr>
          <w:instrText xml:space="preserve"> PAGE   \* MERGEFORMAT </w:instrText>
        </w:r>
        <w:r>
          <w:rPr>
            <w:noProof/>
          </w:rPr>
          <w:fldChar w:fldCharType="separate"/>
        </w:r>
        <w:r w:rsidR="008E5827">
          <w:rPr>
            <w:noProof/>
          </w:rPr>
          <w:t>2</w:t>
        </w:r>
        <w:r>
          <w:rPr>
            <w:noProof/>
          </w:rPr>
          <w:fldChar w:fldCharType="end"/>
        </w:r>
      </w:p>
    </w:sdtContent>
  </w:sdt>
  <w:p w14:paraId="2E2E0B37" w14:textId="77777777" w:rsidR="001F62C5" w:rsidRDefault="001F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FFA97" w14:textId="77777777" w:rsidR="001E48C3" w:rsidRDefault="001E48C3" w:rsidP="003D5B9C">
      <w:pPr>
        <w:spacing w:after="0" w:line="240" w:lineRule="auto"/>
      </w:pPr>
      <w:r>
        <w:separator/>
      </w:r>
    </w:p>
  </w:footnote>
  <w:footnote w:type="continuationSeparator" w:id="0">
    <w:p w14:paraId="6E317CAD" w14:textId="77777777" w:rsidR="001E48C3" w:rsidRDefault="001E48C3" w:rsidP="003D5B9C">
      <w:pPr>
        <w:spacing w:after="0" w:line="240" w:lineRule="auto"/>
      </w:pPr>
      <w:r>
        <w:continuationSeparator/>
      </w:r>
    </w:p>
  </w:footnote>
  <w:footnote w:id="1">
    <w:p w14:paraId="3DD1CDC5" w14:textId="77777777" w:rsidR="001F62C5" w:rsidRPr="008304A8" w:rsidRDefault="001F62C5">
      <w:pPr>
        <w:pStyle w:val="FootnoteText"/>
      </w:pPr>
      <w:r w:rsidRPr="008304A8">
        <w:rPr>
          <w:rStyle w:val="FootnoteReference"/>
        </w:rPr>
        <w:footnoteRef/>
      </w:r>
      <w:r w:rsidRPr="008304A8">
        <w:t xml:space="preserve"> </w:t>
      </w:r>
      <w:r w:rsidRPr="008304A8">
        <w:rPr>
          <w:rFonts w:cstheme="minorHAnsi"/>
        </w:rPr>
        <w:t>Funding body grants for</w:t>
      </w:r>
      <w:r>
        <w:rPr>
          <w:rFonts w:cstheme="minorHAnsi"/>
        </w:rPr>
        <w:t xml:space="preserve"> universities in </w:t>
      </w:r>
      <w:r w:rsidRPr="008304A8">
        <w:rPr>
          <w:rFonts w:cstheme="minorHAnsi"/>
        </w:rPr>
        <w:t>England fell from 35% of total income in 2007/08 to 12% in 2016/17.</w:t>
      </w:r>
      <w:r>
        <w:rPr>
          <w:rFonts w:cstheme="minorHAnsi"/>
        </w:rPr>
        <w:t xml:space="preserve"> The corresponding percentages for Scotland, Wales and Northern Ireland are 41% and 27%.</w:t>
      </w:r>
    </w:p>
  </w:footnote>
  <w:footnote w:id="2">
    <w:p w14:paraId="34CFCE84" w14:textId="0AEE088A" w:rsidR="001F62C5" w:rsidRPr="006E4CF4" w:rsidRDefault="001F62C5">
      <w:pPr>
        <w:pStyle w:val="FootnoteText"/>
        <w:rPr>
          <w:sz w:val="22"/>
          <w:szCs w:val="22"/>
        </w:rPr>
      </w:pPr>
    </w:p>
  </w:footnote>
  <w:footnote w:id="3">
    <w:p w14:paraId="49AC5ADE" w14:textId="77777777" w:rsidR="001F62C5" w:rsidRDefault="001F62C5">
      <w:pPr>
        <w:pStyle w:val="FootnoteText"/>
      </w:pPr>
      <w:r>
        <w:rPr>
          <w:rStyle w:val="FootnoteReference"/>
        </w:rPr>
        <w:footnoteRef/>
      </w:r>
      <w:r>
        <w:t xml:space="preserve"> Personal details of all students studying at higher education providers in the UK are collected by HESA as part of the Individual Student Record. </w:t>
      </w:r>
    </w:p>
  </w:footnote>
  <w:footnote w:id="4">
    <w:p w14:paraId="7426C6E5" w14:textId="3425C839" w:rsidR="001F62C5" w:rsidRPr="005C07A9" w:rsidRDefault="001F62C5" w:rsidP="005C07A9">
      <w:pPr>
        <w:jc w:val="both"/>
        <w:rPr>
          <w:rFonts w:cstheme="minorHAnsi"/>
          <w:sz w:val="20"/>
          <w:szCs w:val="20"/>
        </w:rPr>
      </w:pPr>
      <w:r w:rsidRPr="005C07A9">
        <w:rPr>
          <w:rStyle w:val="FootnoteReference"/>
          <w:sz w:val="20"/>
          <w:szCs w:val="20"/>
        </w:rPr>
        <w:footnoteRef/>
      </w:r>
      <w:r w:rsidRPr="005C07A9">
        <w:rPr>
          <w:sz w:val="20"/>
          <w:szCs w:val="20"/>
        </w:rPr>
        <w:t xml:space="preserve"> </w:t>
      </w:r>
      <w:r>
        <w:rPr>
          <w:rFonts w:cstheme="minorHAnsi"/>
          <w:sz w:val="20"/>
          <w:szCs w:val="20"/>
        </w:rPr>
        <w:t>Some overseas branch campuses</w:t>
      </w:r>
      <w:r w:rsidRPr="005C07A9">
        <w:rPr>
          <w:rFonts w:cstheme="minorHAnsi"/>
          <w:sz w:val="20"/>
          <w:szCs w:val="20"/>
        </w:rPr>
        <w:t xml:space="preserve"> send all or a large proportion of their students to the UK parent campus for usually for one year. For example, Southampton University’s OBC in Malaysia</w:t>
      </w:r>
      <w:r>
        <w:rPr>
          <w:rFonts w:cstheme="minorHAnsi"/>
          <w:sz w:val="20"/>
          <w:szCs w:val="20"/>
        </w:rPr>
        <w:t xml:space="preserve"> and Liverpool University’s OBC in China (2+2)</w:t>
      </w:r>
      <w:r w:rsidRPr="005C07A9">
        <w:rPr>
          <w:rFonts w:cstheme="minorHAnsi"/>
          <w:sz w:val="20"/>
          <w:szCs w:val="20"/>
        </w:rPr>
        <w:t xml:space="preserve">.  </w:t>
      </w:r>
    </w:p>
    <w:p w14:paraId="0EA92DA4" w14:textId="77777777" w:rsidR="001F62C5" w:rsidRDefault="001F62C5">
      <w:pPr>
        <w:pStyle w:val="FootnoteText"/>
      </w:pPr>
    </w:p>
  </w:footnote>
  <w:footnote w:id="5">
    <w:p w14:paraId="1DFA1435" w14:textId="5346FF05" w:rsidR="001F62C5" w:rsidRDefault="001F62C5">
      <w:pPr>
        <w:pStyle w:val="FootnoteText"/>
      </w:pPr>
      <w:r>
        <w:rPr>
          <w:rStyle w:val="FootnoteReference"/>
        </w:rPr>
        <w:footnoteRef/>
      </w:r>
      <w:r>
        <w:t xml:space="preserve"> The largest ODL providers at the University of London are LSE 17,800 students, undergraduate law degrees 15,500, SOAS 6,000, Queen Mary College 2,100, Royal Holloway 2,000, and University College 2,300.</w:t>
      </w:r>
    </w:p>
  </w:footnote>
  <w:footnote w:id="6">
    <w:p w14:paraId="6414B202" w14:textId="645F14D5" w:rsidR="001F62C5" w:rsidRDefault="001F62C5">
      <w:pPr>
        <w:pStyle w:val="FootnoteText"/>
      </w:pPr>
      <w:r>
        <w:rPr>
          <w:rStyle w:val="FootnoteReference"/>
        </w:rPr>
        <w:footnoteRef/>
      </w:r>
      <w:r>
        <w:t xml:space="preserve"> Another five universities are reported to have franchised their ODL courses to Laureate.</w:t>
      </w:r>
    </w:p>
  </w:footnote>
  <w:footnote w:id="7">
    <w:p w14:paraId="5E971183" w14:textId="763C178B" w:rsidR="001F62C5" w:rsidRDefault="001F62C5">
      <w:pPr>
        <w:pStyle w:val="FootnoteText"/>
      </w:pPr>
      <w:r>
        <w:rPr>
          <w:rStyle w:val="FootnoteReference"/>
        </w:rPr>
        <w:footnoteRef/>
      </w:r>
      <w:r>
        <w:t xml:space="preserve"> Some of this decline is attributed to universities ‘weeding out’ large numbers of non-active students and does not reflect any significant decline in the commitment of the university with regard to ODL provision.</w:t>
      </w:r>
    </w:p>
  </w:footnote>
  <w:footnote w:id="8">
    <w:p w14:paraId="2B128D9F" w14:textId="7F3763F1" w:rsidR="001F62C5" w:rsidRDefault="001F62C5">
      <w:pPr>
        <w:pStyle w:val="FootnoteText"/>
      </w:pPr>
      <w:r>
        <w:rPr>
          <w:rStyle w:val="FootnoteReference"/>
        </w:rPr>
        <w:footnoteRef/>
      </w:r>
      <w:r>
        <w:t xml:space="preserve"> Kaplan’s franchising arrangement with Royal Holloway College, London University in Singapore is a good example.</w:t>
      </w:r>
    </w:p>
  </w:footnote>
  <w:footnote w:id="9">
    <w:p w14:paraId="23D54581" w14:textId="77777777" w:rsidR="001F62C5" w:rsidRPr="00636533" w:rsidRDefault="001F62C5">
      <w:pPr>
        <w:pStyle w:val="FootnoteText"/>
      </w:pPr>
      <w:r w:rsidRPr="00636533">
        <w:rPr>
          <w:rStyle w:val="FootnoteReference"/>
        </w:rPr>
        <w:footnoteRef/>
      </w:r>
      <w:r w:rsidRPr="00636533">
        <w:t xml:space="preserve"> </w:t>
      </w:r>
      <w:r>
        <w:t>For example, th</w:t>
      </w:r>
      <w:r w:rsidRPr="00636533">
        <w:rPr>
          <w:rFonts w:cstheme="minorHAnsi"/>
        </w:rPr>
        <w:t xml:space="preserve">is was </w:t>
      </w:r>
      <w:r>
        <w:rPr>
          <w:rFonts w:cstheme="minorHAnsi"/>
        </w:rPr>
        <w:t xml:space="preserve">consistently identified </w:t>
      </w:r>
      <w:r w:rsidRPr="00636533">
        <w:rPr>
          <w:rFonts w:cstheme="minorHAnsi"/>
        </w:rPr>
        <w:t xml:space="preserve">as </w:t>
      </w:r>
      <w:r>
        <w:rPr>
          <w:rFonts w:cstheme="minorHAnsi"/>
        </w:rPr>
        <w:t xml:space="preserve">the </w:t>
      </w:r>
      <w:r w:rsidRPr="00636533">
        <w:rPr>
          <w:rFonts w:cstheme="minorHAnsi"/>
        </w:rPr>
        <w:t>major negative factor by</w:t>
      </w:r>
      <w:r>
        <w:rPr>
          <w:rFonts w:cstheme="minorHAnsi"/>
        </w:rPr>
        <w:t xml:space="preserve"> student respondents in the 2015</w:t>
      </w:r>
      <w:r w:rsidRPr="00636533">
        <w:rPr>
          <w:rFonts w:cstheme="minorHAnsi"/>
        </w:rPr>
        <w:t xml:space="preserve"> </w:t>
      </w:r>
      <w:r>
        <w:rPr>
          <w:rFonts w:cstheme="minorHAnsi"/>
        </w:rPr>
        <w:t>British Council s</w:t>
      </w:r>
      <w:r w:rsidRPr="00636533">
        <w:rPr>
          <w:rFonts w:cstheme="minorHAnsi"/>
        </w:rPr>
        <w:t>tudy</w:t>
      </w:r>
      <w:r>
        <w:rPr>
          <w:rFonts w:cstheme="minorHAnsi"/>
        </w:rPr>
        <w:t xml:space="preserve"> of overseas partnerships in India</w:t>
      </w:r>
      <w:r w:rsidRPr="00636533">
        <w:rPr>
          <w:rFonts w:cs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423C"/>
    <w:multiLevelType w:val="multilevel"/>
    <w:tmpl w:val="0DEC5A60"/>
    <w:lvl w:ilvl="0">
      <w:start w:val="4"/>
      <w:numFmt w:val="decimal"/>
      <w:lvlText w:val="%1."/>
      <w:lvlJc w:val="left"/>
      <w:pPr>
        <w:ind w:left="644" w:hanging="360"/>
      </w:pPr>
      <w:rPr>
        <w:rFonts w:hint="default"/>
      </w:rPr>
    </w:lvl>
    <w:lvl w:ilvl="1">
      <w:start w:val="1"/>
      <w:numFmt w:val="decimal"/>
      <w:isLgl/>
      <w:lvlText w:val="%1.%2"/>
      <w:lvlJc w:val="left"/>
      <w:pPr>
        <w:ind w:left="752" w:hanging="46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6482E76"/>
    <w:multiLevelType w:val="hybridMultilevel"/>
    <w:tmpl w:val="3884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F1770"/>
    <w:multiLevelType w:val="multilevel"/>
    <w:tmpl w:val="C974E1E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512BB4"/>
    <w:multiLevelType w:val="hybridMultilevel"/>
    <w:tmpl w:val="95F0A032"/>
    <w:lvl w:ilvl="0" w:tplc="499EA12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85D65"/>
    <w:multiLevelType w:val="multilevel"/>
    <w:tmpl w:val="7D92B290"/>
    <w:lvl w:ilvl="0">
      <w:start w:val="1"/>
      <w:numFmt w:val="decimal"/>
      <w:pStyle w:val="FILHeader1"/>
      <w:lvlText w:val="%1."/>
      <w:lvlJc w:val="left"/>
      <w:pPr>
        <w:ind w:left="720" w:hanging="360"/>
      </w:pPr>
      <w:rPr>
        <w:rFonts w:hint="default"/>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816064"/>
    <w:multiLevelType w:val="hybridMultilevel"/>
    <w:tmpl w:val="2794C648"/>
    <w:lvl w:ilvl="0" w:tplc="120482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D03A0"/>
    <w:multiLevelType w:val="hybridMultilevel"/>
    <w:tmpl w:val="BEA8B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B72D7"/>
    <w:multiLevelType w:val="hybridMultilevel"/>
    <w:tmpl w:val="E65E2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24438"/>
    <w:multiLevelType w:val="hybridMultilevel"/>
    <w:tmpl w:val="F5381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B60CA"/>
    <w:multiLevelType w:val="hybridMultilevel"/>
    <w:tmpl w:val="0302A2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C05E1"/>
    <w:multiLevelType w:val="hybridMultilevel"/>
    <w:tmpl w:val="8DCC464A"/>
    <w:lvl w:ilvl="0" w:tplc="1482111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2360F0"/>
    <w:multiLevelType w:val="hybridMultilevel"/>
    <w:tmpl w:val="DC4A8D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FF4C55"/>
    <w:multiLevelType w:val="multilevel"/>
    <w:tmpl w:val="36D845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7125DD"/>
    <w:multiLevelType w:val="hybridMultilevel"/>
    <w:tmpl w:val="7D72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F77BA0"/>
    <w:multiLevelType w:val="hybridMultilevel"/>
    <w:tmpl w:val="BEA8B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DD74C4"/>
    <w:multiLevelType w:val="hybridMultilevel"/>
    <w:tmpl w:val="ACEA10A4"/>
    <w:lvl w:ilvl="0" w:tplc="4230865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3E59C8"/>
    <w:multiLevelType w:val="hybridMultilevel"/>
    <w:tmpl w:val="5190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795E11"/>
    <w:multiLevelType w:val="hybridMultilevel"/>
    <w:tmpl w:val="07047E4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CD02B4"/>
    <w:multiLevelType w:val="hybridMultilevel"/>
    <w:tmpl w:val="21FAD6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7F2592"/>
    <w:multiLevelType w:val="hybridMultilevel"/>
    <w:tmpl w:val="8BA01A7C"/>
    <w:lvl w:ilvl="0" w:tplc="0F6AC0F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D3418D"/>
    <w:multiLevelType w:val="hybridMultilevel"/>
    <w:tmpl w:val="A170D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0"/>
  </w:num>
  <w:num w:numId="3">
    <w:abstractNumId w:val="5"/>
  </w:num>
  <w:num w:numId="4">
    <w:abstractNumId w:val="14"/>
  </w:num>
  <w:num w:numId="5">
    <w:abstractNumId w:val="19"/>
  </w:num>
  <w:num w:numId="6">
    <w:abstractNumId w:val="6"/>
  </w:num>
  <w:num w:numId="7">
    <w:abstractNumId w:val="15"/>
  </w:num>
  <w:num w:numId="8">
    <w:abstractNumId w:val="17"/>
  </w:num>
  <w:num w:numId="9">
    <w:abstractNumId w:val="4"/>
  </w:num>
  <w:num w:numId="10">
    <w:abstractNumId w:val="0"/>
  </w:num>
  <w:num w:numId="11">
    <w:abstractNumId w:val="10"/>
  </w:num>
  <w:num w:numId="12">
    <w:abstractNumId w:val="9"/>
  </w:num>
  <w:num w:numId="13">
    <w:abstractNumId w:val="16"/>
  </w:num>
  <w:num w:numId="14">
    <w:abstractNumId w:val="13"/>
  </w:num>
  <w:num w:numId="15">
    <w:abstractNumId w:val="2"/>
  </w:num>
  <w:num w:numId="16">
    <w:abstractNumId w:val="12"/>
  </w:num>
  <w:num w:numId="17">
    <w:abstractNumId w:val="18"/>
  </w:num>
  <w:num w:numId="18">
    <w:abstractNumId w:val="1"/>
  </w:num>
  <w:num w:numId="19">
    <w:abstractNumId w:val="8"/>
  </w:num>
  <w:num w:numId="20">
    <w:abstractNumId w:val="11"/>
  </w:num>
  <w:num w:numId="21">
    <w:abstractNumId w:val="3"/>
  </w:num>
  <w:num w:numId="22">
    <w:abstractNumId w:val="4"/>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9C"/>
    <w:rsid w:val="00001780"/>
    <w:rsid w:val="000019A9"/>
    <w:rsid w:val="00003B22"/>
    <w:rsid w:val="00003F8D"/>
    <w:rsid w:val="00006F1E"/>
    <w:rsid w:val="000106D6"/>
    <w:rsid w:val="00015C21"/>
    <w:rsid w:val="00016991"/>
    <w:rsid w:val="00016D28"/>
    <w:rsid w:val="00024B80"/>
    <w:rsid w:val="00026F88"/>
    <w:rsid w:val="00031ECC"/>
    <w:rsid w:val="00033D2B"/>
    <w:rsid w:val="00034A22"/>
    <w:rsid w:val="00036FBF"/>
    <w:rsid w:val="0004148E"/>
    <w:rsid w:val="00041EB4"/>
    <w:rsid w:val="00045343"/>
    <w:rsid w:val="000476CC"/>
    <w:rsid w:val="00051F3E"/>
    <w:rsid w:val="0005319B"/>
    <w:rsid w:val="000545D5"/>
    <w:rsid w:val="000552CC"/>
    <w:rsid w:val="00061021"/>
    <w:rsid w:val="0006196B"/>
    <w:rsid w:val="000659F6"/>
    <w:rsid w:val="000672E5"/>
    <w:rsid w:val="00070B04"/>
    <w:rsid w:val="00072915"/>
    <w:rsid w:val="00073C22"/>
    <w:rsid w:val="0007407E"/>
    <w:rsid w:val="00077276"/>
    <w:rsid w:val="000773F4"/>
    <w:rsid w:val="000818BD"/>
    <w:rsid w:val="000829B8"/>
    <w:rsid w:val="00082A80"/>
    <w:rsid w:val="00085421"/>
    <w:rsid w:val="00086927"/>
    <w:rsid w:val="000900B6"/>
    <w:rsid w:val="000918DD"/>
    <w:rsid w:val="00094062"/>
    <w:rsid w:val="000974A1"/>
    <w:rsid w:val="000A37C0"/>
    <w:rsid w:val="000A5C19"/>
    <w:rsid w:val="000A7E35"/>
    <w:rsid w:val="000A7F40"/>
    <w:rsid w:val="000B15C3"/>
    <w:rsid w:val="000B422F"/>
    <w:rsid w:val="000B51EC"/>
    <w:rsid w:val="000B5E55"/>
    <w:rsid w:val="000B5FEC"/>
    <w:rsid w:val="000C073D"/>
    <w:rsid w:val="000C1BF6"/>
    <w:rsid w:val="000D037C"/>
    <w:rsid w:val="000D6D14"/>
    <w:rsid w:val="000E519E"/>
    <w:rsid w:val="000F2ABA"/>
    <w:rsid w:val="000F53FA"/>
    <w:rsid w:val="000F5CAB"/>
    <w:rsid w:val="000F6275"/>
    <w:rsid w:val="000F647A"/>
    <w:rsid w:val="00102E1D"/>
    <w:rsid w:val="00104AC7"/>
    <w:rsid w:val="00107D43"/>
    <w:rsid w:val="001101AE"/>
    <w:rsid w:val="0011133F"/>
    <w:rsid w:val="00112CB9"/>
    <w:rsid w:val="00113304"/>
    <w:rsid w:val="0011515E"/>
    <w:rsid w:val="00116C6B"/>
    <w:rsid w:val="00117F22"/>
    <w:rsid w:val="00121B5C"/>
    <w:rsid w:val="00123960"/>
    <w:rsid w:val="00125E64"/>
    <w:rsid w:val="0012649F"/>
    <w:rsid w:val="001269C8"/>
    <w:rsid w:val="001302F2"/>
    <w:rsid w:val="0013341D"/>
    <w:rsid w:val="00133C05"/>
    <w:rsid w:val="00141902"/>
    <w:rsid w:val="00142014"/>
    <w:rsid w:val="001440E4"/>
    <w:rsid w:val="00144EEB"/>
    <w:rsid w:val="00145287"/>
    <w:rsid w:val="00147A00"/>
    <w:rsid w:val="00152C17"/>
    <w:rsid w:val="001565B8"/>
    <w:rsid w:val="001578C7"/>
    <w:rsid w:val="00160043"/>
    <w:rsid w:val="001613C2"/>
    <w:rsid w:val="001614FF"/>
    <w:rsid w:val="00161842"/>
    <w:rsid w:val="00161940"/>
    <w:rsid w:val="001639AC"/>
    <w:rsid w:val="00164A3A"/>
    <w:rsid w:val="0016790C"/>
    <w:rsid w:val="001711B9"/>
    <w:rsid w:val="0017420A"/>
    <w:rsid w:val="001745E9"/>
    <w:rsid w:val="001759CD"/>
    <w:rsid w:val="00177909"/>
    <w:rsid w:val="001806C6"/>
    <w:rsid w:val="00180784"/>
    <w:rsid w:val="00181873"/>
    <w:rsid w:val="00181E09"/>
    <w:rsid w:val="0018374E"/>
    <w:rsid w:val="00192E56"/>
    <w:rsid w:val="00192EAC"/>
    <w:rsid w:val="001955FF"/>
    <w:rsid w:val="00195FA7"/>
    <w:rsid w:val="0019697C"/>
    <w:rsid w:val="001971E0"/>
    <w:rsid w:val="00197B85"/>
    <w:rsid w:val="001A2081"/>
    <w:rsid w:val="001A470B"/>
    <w:rsid w:val="001A7BE1"/>
    <w:rsid w:val="001B1DB5"/>
    <w:rsid w:val="001B267A"/>
    <w:rsid w:val="001B2A6E"/>
    <w:rsid w:val="001C0DFA"/>
    <w:rsid w:val="001C0E84"/>
    <w:rsid w:val="001C3EB8"/>
    <w:rsid w:val="001C4952"/>
    <w:rsid w:val="001C56F8"/>
    <w:rsid w:val="001D522D"/>
    <w:rsid w:val="001D5CC1"/>
    <w:rsid w:val="001D5F94"/>
    <w:rsid w:val="001E0F28"/>
    <w:rsid w:val="001E362D"/>
    <w:rsid w:val="001E48C3"/>
    <w:rsid w:val="001E4C06"/>
    <w:rsid w:val="001E4D55"/>
    <w:rsid w:val="001E770A"/>
    <w:rsid w:val="001F02FD"/>
    <w:rsid w:val="001F1E3E"/>
    <w:rsid w:val="001F32AC"/>
    <w:rsid w:val="001F47A8"/>
    <w:rsid w:val="001F4BCE"/>
    <w:rsid w:val="001F62C5"/>
    <w:rsid w:val="001F7D13"/>
    <w:rsid w:val="0020029E"/>
    <w:rsid w:val="00202CBD"/>
    <w:rsid w:val="0020487B"/>
    <w:rsid w:val="00205F19"/>
    <w:rsid w:val="002071FE"/>
    <w:rsid w:val="00210B51"/>
    <w:rsid w:val="00213D62"/>
    <w:rsid w:val="00216EAA"/>
    <w:rsid w:val="002179DA"/>
    <w:rsid w:val="00222999"/>
    <w:rsid w:val="00225A02"/>
    <w:rsid w:val="00233130"/>
    <w:rsid w:val="00234CE3"/>
    <w:rsid w:val="00234F4F"/>
    <w:rsid w:val="00235DEA"/>
    <w:rsid w:val="00240DAE"/>
    <w:rsid w:val="00241A5A"/>
    <w:rsid w:val="00242083"/>
    <w:rsid w:val="002450D7"/>
    <w:rsid w:val="002479AD"/>
    <w:rsid w:val="00250065"/>
    <w:rsid w:val="00250535"/>
    <w:rsid w:val="0025120D"/>
    <w:rsid w:val="00251438"/>
    <w:rsid w:val="00252343"/>
    <w:rsid w:val="00252DC8"/>
    <w:rsid w:val="00254527"/>
    <w:rsid w:val="0026047E"/>
    <w:rsid w:val="00261E90"/>
    <w:rsid w:val="0026399B"/>
    <w:rsid w:val="0026435A"/>
    <w:rsid w:val="002659ED"/>
    <w:rsid w:val="00272DB8"/>
    <w:rsid w:val="00275141"/>
    <w:rsid w:val="00275964"/>
    <w:rsid w:val="00276BFD"/>
    <w:rsid w:val="00282AB8"/>
    <w:rsid w:val="00283A56"/>
    <w:rsid w:val="002847E8"/>
    <w:rsid w:val="002854A3"/>
    <w:rsid w:val="002862B5"/>
    <w:rsid w:val="00286423"/>
    <w:rsid w:val="00287957"/>
    <w:rsid w:val="00287F34"/>
    <w:rsid w:val="002917CC"/>
    <w:rsid w:val="00292F15"/>
    <w:rsid w:val="002941B6"/>
    <w:rsid w:val="002951B3"/>
    <w:rsid w:val="00296D8F"/>
    <w:rsid w:val="00297C20"/>
    <w:rsid w:val="002A1F63"/>
    <w:rsid w:val="002A2CCE"/>
    <w:rsid w:val="002A3473"/>
    <w:rsid w:val="002A3B93"/>
    <w:rsid w:val="002A3F54"/>
    <w:rsid w:val="002A51F4"/>
    <w:rsid w:val="002A5587"/>
    <w:rsid w:val="002A5DD4"/>
    <w:rsid w:val="002A607F"/>
    <w:rsid w:val="002B3FC0"/>
    <w:rsid w:val="002B58EA"/>
    <w:rsid w:val="002B5CA0"/>
    <w:rsid w:val="002C2842"/>
    <w:rsid w:val="002C4B8E"/>
    <w:rsid w:val="002D173F"/>
    <w:rsid w:val="002D2FC3"/>
    <w:rsid w:val="002D49F0"/>
    <w:rsid w:val="002D7708"/>
    <w:rsid w:val="002E1135"/>
    <w:rsid w:val="002E1634"/>
    <w:rsid w:val="002E1B1C"/>
    <w:rsid w:val="002E1D69"/>
    <w:rsid w:val="002E358C"/>
    <w:rsid w:val="002E76C6"/>
    <w:rsid w:val="002F0FBD"/>
    <w:rsid w:val="002F3E1F"/>
    <w:rsid w:val="002F4B45"/>
    <w:rsid w:val="002F6E05"/>
    <w:rsid w:val="002F746D"/>
    <w:rsid w:val="002F7E89"/>
    <w:rsid w:val="003014EA"/>
    <w:rsid w:val="00303404"/>
    <w:rsid w:val="003045D9"/>
    <w:rsid w:val="003070FD"/>
    <w:rsid w:val="003103BC"/>
    <w:rsid w:val="00317CC1"/>
    <w:rsid w:val="00322828"/>
    <w:rsid w:val="003302DD"/>
    <w:rsid w:val="003330BB"/>
    <w:rsid w:val="003334BE"/>
    <w:rsid w:val="0034322C"/>
    <w:rsid w:val="00343D47"/>
    <w:rsid w:val="003446D3"/>
    <w:rsid w:val="00344A64"/>
    <w:rsid w:val="00345FCF"/>
    <w:rsid w:val="003475C1"/>
    <w:rsid w:val="0035770C"/>
    <w:rsid w:val="00362C38"/>
    <w:rsid w:val="00366285"/>
    <w:rsid w:val="00367126"/>
    <w:rsid w:val="00367C2E"/>
    <w:rsid w:val="0037368F"/>
    <w:rsid w:val="003875F7"/>
    <w:rsid w:val="00392378"/>
    <w:rsid w:val="003925AA"/>
    <w:rsid w:val="00393164"/>
    <w:rsid w:val="003949A1"/>
    <w:rsid w:val="00394BDF"/>
    <w:rsid w:val="003A19CD"/>
    <w:rsid w:val="003A4008"/>
    <w:rsid w:val="003A51CF"/>
    <w:rsid w:val="003A6510"/>
    <w:rsid w:val="003A77FF"/>
    <w:rsid w:val="003B0034"/>
    <w:rsid w:val="003B6ACB"/>
    <w:rsid w:val="003C2F45"/>
    <w:rsid w:val="003C35B6"/>
    <w:rsid w:val="003C52C1"/>
    <w:rsid w:val="003C542E"/>
    <w:rsid w:val="003D5B9C"/>
    <w:rsid w:val="003D7AC1"/>
    <w:rsid w:val="003E0BA5"/>
    <w:rsid w:val="003E18CA"/>
    <w:rsid w:val="003E239F"/>
    <w:rsid w:val="003E2958"/>
    <w:rsid w:val="003E40FD"/>
    <w:rsid w:val="003E46A5"/>
    <w:rsid w:val="003E47F6"/>
    <w:rsid w:val="003E47FA"/>
    <w:rsid w:val="003F249D"/>
    <w:rsid w:val="003F31F6"/>
    <w:rsid w:val="003F4864"/>
    <w:rsid w:val="003F558D"/>
    <w:rsid w:val="003F58AD"/>
    <w:rsid w:val="003F5991"/>
    <w:rsid w:val="003F67EF"/>
    <w:rsid w:val="003F7E50"/>
    <w:rsid w:val="0040733D"/>
    <w:rsid w:val="00411E79"/>
    <w:rsid w:val="00414BE1"/>
    <w:rsid w:val="004151EB"/>
    <w:rsid w:val="00415DF6"/>
    <w:rsid w:val="00416090"/>
    <w:rsid w:val="00417794"/>
    <w:rsid w:val="0042248F"/>
    <w:rsid w:val="004258C4"/>
    <w:rsid w:val="00432A63"/>
    <w:rsid w:val="00433D4C"/>
    <w:rsid w:val="004346A2"/>
    <w:rsid w:val="004373E3"/>
    <w:rsid w:val="004408A3"/>
    <w:rsid w:val="004417C5"/>
    <w:rsid w:val="00444721"/>
    <w:rsid w:val="004449AA"/>
    <w:rsid w:val="00444ED1"/>
    <w:rsid w:val="00451A9C"/>
    <w:rsid w:val="00452E4C"/>
    <w:rsid w:val="0046203C"/>
    <w:rsid w:val="00471893"/>
    <w:rsid w:val="00480FF8"/>
    <w:rsid w:val="0048579E"/>
    <w:rsid w:val="004866BB"/>
    <w:rsid w:val="00494069"/>
    <w:rsid w:val="00496A82"/>
    <w:rsid w:val="004A0133"/>
    <w:rsid w:val="004A060A"/>
    <w:rsid w:val="004A0F2D"/>
    <w:rsid w:val="004A164E"/>
    <w:rsid w:val="004A1AEF"/>
    <w:rsid w:val="004A47D9"/>
    <w:rsid w:val="004A5C56"/>
    <w:rsid w:val="004A6D53"/>
    <w:rsid w:val="004A77E0"/>
    <w:rsid w:val="004B0C8E"/>
    <w:rsid w:val="004B3237"/>
    <w:rsid w:val="004C1EB6"/>
    <w:rsid w:val="004C55E1"/>
    <w:rsid w:val="004C7435"/>
    <w:rsid w:val="004D2559"/>
    <w:rsid w:val="004D42F9"/>
    <w:rsid w:val="004D4B80"/>
    <w:rsid w:val="004D5AEE"/>
    <w:rsid w:val="004D7393"/>
    <w:rsid w:val="004D7DCC"/>
    <w:rsid w:val="004E0121"/>
    <w:rsid w:val="004E0264"/>
    <w:rsid w:val="004E115A"/>
    <w:rsid w:val="004E206F"/>
    <w:rsid w:val="004E40C8"/>
    <w:rsid w:val="004E5AC0"/>
    <w:rsid w:val="004E7E2A"/>
    <w:rsid w:val="004F06BA"/>
    <w:rsid w:val="004F1C49"/>
    <w:rsid w:val="004F1DF0"/>
    <w:rsid w:val="004F216C"/>
    <w:rsid w:val="004F3B69"/>
    <w:rsid w:val="004F45AF"/>
    <w:rsid w:val="004F4DAA"/>
    <w:rsid w:val="004F6810"/>
    <w:rsid w:val="004F70B0"/>
    <w:rsid w:val="005010E8"/>
    <w:rsid w:val="005024CE"/>
    <w:rsid w:val="00504AA7"/>
    <w:rsid w:val="00506460"/>
    <w:rsid w:val="005066CB"/>
    <w:rsid w:val="00507524"/>
    <w:rsid w:val="00510072"/>
    <w:rsid w:val="00512485"/>
    <w:rsid w:val="00512953"/>
    <w:rsid w:val="005129EE"/>
    <w:rsid w:val="0051383D"/>
    <w:rsid w:val="00513882"/>
    <w:rsid w:val="005205B2"/>
    <w:rsid w:val="00521C17"/>
    <w:rsid w:val="00523701"/>
    <w:rsid w:val="00523CC4"/>
    <w:rsid w:val="005257DB"/>
    <w:rsid w:val="00527184"/>
    <w:rsid w:val="00531977"/>
    <w:rsid w:val="00532611"/>
    <w:rsid w:val="00532E37"/>
    <w:rsid w:val="00533627"/>
    <w:rsid w:val="0053419B"/>
    <w:rsid w:val="0054055B"/>
    <w:rsid w:val="00555D81"/>
    <w:rsid w:val="00560012"/>
    <w:rsid w:val="00562492"/>
    <w:rsid w:val="0056749E"/>
    <w:rsid w:val="0057178E"/>
    <w:rsid w:val="00572D2E"/>
    <w:rsid w:val="005737EE"/>
    <w:rsid w:val="00574483"/>
    <w:rsid w:val="005762B3"/>
    <w:rsid w:val="00576744"/>
    <w:rsid w:val="005815D1"/>
    <w:rsid w:val="00584E88"/>
    <w:rsid w:val="00593FC8"/>
    <w:rsid w:val="00594E48"/>
    <w:rsid w:val="005960F7"/>
    <w:rsid w:val="005A367D"/>
    <w:rsid w:val="005A455C"/>
    <w:rsid w:val="005B07AD"/>
    <w:rsid w:val="005B1117"/>
    <w:rsid w:val="005B1D19"/>
    <w:rsid w:val="005B3610"/>
    <w:rsid w:val="005B63AF"/>
    <w:rsid w:val="005B763B"/>
    <w:rsid w:val="005C07A9"/>
    <w:rsid w:val="005C0AF0"/>
    <w:rsid w:val="005C6073"/>
    <w:rsid w:val="005C6320"/>
    <w:rsid w:val="005D4493"/>
    <w:rsid w:val="005D49C9"/>
    <w:rsid w:val="005D788F"/>
    <w:rsid w:val="005E01A0"/>
    <w:rsid w:val="005E4684"/>
    <w:rsid w:val="005E4D6F"/>
    <w:rsid w:val="005F0ECA"/>
    <w:rsid w:val="005F1656"/>
    <w:rsid w:val="005F56BF"/>
    <w:rsid w:val="00603DB7"/>
    <w:rsid w:val="006058FF"/>
    <w:rsid w:val="00610935"/>
    <w:rsid w:val="0061208D"/>
    <w:rsid w:val="00612BE5"/>
    <w:rsid w:val="006130F1"/>
    <w:rsid w:val="0061444F"/>
    <w:rsid w:val="006151C3"/>
    <w:rsid w:val="0061653C"/>
    <w:rsid w:val="0062190A"/>
    <w:rsid w:val="00621C07"/>
    <w:rsid w:val="006220DB"/>
    <w:rsid w:val="00622444"/>
    <w:rsid w:val="0062275D"/>
    <w:rsid w:val="006263EB"/>
    <w:rsid w:val="006264DA"/>
    <w:rsid w:val="00627EE0"/>
    <w:rsid w:val="0063480C"/>
    <w:rsid w:val="00636533"/>
    <w:rsid w:val="0063698D"/>
    <w:rsid w:val="006379B3"/>
    <w:rsid w:val="006401BD"/>
    <w:rsid w:val="0064050F"/>
    <w:rsid w:val="0064259C"/>
    <w:rsid w:val="00643483"/>
    <w:rsid w:val="006436A2"/>
    <w:rsid w:val="00644855"/>
    <w:rsid w:val="00647667"/>
    <w:rsid w:val="00647865"/>
    <w:rsid w:val="00650B13"/>
    <w:rsid w:val="006537D4"/>
    <w:rsid w:val="00657CD2"/>
    <w:rsid w:val="00661ED7"/>
    <w:rsid w:val="00662D34"/>
    <w:rsid w:val="006634CC"/>
    <w:rsid w:val="00664724"/>
    <w:rsid w:val="00666AA6"/>
    <w:rsid w:val="0066770D"/>
    <w:rsid w:val="006678EF"/>
    <w:rsid w:val="00671D41"/>
    <w:rsid w:val="006771AD"/>
    <w:rsid w:val="00680BFC"/>
    <w:rsid w:val="00680FB3"/>
    <w:rsid w:val="00686A82"/>
    <w:rsid w:val="006900C7"/>
    <w:rsid w:val="00692880"/>
    <w:rsid w:val="00697A5D"/>
    <w:rsid w:val="006A22F3"/>
    <w:rsid w:val="006A39B2"/>
    <w:rsid w:val="006A564D"/>
    <w:rsid w:val="006B194E"/>
    <w:rsid w:val="006C60F7"/>
    <w:rsid w:val="006C6959"/>
    <w:rsid w:val="006C6974"/>
    <w:rsid w:val="006C7A76"/>
    <w:rsid w:val="006C7B72"/>
    <w:rsid w:val="006D0BF5"/>
    <w:rsid w:val="006D5FC3"/>
    <w:rsid w:val="006D7A05"/>
    <w:rsid w:val="006E0567"/>
    <w:rsid w:val="006E21C2"/>
    <w:rsid w:val="006E4CF4"/>
    <w:rsid w:val="006E61BE"/>
    <w:rsid w:val="006E6BD2"/>
    <w:rsid w:val="006E7490"/>
    <w:rsid w:val="006F0E7E"/>
    <w:rsid w:val="006F2F51"/>
    <w:rsid w:val="006F38B3"/>
    <w:rsid w:val="006F3C90"/>
    <w:rsid w:val="006F5CE6"/>
    <w:rsid w:val="006F60F1"/>
    <w:rsid w:val="00702E91"/>
    <w:rsid w:val="00703106"/>
    <w:rsid w:val="00705F68"/>
    <w:rsid w:val="00712918"/>
    <w:rsid w:val="007231F3"/>
    <w:rsid w:val="00723696"/>
    <w:rsid w:val="0072516F"/>
    <w:rsid w:val="00726BD2"/>
    <w:rsid w:val="007276CA"/>
    <w:rsid w:val="00731B79"/>
    <w:rsid w:val="0073331A"/>
    <w:rsid w:val="00733633"/>
    <w:rsid w:val="0073482F"/>
    <w:rsid w:val="00734A4B"/>
    <w:rsid w:val="00735DE7"/>
    <w:rsid w:val="0073693D"/>
    <w:rsid w:val="007408A2"/>
    <w:rsid w:val="00741461"/>
    <w:rsid w:val="00745565"/>
    <w:rsid w:val="0074627F"/>
    <w:rsid w:val="0075042F"/>
    <w:rsid w:val="007518E1"/>
    <w:rsid w:val="007524C8"/>
    <w:rsid w:val="007524DC"/>
    <w:rsid w:val="0075405C"/>
    <w:rsid w:val="007543DF"/>
    <w:rsid w:val="00754E70"/>
    <w:rsid w:val="00756B0A"/>
    <w:rsid w:val="0075726D"/>
    <w:rsid w:val="007575BC"/>
    <w:rsid w:val="007608F6"/>
    <w:rsid w:val="007625C2"/>
    <w:rsid w:val="007632F1"/>
    <w:rsid w:val="00765C17"/>
    <w:rsid w:val="007709C3"/>
    <w:rsid w:val="007711E8"/>
    <w:rsid w:val="007722F7"/>
    <w:rsid w:val="00774536"/>
    <w:rsid w:val="007750BA"/>
    <w:rsid w:val="00775448"/>
    <w:rsid w:val="00776903"/>
    <w:rsid w:val="0078187A"/>
    <w:rsid w:val="00786297"/>
    <w:rsid w:val="007873D8"/>
    <w:rsid w:val="0079187C"/>
    <w:rsid w:val="00795F1D"/>
    <w:rsid w:val="007A3282"/>
    <w:rsid w:val="007B19C2"/>
    <w:rsid w:val="007B3195"/>
    <w:rsid w:val="007B4820"/>
    <w:rsid w:val="007B6B07"/>
    <w:rsid w:val="007C3DC3"/>
    <w:rsid w:val="007C4848"/>
    <w:rsid w:val="007C5845"/>
    <w:rsid w:val="007C58E0"/>
    <w:rsid w:val="007C66D1"/>
    <w:rsid w:val="007D3033"/>
    <w:rsid w:val="007D69A8"/>
    <w:rsid w:val="007D6DF8"/>
    <w:rsid w:val="007E04FC"/>
    <w:rsid w:val="007E25FE"/>
    <w:rsid w:val="007E3036"/>
    <w:rsid w:val="007E48D1"/>
    <w:rsid w:val="007E546A"/>
    <w:rsid w:val="007E585F"/>
    <w:rsid w:val="007E65BD"/>
    <w:rsid w:val="007E725A"/>
    <w:rsid w:val="007E7E6D"/>
    <w:rsid w:val="007F300A"/>
    <w:rsid w:val="007F5AA0"/>
    <w:rsid w:val="008008B0"/>
    <w:rsid w:val="00801268"/>
    <w:rsid w:val="00801366"/>
    <w:rsid w:val="008022D8"/>
    <w:rsid w:val="008050F8"/>
    <w:rsid w:val="008120B2"/>
    <w:rsid w:val="008152D7"/>
    <w:rsid w:val="008157EF"/>
    <w:rsid w:val="00815BCC"/>
    <w:rsid w:val="0081717E"/>
    <w:rsid w:val="008204D1"/>
    <w:rsid w:val="00820BEB"/>
    <w:rsid w:val="00822513"/>
    <w:rsid w:val="00823A9D"/>
    <w:rsid w:val="00825120"/>
    <w:rsid w:val="0083015C"/>
    <w:rsid w:val="008304A8"/>
    <w:rsid w:val="0083600E"/>
    <w:rsid w:val="0083640D"/>
    <w:rsid w:val="0084103C"/>
    <w:rsid w:val="0084113B"/>
    <w:rsid w:val="00842440"/>
    <w:rsid w:val="0084270C"/>
    <w:rsid w:val="00842D42"/>
    <w:rsid w:val="00845A81"/>
    <w:rsid w:val="00850454"/>
    <w:rsid w:val="00850A42"/>
    <w:rsid w:val="008511B4"/>
    <w:rsid w:val="00851230"/>
    <w:rsid w:val="00852092"/>
    <w:rsid w:val="0085211E"/>
    <w:rsid w:val="008523FB"/>
    <w:rsid w:val="00862B3C"/>
    <w:rsid w:val="00862CED"/>
    <w:rsid w:val="008651A4"/>
    <w:rsid w:val="00865548"/>
    <w:rsid w:val="008706F5"/>
    <w:rsid w:val="008713A1"/>
    <w:rsid w:val="0087177E"/>
    <w:rsid w:val="00871A90"/>
    <w:rsid w:val="00874856"/>
    <w:rsid w:val="008752A4"/>
    <w:rsid w:val="00875B94"/>
    <w:rsid w:val="008776DD"/>
    <w:rsid w:val="00877E84"/>
    <w:rsid w:val="008804B9"/>
    <w:rsid w:val="00883C27"/>
    <w:rsid w:val="00885AD8"/>
    <w:rsid w:val="00885B8B"/>
    <w:rsid w:val="008875DC"/>
    <w:rsid w:val="00893641"/>
    <w:rsid w:val="008941F6"/>
    <w:rsid w:val="008B0B32"/>
    <w:rsid w:val="008B0C48"/>
    <w:rsid w:val="008B38BC"/>
    <w:rsid w:val="008B39A1"/>
    <w:rsid w:val="008B5A21"/>
    <w:rsid w:val="008B6458"/>
    <w:rsid w:val="008C2E58"/>
    <w:rsid w:val="008C5D2A"/>
    <w:rsid w:val="008C6B43"/>
    <w:rsid w:val="008C6E15"/>
    <w:rsid w:val="008D2279"/>
    <w:rsid w:val="008D59FE"/>
    <w:rsid w:val="008E111A"/>
    <w:rsid w:val="008E11FC"/>
    <w:rsid w:val="008E344A"/>
    <w:rsid w:val="008E5386"/>
    <w:rsid w:val="008E5827"/>
    <w:rsid w:val="008E5EAD"/>
    <w:rsid w:val="008F1AFE"/>
    <w:rsid w:val="008F335E"/>
    <w:rsid w:val="008F380A"/>
    <w:rsid w:val="008F3B85"/>
    <w:rsid w:val="008F7AEC"/>
    <w:rsid w:val="00907D21"/>
    <w:rsid w:val="0091021F"/>
    <w:rsid w:val="009126A2"/>
    <w:rsid w:val="009137B4"/>
    <w:rsid w:val="00914B3C"/>
    <w:rsid w:val="00920EC9"/>
    <w:rsid w:val="00920F5F"/>
    <w:rsid w:val="00921AD7"/>
    <w:rsid w:val="009225A7"/>
    <w:rsid w:val="009312C1"/>
    <w:rsid w:val="00932D14"/>
    <w:rsid w:val="00934BA9"/>
    <w:rsid w:val="00936541"/>
    <w:rsid w:val="00940EAF"/>
    <w:rsid w:val="00944C61"/>
    <w:rsid w:val="00945567"/>
    <w:rsid w:val="00945D5B"/>
    <w:rsid w:val="009468EF"/>
    <w:rsid w:val="00947011"/>
    <w:rsid w:val="00950855"/>
    <w:rsid w:val="0095194C"/>
    <w:rsid w:val="0095399D"/>
    <w:rsid w:val="0095438A"/>
    <w:rsid w:val="009543F4"/>
    <w:rsid w:val="00955A87"/>
    <w:rsid w:val="00955DB3"/>
    <w:rsid w:val="00961576"/>
    <w:rsid w:val="0096460D"/>
    <w:rsid w:val="00965004"/>
    <w:rsid w:val="0096676D"/>
    <w:rsid w:val="00971AB1"/>
    <w:rsid w:val="009727BE"/>
    <w:rsid w:val="0097308B"/>
    <w:rsid w:val="00974D87"/>
    <w:rsid w:val="0097576D"/>
    <w:rsid w:val="009814D5"/>
    <w:rsid w:val="00982C75"/>
    <w:rsid w:val="0098313D"/>
    <w:rsid w:val="00983D4E"/>
    <w:rsid w:val="009844C8"/>
    <w:rsid w:val="009858E0"/>
    <w:rsid w:val="00995C02"/>
    <w:rsid w:val="0099714B"/>
    <w:rsid w:val="0099744E"/>
    <w:rsid w:val="009A24DD"/>
    <w:rsid w:val="009A7D7D"/>
    <w:rsid w:val="009B04F5"/>
    <w:rsid w:val="009B3A4B"/>
    <w:rsid w:val="009C005D"/>
    <w:rsid w:val="009C1A98"/>
    <w:rsid w:val="009C5EEE"/>
    <w:rsid w:val="009C6950"/>
    <w:rsid w:val="009C70AB"/>
    <w:rsid w:val="009C7D7D"/>
    <w:rsid w:val="009C7DCE"/>
    <w:rsid w:val="009D115D"/>
    <w:rsid w:val="009D3703"/>
    <w:rsid w:val="009D3DCD"/>
    <w:rsid w:val="009D411F"/>
    <w:rsid w:val="009D4C7D"/>
    <w:rsid w:val="009D60FA"/>
    <w:rsid w:val="009D6412"/>
    <w:rsid w:val="009E1D9F"/>
    <w:rsid w:val="009E3BA9"/>
    <w:rsid w:val="009E4134"/>
    <w:rsid w:val="009E5924"/>
    <w:rsid w:val="009E643C"/>
    <w:rsid w:val="009F3705"/>
    <w:rsid w:val="009F4CAA"/>
    <w:rsid w:val="00A01B82"/>
    <w:rsid w:val="00A04E88"/>
    <w:rsid w:val="00A0520C"/>
    <w:rsid w:val="00A066E4"/>
    <w:rsid w:val="00A06A58"/>
    <w:rsid w:val="00A10F0E"/>
    <w:rsid w:val="00A1307B"/>
    <w:rsid w:val="00A14F09"/>
    <w:rsid w:val="00A158B2"/>
    <w:rsid w:val="00A161B1"/>
    <w:rsid w:val="00A1732A"/>
    <w:rsid w:val="00A17AE2"/>
    <w:rsid w:val="00A209BE"/>
    <w:rsid w:val="00A20CFE"/>
    <w:rsid w:val="00A22752"/>
    <w:rsid w:val="00A2357D"/>
    <w:rsid w:val="00A260E3"/>
    <w:rsid w:val="00A266C2"/>
    <w:rsid w:val="00A311EB"/>
    <w:rsid w:val="00A3165D"/>
    <w:rsid w:val="00A323DE"/>
    <w:rsid w:val="00A34BA2"/>
    <w:rsid w:val="00A34F4F"/>
    <w:rsid w:val="00A36101"/>
    <w:rsid w:val="00A36B70"/>
    <w:rsid w:val="00A37491"/>
    <w:rsid w:val="00A40FB6"/>
    <w:rsid w:val="00A41AC7"/>
    <w:rsid w:val="00A423E5"/>
    <w:rsid w:val="00A458F7"/>
    <w:rsid w:val="00A45D82"/>
    <w:rsid w:val="00A47FE5"/>
    <w:rsid w:val="00A513FC"/>
    <w:rsid w:val="00A51965"/>
    <w:rsid w:val="00A51B29"/>
    <w:rsid w:val="00A51B58"/>
    <w:rsid w:val="00A52EB0"/>
    <w:rsid w:val="00A53E8C"/>
    <w:rsid w:val="00A56350"/>
    <w:rsid w:val="00A579DA"/>
    <w:rsid w:val="00A616D2"/>
    <w:rsid w:val="00A6216B"/>
    <w:rsid w:val="00A638F8"/>
    <w:rsid w:val="00A6398A"/>
    <w:rsid w:val="00A70DA2"/>
    <w:rsid w:val="00A75F29"/>
    <w:rsid w:val="00A8249E"/>
    <w:rsid w:val="00A855B6"/>
    <w:rsid w:val="00A858E8"/>
    <w:rsid w:val="00A8737E"/>
    <w:rsid w:val="00A90602"/>
    <w:rsid w:val="00A91C31"/>
    <w:rsid w:val="00A934CD"/>
    <w:rsid w:val="00A9557B"/>
    <w:rsid w:val="00A95FB0"/>
    <w:rsid w:val="00AA1ED7"/>
    <w:rsid w:val="00AA3CFB"/>
    <w:rsid w:val="00AB40ED"/>
    <w:rsid w:val="00AB5C61"/>
    <w:rsid w:val="00AC3FB4"/>
    <w:rsid w:val="00AC6BDD"/>
    <w:rsid w:val="00AD033A"/>
    <w:rsid w:val="00AD1DB6"/>
    <w:rsid w:val="00AD3D62"/>
    <w:rsid w:val="00AD4C40"/>
    <w:rsid w:val="00AE7144"/>
    <w:rsid w:val="00AE7196"/>
    <w:rsid w:val="00AE7555"/>
    <w:rsid w:val="00AF1053"/>
    <w:rsid w:val="00AF34C7"/>
    <w:rsid w:val="00AF372B"/>
    <w:rsid w:val="00AF7278"/>
    <w:rsid w:val="00AF7776"/>
    <w:rsid w:val="00AF7B90"/>
    <w:rsid w:val="00B01836"/>
    <w:rsid w:val="00B048F0"/>
    <w:rsid w:val="00B04D22"/>
    <w:rsid w:val="00B0685C"/>
    <w:rsid w:val="00B13189"/>
    <w:rsid w:val="00B2228C"/>
    <w:rsid w:val="00B226A8"/>
    <w:rsid w:val="00B230E9"/>
    <w:rsid w:val="00B23A58"/>
    <w:rsid w:val="00B2412F"/>
    <w:rsid w:val="00B268FD"/>
    <w:rsid w:val="00B30E2D"/>
    <w:rsid w:val="00B32503"/>
    <w:rsid w:val="00B32D4C"/>
    <w:rsid w:val="00B35B69"/>
    <w:rsid w:val="00B36047"/>
    <w:rsid w:val="00B37E22"/>
    <w:rsid w:val="00B426B0"/>
    <w:rsid w:val="00B450DE"/>
    <w:rsid w:val="00B46F81"/>
    <w:rsid w:val="00B51452"/>
    <w:rsid w:val="00B56D0A"/>
    <w:rsid w:val="00B57AD9"/>
    <w:rsid w:val="00B603A9"/>
    <w:rsid w:val="00B61207"/>
    <w:rsid w:val="00B6282B"/>
    <w:rsid w:val="00B646D7"/>
    <w:rsid w:val="00B71E54"/>
    <w:rsid w:val="00B73B15"/>
    <w:rsid w:val="00B7653C"/>
    <w:rsid w:val="00B771DE"/>
    <w:rsid w:val="00B809F2"/>
    <w:rsid w:val="00B80F77"/>
    <w:rsid w:val="00B81EBD"/>
    <w:rsid w:val="00B902F3"/>
    <w:rsid w:val="00B90AAC"/>
    <w:rsid w:val="00B91528"/>
    <w:rsid w:val="00B91858"/>
    <w:rsid w:val="00B92359"/>
    <w:rsid w:val="00B935E6"/>
    <w:rsid w:val="00B95E04"/>
    <w:rsid w:val="00BA08DB"/>
    <w:rsid w:val="00BA1F4F"/>
    <w:rsid w:val="00BA22B5"/>
    <w:rsid w:val="00BA3CC0"/>
    <w:rsid w:val="00BB0EF0"/>
    <w:rsid w:val="00BB4EA4"/>
    <w:rsid w:val="00BB6D8F"/>
    <w:rsid w:val="00BB7304"/>
    <w:rsid w:val="00BB7FF8"/>
    <w:rsid w:val="00BC0EEA"/>
    <w:rsid w:val="00BC13C1"/>
    <w:rsid w:val="00BC466E"/>
    <w:rsid w:val="00BC48EB"/>
    <w:rsid w:val="00BC52FC"/>
    <w:rsid w:val="00BC5984"/>
    <w:rsid w:val="00BC5BA3"/>
    <w:rsid w:val="00BC7F5A"/>
    <w:rsid w:val="00BD201F"/>
    <w:rsid w:val="00BD6E48"/>
    <w:rsid w:val="00BD7369"/>
    <w:rsid w:val="00BD7486"/>
    <w:rsid w:val="00BE2736"/>
    <w:rsid w:val="00BE310A"/>
    <w:rsid w:val="00BE3CC7"/>
    <w:rsid w:val="00BE61BB"/>
    <w:rsid w:val="00BE6CA4"/>
    <w:rsid w:val="00BE73D0"/>
    <w:rsid w:val="00BF37C8"/>
    <w:rsid w:val="00BF4C0E"/>
    <w:rsid w:val="00BF556B"/>
    <w:rsid w:val="00BF671D"/>
    <w:rsid w:val="00BF7870"/>
    <w:rsid w:val="00C00A97"/>
    <w:rsid w:val="00C0469B"/>
    <w:rsid w:val="00C102D5"/>
    <w:rsid w:val="00C12E5C"/>
    <w:rsid w:val="00C12FEA"/>
    <w:rsid w:val="00C2066F"/>
    <w:rsid w:val="00C229FB"/>
    <w:rsid w:val="00C25442"/>
    <w:rsid w:val="00C27585"/>
    <w:rsid w:val="00C31C2B"/>
    <w:rsid w:val="00C35C4B"/>
    <w:rsid w:val="00C41648"/>
    <w:rsid w:val="00C41EBB"/>
    <w:rsid w:val="00C41F3F"/>
    <w:rsid w:val="00C441AA"/>
    <w:rsid w:val="00C4664E"/>
    <w:rsid w:val="00C50082"/>
    <w:rsid w:val="00C50E40"/>
    <w:rsid w:val="00C518FA"/>
    <w:rsid w:val="00C552C4"/>
    <w:rsid w:val="00C56A98"/>
    <w:rsid w:val="00C56E59"/>
    <w:rsid w:val="00C57D0C"/>
    <w:rsid w:val="00C62E7D"/>
    <w:rsid w:val="00C6395B"/>
    <w:rsid w:val="00C63974"/>
    <w:rsid w:val="00C7015B"/>
    <w:rsid w:val="00C70E68"/>
    <w:rsid w:val="00C71DCE"/>
    <w:rsid w:val="00C71E7D"/>
    <w:rsid w:val="00C72A15"/>
    <w:rsid w:val="00C72AD9"/>
    <w:rsid w:val="00C73BE3"/>
    <w:rsid w:val="00C7492C"/>
    <w:rsid w:val="00C809A3"/>
    <w:rsid w:val="00C82947"/>
    <w:rsid w:val="00C84FEC"/>
    <w:rsid w:val="00C86BCE"/>
    <w:rsid w:val="00C904BD"/>
    <w:rsid w:val="00C9293A"/>
    <w:rsid w:val="00C95F24"/>
    <w:rsid w:val="00C96D32"/>
    <w:rsid w:val="00CA0B5F"/>
    <w:rsid w:val="00CA1774"/>
    <w:rsid w:val="00CA307B"/>
    <w:rsid w:val="00CA31DD"/>
    <w:rsid w:val="00CA4E00"/>
    <w:rsid w:val="00CA7580"/>
    <w:rsid w:val="00CB3C41"/>
    <w:rsid w:val="00CB5BDE"/>
    <w:rsid w:val="00CB6B87"/>
    <w:rsid w:val="00CB777D"/>
    <w:rsid w:val="00CC002E"/>
    <w:rsid w:val="00CC058C"/>
    <w:rsid w:val="00CC0BE2"/>
    <w:rsid w:val="00CC0BFF"/>
    <w:rsid w:val="00CC0FC6"/>
    <w:rsid w:val="00CC18EF"/>
    <w:rsid w:val="00CC4620"/>
    <w:rsid w:val="00CC5801"/>
    <w:rsid w:val="00CC6B7B"/>
    <w:rsid w:val="00CC6DA0"/>
    <w:rsid w:val="00CD2FC6"/>
    <w:rsid w:val="00CD351F"/>
    <w:rsid w:val="00CD3620"/>
    <w:rsid w:val="00CD4C88"/>
    <w:rsid w:val="00CE24F9"/>
    <w:rsid w:val="00CE2AC4"/>
    <w:rsid w:val="00CE2B29"/>
    <w:rsid w:val="00CE73CD"/>
    <w:rsid w:val="00CF0D52"/>
    <w:rsid w:val="00CF118F"/>
    <w:rsid w:val="00CF1C22"/>
    <w:rsid w:val="00CF1D2E"/>
    <w:rsid w:val="00CF3563"/>
    <w:rsid w:val="00CF414A"/>
    <w:rsid w:val="00CF4560"/>
    <w:rsid w:val="00D01937"/>
    <w:rsid w:val="00D03CB5"/>
    <w:rsid w:val="00D0456F"/>
    <w:rsid w:val="00D049D7"/>
    <w:rsid w:val="00D06438"/>
    <w:rsid w:val="00D11338"/>
    <w:rsid w:val="00D1180C"/>
    <w:rsid w:val="00D14855"/>
    <w:rsid w:val="00D15073"/>
    <w:rsid w:val="00D16AEB"/>
    <w:rsid w:val="00D17B97"/>
    <w:rsid w:val="00D2166C"/>
    <w:rsid w:val="00D232AD"/>
    <w:rsid w:val="00D2629C"/>
    <w:rsid w:val="00D27CE6"/>
    <w:rsid w:val="00D30034"/>
    <w:rsid w:val="00D33C99"/>
    <w:rsid w:val="00D34391"/>
    <w:rsid w:val="00D34469"/>
    <w:rsid w:val="00D366F8"/>
    <w:rsid w:val="00D36A17"/>
    <w:rsid w:val="00D4168F"/>
    <w:rsid w:val="00D42F1E"/>
    <w:rsid w:val="00D43422"/>
    <w:rsid w:val="00D45433"/>
    <w:rsid w:val="00D46200"/>
    <w:rsid w:val="00D50037"/>
    <w:rsid w:val="00D514F9"/>
    <w:rsid w:val="00D51F36"/>
    <w:rsid w:val="00D53D03"/>
    <w:rsid w:val="00D622D3"/>
    <w:rsid w:val="00D62E7F"/>
    <w:rsid w:val="00D67BD9"/>
    <w:rsid w:val="00D73DEB"/>
    <w:rsid w:val="00D77761"/>
    <w:rsid w:val="00D832B4"/>
    <w:rsid w:val="00D83B87"/>
    <w:rsid w:val="00D84144"/>
    <w:rsid w:val="00D90BE5"/>
    <w:rsid w:val="00D912A5"/>
    <w:rsid w:val="00D93C15"/>
    <w:rsid w:val="00D9708C"/>
    <w:rsid w:val="00DA4053"/>
    <w:rsid w:val="00DB0B22"/>
    <w:rsid w:val="00DB2273"/>
    <w:rsid w:val="00DB2470"/>
    <w:rsid w:val="00DB2C5B"/>
    <w:rsid w:val="00DB2E63"/>
    <w:rsid w:val="00DB465E"/>
    <w:rsid w:val="00DB5737"/>
    <w:rsid w:val="00DB71A6"/>
    <w:rsid w:val="00DC2B48"/>
    <w:rsid w:val="00DC2D18"/>
    <w:rsid w:val="00DC3691"/>
    <w:rsid w:val="00DC3CAF"/>
    <w:rsid w:val="00DD0694"/>
    <w:rsid w:val="00DD16F2"/>
    <w:rsid w:val="00DD3B4E"/>
    <w:rsid w:val="00DD5204"/>
    <w:rsid w:val="00DE3142"/>
    <w:rsid w:val="00DE33A6"/>
    <w:rsid w:val="00DE5324"/>
    <w:rsid w:val="00DF03B0"/>
    <w:rsid w:val="00DF08C0"/>
    <w:rsid w:val="00DF0CED"/>
    <w:rsid w:val="00DF219C"/>
    <w:rsid w:val="00DF37B8"/>
    <w:rsid w:val="00E01891"/>
    <w:rsid w:val="00E02D6A"/>
    <w:rsid w:val="00E03894"/>
    <w:rsid w:val="00E10A1C"/>
    <w:rsid w:val="00E114E2"/>
    <w:rsid w:val="00E119BC"/>
    <w:rsid w:val="00E15746"/>
    <w:rsid w:val="00E206F2"/>
    <w:rsid w:val="00E246F2"/>
    <w:rsid w:val="00E2562E"/>
    <w:rsid w:val="00E25B46"/>
    <w:rsid w:val="00E25C17"/>
    <w:rsid w:val="00E37AC8"/>
    <w:rsid w:val="00E40A5C"/>
    <w:rsid w:val="00E413D2"/>
    <w:rsid w:val="00E4143E"/>
    <w:rsid w:val="00E41C69"/>
    <w:rsid w:val="00E43CCC"/>
    <w:rsid w:val="00E45F6E"/>
    <w:rsid w:val="00E50708"/>
    <w:rsid w:val="00E55610"/>
    <w:rsid w:val="00E55A4D"/>
    <w:rsid w:val="00E55FD1"/>
    <w:rsid w:val="00E56EF3"/>
    <w:rsid w:val="00E57127"/>
    <w:rsid w:val="00E64D13"/>
    <w:rsid w:val="00E66BFB"/>
    <w:rsid w:val="00E66C22"/>
    <w:rsid w:val="00E70948"/>
    <w:rsid w:val="00E70BFA"/>
    <w:rsid w:val="00E736A1"/>
    <w:rsid w:val="00E73E44"/>
    <w:rsid w:val="00E7482E"/>
    <w:rsid w:val="00E75FD7"/>
    <w:rsid w:val="00E77DC5"/>
    <w:rsid w:val="00E80BFB"/>
    <w:rsid w:val="00E835B4"/>
    <w:rsid w:val="00E9016A"/>
    <w:rsid w:val="00E92138"/>
    <w:rsid w:val="00E97F77"/>
    <w:rsid w:val="00EA161F"/>
    <w:rsid w:val="00EA2114"/>
    <w:rsid w:val="00EA21FF"/>
    <w:rsid w:val="00EA2790"/>
    <w:rsid w:val="00EA4BAC"/>
    <w:rsid w:val="00EA5FAB"/>
    <w:rsid w:val="00EA6AE7"/>
    <w:rsid w:val="00EA7533"/>
    <w:rsid w:val="00EB2F75"/>
    <w:rsid w:val="00EB398F"/>
    <w:rsid w:val="00EB73DF"/>
    <w:rsid w:val="00EC0D61"/>
    <w:rsid w:val="00EC341D"/>
    <w:rsid w:val="00EC5ACB"/>
    <w:rsid w:val="00EC68CD"/>
    <w:rsid w:val="00EC79AF"/>
    <w:rsid w:val="00EC7DD4"/>
    <w:rsid w:val="00ED0541"/>
    <w:rsid w:val="00ED08D5"/>
    <w:rsid w:val="00ED69E5"/>
    <w:rsid w:val="00EE0683"/>
    <w:rsid w:val="00EE2408"/>
    <w:rsid w:val="00EE251D"/>
    <w:rsid w:val="00EE3F09"/>
    <w:rsid w:val="00EE5132"/>
    <w:rsid w:val="00EE54CF"/>
    <w:rsid w:val="00EE63D6"/>
    <w:rsid w:val="00EF0C15"/>
    <w:rsid w:val="00EF6831"/>
    <w:rsid w:val="00EF6BA9"/>
    <w:rsid w:val="00F002D4"/>
    <w:rsid w:val="00F05CAC"/>
    <w:rsid w:val="00F11FF6"/>
    <w:rsid w:val="00F125F1"/>
    <w:rsid w:val="00F17280"/>
    <w:rsid w:val="00F174A0"/>
    <w:rsid w:val="00F2054C"/>
    <w:rsid w:val="00F226F1"/>
    <w:rsid w:val="00F241E6"/>
    <w:rsid w:val="00F27F54"/>
    <w:rsid w:val="00F30ACF"/>
    <w:rsid w:val="00F31001"/>
    <w:rsid w:val="00F31F01"/>
    <w:rsid w:val="00F325DE"/>
    <w:rsid w:val="00F3268D"/>
    <w:rsid w:val="00F33355"/>
    <w:rsid w:val="00F3401F"/>
    <w:rsid w:val="00F40BE5"/>
    <w:rsid w:val="00F436A2"/>
    <w:rsid w:val="00F47158"/>
    <w:rsid w:val="00F51858"/>
    <w:rsid w:val="00F52AA4"/>
    <w:rsid w:val="00F551F7"/>
    <w:rsid w:val="00F5585A"/>
    <w:rsid w:val="00F56B69"/>
    <w:rsid w:val="00F56D36"/>
    <w:rsid w:val="00F644E9"/>
    <w:rsid w:val="00F7180A"/>
    <w:rsid w:val="00F74E5E"/>
    <w:rsid w:val="00F751E3"/>
    <w:rsid w:val="00F827F3"/>
    <w:rsid w:val="00F83903"/>
    <w:rsid w:val="00F8459F"/>
    <w:rsid w:val="00F849B4"/>
    <w:rsid w:val="00F85B43"/>
    <w:rsid w:val="00F85ED6"/>
    <w:rsid w:val="00F87498"/>
    <w:rsid w:val="00F93E11"/>
    <w:rsid w:val="00F9464F"/>
    <w:rsid w:val="00F96EC6"/>
    <w:rsid w:val="00F9753A"/>
    <w:rsid w:val="00FA53D8"/>
    <w:rsid w:val="00FB31F5"/>
    <w:rsid w:val="00FB4437"/>
    <w:rsid w:val="00FB5E6A"/>
    <w:rsid w:val="00FC651A"/>
    <w:rsid w:val="00FD06A4"/>
    <w:rsid w:val="00FD0BA8"/>
    <w:rsid w:val="00FD14D5"/>
    <w:rsid w:val="00FD435B"/>
    <w:rsid w:val="00FD7C27"/>
    <w:rsid w:val="00FD7C2A"/>
    <w:rsid w:val="00FE1CE3"/>
    <w:rsid w:val="00FE5129"/>
    <w:rsid w:val="00FF66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B91F0"/>
  <w15:docId w15:val="{4084BD27-3E2A-481E-9234-6AA64B58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09"/>
  </w:style>
  <w:style w:type="paragraph" w:styleId="Heading1">
    <w:name w:val="heading 1"/>
    <w:basedOn w:val="FILHeader1"/>
    <w:next w:val="Normal"/>
    <w:link w:val="Heading1Char"/>
    <w:uiPriority w:val="9"/>
    <w:qFormat/>
    <w:rsid w:val="009137B4"/>
    <w:pPr>
      <w:outlineLvl w:val="0"/>
    </w:pPr>
  </w:style>
  <w:style w:type="paragraph" w:styleId="Heading2">
    <w:name w:val="heading 2"/>
    <w:basedOn w:val="Normal"/>
    <w:next w:val="Normal"/>
    <w:link w:val="Heading2Char"/>
    <w:uiPriority w:val="9"/>
    <w:unhideWhenUsed/>
    <w:qFormat/>
    <w:rsid w:val="009137B4"/>
    <w:pPr>
      <w:jc w:val="both"/>
      <w:outlineLvl w:val="1"/>
    </w:pPr>
    <w:rPr>
      <w:rFonts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B79"/>
    <w:pPr>
      <w:ind w:left="720"/>
      <w:contextualSpacing/>
    </w:pPr>
  </w:style>
  <w:style w:type="paragraph" w:styleId="EndnoteText">
    <w:name w:val="endnote text"/>
    <w:basedOn w:val="Normal"/>
    <w:link w:val="EndnoteTextChar"/>
    <w:uiPriority w:val="99"/>
    <w:semiHidden/>
    <w:unhideWhenUsed/>
    <w:rsid w:val="003D5B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5B9C"/>
    <w:rPr>
      <w:sz w:val="20"/>
      <w:szCs w:val="20"/>
    </w:rPr>
  </w:style>
  <w:style w:type="character" w:styleId="EndnoteReference">
    <w:name w:val="endnote reference"/>
    <w:basedOn w:val="DefaultParagraphFont"/>
    <w:uiPriority w:val="99"/>
    <w:semiHidden/>
    <w:unhideWhenUsed/>
    <w:rsid w:val="003D5B9C"/>
    <w:rPr>
      <w:vertAlign w:val="superscript"/>
    </w:rPr>
  </w:style>
  <w:style w:type="paragraph" w:styleId="FootnoteText">
    <w:name w:val="footnote text"/>
    <w:basedOn w:val="Normal"/>
    <w:link w:val="FootnoteTextChar"/>
    <w:uiPriority w:val="99"/>
    <w:semiHidden/>
    <w:unhideWhenUsed/>
    <w:rsid w:val="00B628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82B"/>
    <w:rPr>
      <w:sz w:val="20"/>
      <w:szCs w:val="20"/>
    </w:rPr>
  </w:style>
  <w:style w:type="character" w:styleId="FootnoteReference">
    <w:name w:val="footnote reference"/>
    <w:basedOn w:val="DefaultParagraphFont"/>
    <w:uiPriority w:val="99"/>
    <w:semiHidden/>
    <w:unhideWhenUsed/>
    <w:rsid w:val="00B6282B"/>
    <w:rPr>
      <w:vertAlign w:val="superscript"/>
    </w:rPr>
  </w:style>
  <w:style w:type="paragraph" w:styleId="Header">
    <w:name w:val="header"/>
    <w:basedOn w:val="Normal"/>
    <w:link w:val="HeaderChar"/>
    <w:uiPriority w:val="99"/>
    <w:unhideWhenUsed/>
    <w:rsid w:val="00877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E84"/>
  </w:style>
  <w:style w:type="paragraph" w:styleId="Footer">
    <w:name w:val="footer"/>
    <w:basedOn w:val="Normal"/>
    <w:link w:val="FooterChar"/>
    <w:uiPriority w:val="99"/>
    <w:unhideWhenUsed/>
    <w:rsid w:val="00877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E84"/>
  </w:style>
  <w:style w:type="paragraph" w:styleId="BalloonText">
    <w:name w:val="Balloon Text"/>
    <w:basedOn w:val="Normal"/>
    <w:link w:val="BalloonTextChar"/>
    <w:uiPriority w:val="99"/>
    <w:semiHidden/>
    <w:unhideWhenUsed/>
    <w:rsid w:val="00BD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369"/>
    <w:rPr>
      <w:rFonts w:ascii="Tahoma" w:hAnsi="Tahoma" w:cs="Tahoma"/>
      <w:sz w:val="16"/>
      <w:szCs w:val="16"/>
    </w:rPr>
  </w:style>
  <w:style w:type="character" w:styleId="Hyperlink">
    <w:name w:val="Hyperlink"/>
    <w:basedOn w:val="DefaultParagraphFont"/>
    <w:uiPriority w:val="99"/>
    <w:unhideWhenUsed/>
    <w:rsid w:val="00533627"/>
    <w:rPr>
      <w:color w:val="0000FF" w:themeColor="hyperlink"/>
      <w:u w:val="single"/>
    </w:rPr>
  </w:style>
  <w:style w:type="character" w:styleId="CommentReference">
    <w:name w:val="annotation reference"/>
    <w:basedOn w:val="DefaultParagraphFont"/>
    <w:uiPriority w:val="99"/>
    <w:semiHidden/>
    <w:unhideWhenUsed/>
    <w:rsid w:val="00B61207"/>
    <w:rPr>
      <w:sz w:val="16"/>
      <w:szCs w:val="16"/>
    </w:rPr>
  </w:style>
  <w:style w:type="paragraph" w:styleId="CommentText">
    <w:name w:val="annotation text"/>
    <w:basedOn w:val="Normal"/>
    <w:link w:val="CommentTextChar"/>
    <w:uiPriority w:val="99"/>
    <w:semiHidden/>
    <w:unhideWhenUsed/>
    <w:rsid w:val="00B61207"/>
    <w:pPr>
      <w:spacing w:line="240" w:lineRule="auto"/>
    </w:pPr>
    <w:rPr>
      <w:sz w:val="20"/>
      <w:szCs w:val="20"/>
    </w:rPr>
  </w:style>
  <w:style w:type="character" w:customStyle="1" w:styleId="CommentTextChar">
    <w:name w:val="Comment Text Char"/>
    <w:basedOn w:val="DefaultParagraphFont"/>
    <w:link w:val="CommentText"/>
    <w:uiPriority w:val="99"/>
    <w:semiHidden/>
    <w:rsid w:val="00B61207"/>
    <w:rPr>
      <w:sz w:val="20"/>
      <w:szCs w:val="20"/>
    </w:rPr>
  </w:style>
  <w:style w:type="paragraph" w:styleId="CommentSubject">
    <w:name w:val="annotation subject"/>
    <w:basedOn w:val="CommentText"/>
    <w:next w:val="CommentText"/>
    <w:link w:val="CommentSubjectChar"/>
    <w:uiPriority w:val="99"/>
    <w:semiHidden/>
    <w:unhideWhenUsed/>
    <w:rsid w:val="00B61207"/>
    <w:rPr>
      <w:b/>
      <w:bCs/>
    </w:rPr>
  </w:style>
  <w:style w:type="character" w:customStyle="1" w:styleId="CommentSubjectChar">
    <w:name w:val="Comment Subject Char"/>
    <w:basedOn w:val="CommentTextChar"/>
    <w:link w:val="CommentSubject"/>
    <w:uiPriority w:val="99"/>
    <w:semiHidden/>
    <w:rsid w:val="00B61207"/>
    <w:rPr>
      <w:b/>
      <w:bCs/>
      <w:sz w:val="20"/>
      <w:szCs w:val="20"/>
    </w:rPr>
  </w:style>
  <w:style w:type="paragraph" w:styleId="Revision">
    <w:name w:val="Revision"/>
    <w:hidden/>
    <w:uiPriority w:val="99"/>
    <w:semiHidden/>
    <w:rsid w:val="00E25B46"/>
    <w:pPr>
      <w:spacing w:after="0" w:line="240" w:lineRule="auto"/>
    </w:pPr>
  </w:style>
  <w:style w:type="character" w:styleId="FollowedHyperlink">
    <w:name w:val="FollowedHyperlink"/>
    <w:basedOn w:val="DefaultParagraphFont"/>
    <w:uiPriority w:val="99"/>
    <w:semiHidden/>
    <w:unhideWhenUsed/>
    <w:rsid w:val="00141902"/>
    <w:rPr>
      <w:color w:val="954F72"/>
      <w:u w:val="single"/>
    </w:rPr>
  </w:style>
  <w:style w:type="paragraph" w:customStyle="1" w:styleId="xl63">
    <w:name w:val="xl63"/>
    <w:basedOn w:val="Normal"/>
    <w:rsid w:val="0014190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4">
    <w:name w:val="xl64"/>
    <w:basedOn w:val="Normal"/>
    <w:rsid w:val="0014190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141902"/>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141902"/>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141902"/>
    <w:pP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141902"/>
    <w:pPr>
      <w:pBdr>
        <w:lef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141902"/>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141902"/>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141902"/>
    <w:pP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141902"/>
    <w:pP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141902"/>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14190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141902"/>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141902"/>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90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37B4"/>
    <w:rPr>
      <w:rFonts w:cstheme="minorHAnsi"/>
      <w:b/>
      <w:sz w:val="32"/>
      <w:szCs w:val="32"/>
    </w:rPr>
  </w:style>
  <w:style w:type="paragraph" w:styleId="TOCHeading">
    <w:name w:val="TOC Heading"/>
    <w:basedOn w:val="Heading1"/>
    <w:next w:val="Normal"/>
    <w:uiPriority w:val="39"/>
    <w:unhideWhenUsed/>
    <w:qFormat/>
    <w:rsid w:val="003475C1"/>
    <w:pPr>
      <w:spacing w:line="259" w:lineRule="auto"/>
      <w:outlineLvl w:val="9"/>
    </w:pPr>
    <w:rPr>
      <w:lang w:val="en-US"/>
    </w:rPr>
  </w:style>
  <w:style w:type="paragraph" w:customStyle="1" w:styleId="FILHeader1">
    <w:name w:val="FIL Header 1"/>
    <w:basedOn w:val="Normal"/>
    <w:next w:val="Normal"/>
    <w:link w:val="FILHeader1Char"/>
    <w:rsid w:val="003475C1"/>
    <w:pPr>
      <w:numPr>
        <w:numId w:val="9"/>
      </w:numPr>
    </w:pPr>
    <w:rPr>
      <w:rFonts w:cstheme="minorHAnsi"/>
      <w:b/>
      <w:sz w:val="32"/>
      <w:szCs w:val="32"/>
    </w:rPr>
  </w:style>
  <w:style w:type="paragraph" w:styleId="Title">
    <w:name w:val="Title"/>
    <w:basedOn w:val="Normal"/>
    <w:next w:val="Normal"/>
    <w:link w:val="TitleChar"/>
    <w:uiPriority w:val="10"/>
    <w:qFormat/>
    <w:rsid w:val="009137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3475C1"/>
  </w:style>
  <w:style w:type="character" w:customStyle="1" w:styleId="FILHeader1Char">
    <w:name w:val="FIL Header 1 Char"/>
    <w:basedOn w:val="ListParagraphChar"/>
    <w:link w:val="FILHeader1"/>
    <w:rsid w:val="003475C1"/>
    <w:rPr>
      <w:rFonts w:cstheme="minorHAnsi"/>
      <w:b/>
      <w:sz w:val="32"/>
      <w:szCs w:val="32"/>
    </w:rPr>
  </w:style>
  <w:style w:type="character" w:customStyle="1" w:styleId="TitleChar">
    <w:name w:val="Title Char"/>
    <w:basedOn w:val="DefaultParagraphFont"/>
    <w:link w:val="Title"/>
    <w:uiPriority w:val="10"/>
    <w:rsid w:val="009137B4"/>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137B4"/>
    <w:pPr>
      <w:spacing w:after="100"/>
    </w:pPr>
  </w:style>
  <w:style w:type="character" w:customStyle="1" w:styleId="Heading2Char">
    <w:name w:val="Heading 2 Char"/>
    <w:basedOn w:val="DefaultParagraphFont"/>
    <w:link w:val="Heading2"/>
    <w:uiPriority w:val="9"/>
    <w:rsid w:val="009137B4"/>
    <w:rPr>
      <w:rFonts w:cstheme="minorHAnsi"/>
      <w:b/>
      <w:sz w:val="28"/>
      <w:szCs w:val="28"/>
    </w:rPr>
  </w:style>
  <w:style w:type="paragraph" w:styleId="TOC2">
    <w:name w:val="toc 2"/>
    <w:basedOn w:val="Normal"/>
    <w:next w:val="Normal"/>
    <w:autoRedefine/>
    <w:uiPriority w:val="39"/>
    <w:unhideWhenUsed/>
    <w:rsid w:val="009137B4"/>
    <w:pPr>
      <w:spacing w:after="100"/>
      <w:ind w:left="220"/>
    </w:pPr>
  </w:style>
  <w:style w:type="paragraph" w:styleId="NoSpacing">
    <w:name w:val="No Spacing"/>
    <w:uiPriority w:val="1"/>
    <w:qFormat/>
    <w:rsid w:val="00913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4000">
      <w:bodyDiv w:val="1"/>
      <w:marLeft w:val="0"/>
      <w:marRight w:val="0"/>
      <w:marTop w:val="0"/>
      <w:marBottom w:val="0"/>
      <w:divBdr>
        <w:top w:val="none" w:sz="0" w:space="0" w:color="auto"/>
        <w:left w:val="none" w:sz="0" w:space="0" w:color="auto"/>
        <w:bottom w:val="none" w:sz="0" w:space="0" w:color="auto"/>
        <w:right w:val="none" w:sz="0" w:space="0" w:color="auto"/>
      </w:divBdr>
    </w:div>
    <w:div w:id="79565054">
      <w:bodyDiv w:val="1"/>
      <w:marLeft w:val="0"/>
      <w:marRight w:val="0"/>
      <w:marTop w:val="0"/>
      <w:marBottom w:val="0"/>
      <w:divBdr>
        <w:top w:val="none" w:sz="0" w:space="0" w:color="auto"/>
        <w:left w:val="none" w:sz="0" w:space="0" w:color="auto"/>
        <w:bottom w:val="none" w:sz="0" w:space="0" w:color="auto"/>
        <w:right w:val="none" w:sz="0" w:space="0" w:color="auto"/>
      </w:divBdr>
    </w:div>
    <w:div w:id="100759034">
      <w:bodyDiv w:val="1"/>
      <w:marLeft w:val="0"/>
      <w:marRight w:val="0"/>
      <w:marTop w:val="0"/>
      <w:marBottom w:val="0"/>
      <w:divBdr>
        <w:top w:val="none" w:sz="0" w:space="0" w:color="auto"/>
        <w:left w:val="none" w:sz="0" w:space="0" w:color="auto"/>
        <w:bottom w:val="none" w:sz="0" w:space="0" w:color="auto"/>
        <w:right w:val="none" w:sz="0" w:space="0" w:color="auto"/>
      </w:divBdr>
    </w:div>
    <w:div w:id="103691736">
      <w:bodyDiv w:val="1"/>
      <w:marLeft w:val="0"/>
      <w:marRight w:val="0"/>
      <w:marTop w:val="0"/>
      <w:marBottom w:val="0"/>
      <w:divBdr>
        <w:top w:val="none" w:sz="0" w:space="0" w:color="auto"/>
        <w:left w:val="none" w:sz="0" w:space="0" w:color="auto"/>
        <w:bottom w:val="none" w:sz="0" w:space="0" w:color="auto"/>
        <w:right w:val="none" w:sz="0" w:space="0" w:color="auto"/>
      </w:divBdr>
    </w:div>
    <w:div w:id="134563955">
      <w:bodyDiv w:val="1"/>
      <w:marLeft w:val="0"/>
      <w:marRight w:val="0"/>
      <w:marTop w:val="0"/>
      <w:marBottom w:val="0"/>
      <w:divBdr>
        <w:top w:val="none" w:sz="0" w:space="0" w:color="auto"/>
        <w:left w:val="none" w:sz="0" w:space="0" w:color="auto"/>
        <w:bottom w:val="none" w:sz="0" w:space="0" w:color="auto"/>
        <w:right w:val="none" w:sz="0" w:space="0" w:color="auto"/>
      </w:divBdr>
    </w:div>
    <w:div w:id="149949186">
      <w:bodyDiv w:val="1"/>
      <w:marLeft w:val="0"/>
      <w:marRight w:val="0"/>
      <w:marTop w:val="0"/>
      <w:marBottom w:val="0"/>
      <w:divBdr>
        <w:top w:val="none" w:sz="0" w:space="0" w:color="auto"/>
        <w:left w:val="none" w:sz="0" w:space="0" w:color="auto"/>
        <w:bottom w:val="none" w:sz="0" w:space="0" w:color="auto"/>
        <w:right w:val="none" w:sz="0" w:space="0" w:color="auto"/>
      </w:divBdr>
    </w:div>
    <w:div w:id="177547256">
      <w:bodyDiv w:val="1"/>
      <w:marLeft w:val="0"/>
      <w:marRight w:val="0"/>
      <w:marTop w:val="0"/>
      <w:marBottom w:val="0"/>
      <w:divBdr>
        <w:top w:val="none" w:sz="0" w:space="0" w:color="auto"/>
        <w:left w:val="none" w:sz="0" w:space="0" w:color="auto"/>
        <w:bottom w:val="none" w:sz="0" w:space="0" w:color="auto"/>
        <w:right w:val="none" w:sz="0" w:space="0" w:color="auto"/>
      </w:divBdr>
    </w:div>
    <w:div w:id="185295024">
      <w:bodyDiv w:val="1"/>
      <w:marLeft w:val="0"/>
      <w:marRight w:val="0"/>
      <w:marTop w:val="0"/>
      <w:marBottom w:val="0"/>
      <w:divBdr>
        <w:top w:val="none" w:sz="0" w:space="0" w:color="auto"/>
        <w:left w:val="none" w:sz="0" w:space="0" w:color="auto"/>
        <w:bottom w:val="none" w:sz="0" w:space="0" w:color="auto"/>
        <w:right w:val="none" w:sz="0" w:space="0" w:color="auto"/>
      </w:divBdr>
    </w:div>
    <w:div w:id="211428511">
      <w:bodyDiv w:val="1"/>
      <w:marLeft w:val="0"/>
      <w:marRight w:val="0"/>
      <w:marTop w:val="0"/>
      <w:marBottom w:val="0"/>
      <w:divBdr>
        <w:top w:val="none" w:sz="0" w:space="0" w:color="auto"/>
        <w:left w:val="none" w:sz="0" w:space="0" w:color="auto"/>
        <w:bottom w:val="none" w:sz="0" w:space="0" w:color="auto"/>
        <w:right w:val="none" w:sz="0" w:space="0" w:color="auto"/>
      </w:divBdr>
    </w:div>
    <w:div w:id="235014136">
      <w:bodyDiv w:val="1"/>
      <w:marLeft w:val="0"/>
      <w:marRight w:val="0"/>
      <w:marTop w:val="0"/>
      <w:marBottom w:val="0"/>
      <w:divBdr>
        <w:top w:val="none" w:sz="0" w:space="0" w:color="auto"/>
        <w:left w:val="none" w:sz="0" w:space="0" w:color="auto"/>
        <w:bottom w:val="none" w:sz="0" w:space="0" w:color="auto"/>
        <w:right w:val="none" w:sz="0" w:space="0" w:color="auto"/>
      </w:divBdr>
    </w:div>
    <w:div w:id="263462166">
      <w:bodyDiv w:val="1"/>
      <w:marLeft w:val="0"/>
      <w:marRight w:val="0"/>
      <w:marTop w:val="0"/>
      <w:marBottom w:val="0"/>
      <w:divBdr>
        <w:top w:val="none" w:sz="0" w:space="0" w:color="auto"/>
        <w:left w:val="none" w:sz="0" w:space="0" w:color="auto"/>
        <w:bottom w:val="none" w:sz="0" w:space="0" w:color="auto"/>
        <w:right w:val="none" w:sz="0" w:space="0" w:color="auto"/>
      </w:divBdr>
    </w:div>
    <w:div w:id="284242003">
      <w:bodyDiv w:val="1"/>
      <w:marLeft w:val="0"/>
      <w:marRight w:val="0"/>
      <w:marTop w:val="0"/>
      <w:marBottom w:val="0"/>
      <w:divBdr>
        <w:top w:val="none" w:sz="0" w:space="0" w:color="auto"/>
        <w:left w:val="none" w:sz="0" w:space="0" w:color="auto"/>
        <w:bottom w:val="none" w:sz="0" w:space="0" w:color="auto"/>
        <w:right w:val="none" w:sz="0" w:space="0" w:color="auto"/>
      </w:divBdr>
    </w:div>
    <w:div w:id="294531193">
      <w:bodyDiv w:val="1"/>
      <w:marLeft w:val="0"/>
      <w:marRight w:val="0"/>
      <w:marTop w:val="0"/>
      <w:marBottom w:val="0"/>
      <w:divBdr>
        <w:top w:val="none" w:sz="0" w:space="0" w:color="auto"/>
        <w:left w:val="none" w:sz="0" w:space="0" w:color="auto"/>
        <w:bottom w:val="none" w:sz="0" w:space="0" w:color="auto"/>
        <w:right w:val="none" w:sz="0" w:space="0" w:color="auto"/>
      </w:divBdr>
    </w:div>
    <w:div w:id="305204615">
      <w:bodyDiv w:val="1"/>
      <w:marLeft w:val="0"/>
      <w:marRight w:val="0"/>
      <w:marTop w:val="0"/>
      <w:marBottom w:val="0"/>
      <w:divBdr>
        <w:top w:val="none" w:sz="0" w:space="0" w:color="auto"/>
        <w:left w:val="none" w:sz="0" w:space="0" w:color="auto"/>
        <w:bottom w:val="none" w:sz="0" w:space="0" w:color="auto"/>
        <w:right w:val="none" w:sz="0" w:space="0" w:color="auto"/>
      </w:divBdr>
    </w:div>
    <w:div w:id="305864107">
      <w:bodyDiv w:val="1"/>
      <w:marLeft w:val="0"/>
      <w:marRight w:val="0"/>
      <w:marTop w:val="0"/>
      <w:marBottom w:val="0"/>
      <w:divBdr>
        <w:top w:val="none" w:sz="0" w:space="0" w:color="auto"/>
        <w:left w:val="none" w:sz="0" w:space="0" w:color="auto"/>
        <w:bottom w:val="none" w:sz="0" w:space="0" w:color="auto"/>
        <w:right w:val="none" w:sz="0" w:space="0" w:color="auto"/>
      </w:divBdr>
    </w:div>
    <w:div w:id="348067836">
      <w:bodyDiv w:val="1"/>
      <w:marLeft w:val="0"/>
      <w:marRight w:val="0"/>
      <w:marTop w:val="0"/>
      <w:marBottom w:val="0"/>
      <w:divBdr>
        <w:top w:val="none" w:sz="0" w:space="0" w:color="auto"/>
        <w:left w:val="none" w:sz="0" w:space="0" w:color="auto"/>
        <w:bottom w:val="none" w:sz="0" w:space="0" w:color="auto"/>
        <w:right w:val="none" w:sz="0" w:space="0" w:color="auto"/>
      </w:divBdr>
    </w:div>
    <w:div w:id="352344218">
      <w:bodyDiv w:val="1"/>
      <w:marLeft w:val="0"/>
      <w:marRight w:val="0"/>
      <w:marTop w:val="0"/>
      <w:marBottom w:val="0"/>
      <w:divBdr>
        <w:top w:val="none" w:sz="0" w:space="0" w:color="auto"/>
        <w:left w:val="none" w:sz="0" w:space="0" w:color="auto"/>
        <w:bottom w:val="none" w:sz="0" w:space="0" w:color="auto"/>
        <w:right w:val="none" w:sz="0" w:space="0" w:color="auto"/>
      </w:divBdr>
    </w:div>
    <w:div w:id="352805583">
      <w:bodyDiv w:val="1"/>
      <w:marLeft w:val="0"/>
      <w:marRight w:val="0"/>
      <w:marTop w:val="0"/>
      <w:marBottom w:val="0"/>
      <w:divBdr>
        <w:top w:val="none" w:sz="0" w:space="0" w:color="auto"/>
        <w:left w:val="none" w:sz="0" w:space="0" w:color="auto"/>
        <w:bottom w:val="none" w:sz="0" w:space="0" w:color="auto"/>
        <w:right w:val="none" w:sz="0" w:space="0" w:color="auto"/>
      </w:divBdr>
    </w:div>
    <w:div w:id="367415103">
      <w:bodyDiv w:val="1"/>
      <w:marLeft w:val="0"/>
      <w:marRight w:val="0"/>
      <w:marTop w:val="0"/>
      <w:marBottom w:val="0"/>
      <w:divBdr>
        <w:top w:val="none" w:sz="0" w:space="0" w:color="auto"/>
        <w:left w:val="none" w:sz="0" w:space="0" w:color="auto"/>
        <w:bottom w:val="none" w:sz="0" w:space="0" w:color="auto"/>
        <w:right w:val="none" w:sz="0" w:space="0" w:color="auto"/>
      </w:divBdr>
    </w:div>
    <w:div w:id="391663916">
      <w:bodyDiv w:val="1"/>
      <w:marLeft w:val="0"/>
      <w:marRight w:val="0"/>
      <w:marTop w:val="0"/>
      <w:marBottom w:val="0"/>
      <w:divBdr>
        <w:top w:val="none" w:sz="0" w:space="0" w:color="auto"/>
        <w:left w:val="none" w:sz="0" w:space="0" w:color="auto"/>
        <w:bottom w:val="none" w:sz="0" w:space="0" w:color="auto"/>
        <w:right w:val="none" w:sz="0" w:space="0" w:color="auto"/>
      </w:divBdr>
    </w:div>
    <w:div w:id="458498006">
      <w:bodyDiv w:val="1"/>
      <w:marLeft w:val="0"/>
      <w:marRight w:val="0"/>
      <w:marTop w:val="0"/>
      <w:marBottom w:val="0"/>
      <w:divBdr>
        <w:top w:val="none" w:sz="0" w:space="0" w:color="auto"/>
        <w:left w:val="none" w:sz="0" w:space="0" w:color="auto"/>
        <w:bottom w:val="none" w:sz="0" w:space="0" w:color="auto"/>
        <w:right w:val="none" w:sz="0" w:space="0" w:color="auto"/>
      </w:divBdr>
    </w:div>
    <w:div w:id="472521982">
      <w:bodyDiv w:val="1"/>
      <w:marLeft w:val="0"/>
      <w:marRight w:val="0"/>
      <w:marTop w:val="0"/>
      <w:marBottom w:val="0"/>
      <w:divBdr>
        <w:top w:val="none" w:sz="0" w:space="0" w:color="auto"/>
        <w:left w:val="none" w:sz="0" w:space="0" w:color="auto"/>
        <w:bottom w:val="none" w:sz="0" w:space="0" w:color="auto"/>
        <w:right w:val="none" w:sz="0" w:space="0" w:color="auto"/>
      </w:divBdr>
    </w:div>
    <w:div w:id="521556323">
      <w:bodyDiv w:val="1"/>
      <w:marLeft w:val="0"/>
      <w:marRight w:val="0"/>
      <w:marTop w:val="0"/>
      <w:marBottom w:val="0"/>
      <w:divBdr>
        <w:top w:val="none" w:sz="0" w:space="0" w:color="auto"/>
        <w:left w:val="none" w:sz="0" w:space="0" w:color="auto"/>
        <w:bottom w:val="none" w:sz="0" w:space="0" w:color="auto"/>
        <w:right w:val="none" w:sz="0" w:space="0" w:color="auto"/>
      </w:divBdr>
    </w:div>
    <w:div w:id="531573777">
      <w:bodyDiv w:val="1"/>
      <w:marLeft w:val="0"/>
      <w:marRight w:val="0"/>
      <w:marTop w:val="0"/>
      <w:marBottom w:val="0"/>
      <w:divBdr>
        <w:top w:val="none" w:sz="0" w:space="0" w:color="auto"/>
        <w:left w:val="none" w:sz="0" w:space="0" w:color="auto"/>
        <w:bottom w:val="none" w:sz="0" w:space="0" w:color="auto"/>
        <w:right w:val="none" w:sz="0" w:space="0" w:color="auto"/>
      </w:divBdr>
    </w:div>
    <w:div w:id="534734154">
      <w:bodyDiv w:val="1"/>
      <w:marLeft w:val="0"/>
      <w:marRight w:val="0"/>
      <w:marTop w:val="0"/>
      <w:marBottom w:val="0"/>
      <w:divBdr>
        <w:top w:val="none" w:sz="0" w:space="0" w:color="auto"/>
        <w:left w:val="none" w:sz="0" w:space="0" w:color="auto"/>
        <w:bottom w:val="none" w:sz="0" w:space="0" w:color="auto"/>
        <w:right w:val="none" w:sz="0" w:space="0" w:color="auto"/>
      </w:divBdr>
    </w:div>
    <w:div w:id="554925561">
      <w:bodyDiv w:val="1"/>
      <w:marLeft w:val="0"/>
      <w:marRight w:val="0"/>
      <w:marTop w:val="0"/>
      <w:marBottom w:val="0"/>
      <w:divBdr>
        <w:top w:val="none" w:sz="0" w:space="0" w:color="auto"/>
        <w:left w:val="none" w:sz="0" w:space="0" w:color="auto"/>
        <w:bottom w:val="none" w:sz="0" w:space="0" w:color="auto"/>
        <w:right w:val="none" w:sz="0" w:space="0" w:color="auto"/>
      </w:divBdr>
    </w:div>
    <w:div w:id="573274589">
      <w:bodyDiv w:val="1"/>
      <w:marLeft w:val="0"/>
      <w:marRight w:val="0"/>
      <w:marTop w:val="0"/>
      <w:marBottom w:val="0"/>
      <w:divBdr>
        <w:top w:val="none" w:sz="0" w:space="0" w:color="auto"/>
        <w:left w:val="none" w:sz="0" w:space="0" w:color="auto"/>
        <w:bottom w:val="none" w:sz="0" w:space="0" w:color="auto"/>
        <w:right w:val="none" w:sz="0" w:space="0" w:color="auto"/>
      </w:divBdr>
    </w:div>
    <w:div w:id="613564582">
      <w:bodyDiv w:val="1"/>
      <w:marLeft w:val="0"/>
      <w:marRight w:val="0"/>
      <w:marTop w:val="0"/>
      <w:marBottom w:val="0"/>
      <w:divBdr>
        <w:top w:val="none" w:sz="0" w:space="0" w:color="auto"/>
        <w:left w:val="none" w:sz="0" w:space="0" w:color="auto"/>
        <w:bottom w:val="none" w:sz="0" w:space="0" w:color="auto"/>
        <w:right w:val="none" w:sz="0" w:space="0" w:color="auto"/>
      </w:divBdr>
    </w:div>
    <w:div w:id="617100686">
      <w:bodyDiv w:val="1"/>
      <w:marLeft w:val="0"/>
      <w:marRight w:val="0"/>
      <w:marTop w:val="0"/>
      <w:marBottom w:val="0"/>
      <w:divBdr>
        <w:top w:val="none" w:sz="0" w:space="0" w:color="auto"/>
        <w:left w:val="none" w:sz="0" w:space="0" w:color="auto"/>
        <w:bottom w:val="none" w:sz="0" w:space="0" w:color="auto"/>
        <w:right w:val="none" w:sz="0" w:space="0" w:color="auto"/>
      </w:divBdr>
    </w:div>
    <w:div w:id="632295208">
      <w:bodyDiv w:val="1"/>
      <w:marLeft w:val="0"/>
      <w:marRight w:val="0"/>
      <w:marTop w:val="0"/>
      <w:marBottom w:val="0"/>
      <w:divBdr>
        <w:top w:val="none" w:sz="0" w:space="0" w:color="auto"/>
        <w:left w:val="none" w:sz="0" w:space="0" w:color="auto"/>
        <w:bottom w:val="none" w:sz="0" w:space="0" w:color="auto"/>
        <w:right w:val="none" w:sz="0" w:space="0" w:color="auto"/>
      </w:divBdr>
    </w:div>
    <w:div w:id="636302445">
      <w:bodyDiv w:val="1"/>
      <w:marLeft w:val="0"/>
      <w:marRight w:val="0"/>
      <w:marTop w:val="0"/>
      <w:marBottom w:val="0"/>
      <w:divBdr>
        <w:top w:val="none" w:sz="0" w:space="0" w:color="auto"/>
        <w:left w:val="none" w:sz="0" w:space="0" w:color="auto"/>
        <w:bottom w:val="none" w:sz="0" w:space="0" w:color="auto"/>
        <w:right w:val="none" w:sz="0" w:space="0" w:color="auto"/>
      </w:divBdr>
    </w:div>
    <w:div w:id="745493422">
      <w:bodyDiv w:val="1"/>
      <w:marLeft w:val="0"/>
      <w:marRight w:val="0"/>
      <w:marTop w:val="0"/>
      <w:marBottom w:val="0"/>
      <w:divBdr>
        <w:top w:val="none" w:sz="0" w:space="0" w:color="auto"/>
        <w:left w:val="none" w:sz="0" w:space="0" w:color="auto"/>
        <w:bottom w:val="none" w:sz="0" w:space="0" w:color="auto"/>
        <w:right w:val="none" w:sz="0" w:space="0" w:color="auto"/>
      </w:divBdr>
    </w:div>
    <w:div w:id="748160796">
      <w:bodyDiv w:val="1"/>
      <w:marLeft w:val="0"/>
      <w:marRight w:val="0"/>
      <w:marTop w:val="0"/>
      <w:marBottom w:val="0"/>
      <w:divBdr>
        <w:top w:val="none" w:sz="0" w:space="0" w:color="auto"/>
        <w:left w:val="none" w:sz="0" w:space="0" w:color="auto"/>
        <w:bottom w:val="none" w:sz="0" w:space="0" w:color="auto"/>
        <w:right w:val="none" w:sz="0" w:space="0" w:color="auto"/>
      </w:divBdr>
    </w:div>
    <w:div w:id="767236314">
      <w:bodyDiv w:val="1"/>
      <w:marLeft w:val="0"/>
      <w:marRight w:val="0"/>
      <w:marTop w:val="0"/>
      <w:marBottom w:val="0"/>
      <w:divBdr>
        <w:top w:val="none" w:sz="0" w:space="0" w:color="auto"/>
        <w:left w:val="none" w:sz="0" w:space="0" w:color="auto"/>
        <w:bottom w:val="none" w:sz="0" w:space="0" w:color="auto"/>
        <w:right w:val="none" w:sz="0" w:space="0" w:color="auto"/>
      </w:divBdr>
    </w:div>
    <w:div w:id="773482230">
      <w:bodyDiv w:val="1"/>
      <w:marLeft w:val="0"/>
      <w:marRight w:val="0"/>
      <w:marTop w:val="0"/>
      <w:marBottom w:val="0"/>
      <w:divBdr>
        <w:top w:val="none" w:sz="0" w:space="0" w:color="auto"/>
        <w:left w:val="none" w:sz="0" w:space="0" w:color="auto"/>
        <w:bottom w:val="none" w:sz="0" w:space="0" w:color="auto"/>
        <w:right w:val="none" w:sz="0" w:space="0" w:color="auto"/>
      </w:divBdr>
    </w:div>
    <w:div w:id="788935739">
      <w:bodyDiv w:val="1"/>
      <w:marLeft w:val="0"/>
      <w:marRight w:val="0"/>
      <w:marTop w:val="0"/>
      <w:marBottom w:val="0"/>
      <w:divBdr>
        <w:top w:val="none" w:sz="0" w:space="0" w:color="auto"/>
        <w:left w:val="none" w:sz="0" w:space="0" w:color="auto"/>
        <w:bottom w:val="none" w:sz="0" w:space="0" w:color="auto"/>
        <w:right w:val="none" w:sz="0" w:space="0" w:color="auto"/>
      </w:divBdr>
    </w:div>
    <w:div w:id="790199790">
      <w:bodyDiv w:val="1"/>
      <w:marLeft w:val="0"/>
      <w:marRight w:val="0"/>
      <w:marTop w:val="0"/>
      <w:marBottom w:val="0"/>
      <w:divBdr>
        <w:top w:val="none" w:sz="0" w:space="0" w:color="auto"/>
        <w:left w:val="none" w:sz="0" w:space="0" w:color="auto"/>
        <w:bottom w:val="none" w:sz="0" w:space="0" w:color="auto"/>
        <w:right w:val="none" w:sz="0" w:space="0" w:color="auto"/>
      </w:divBdr>
    </w:div>
    <w:div w:id="814953992">
      <w:bodyDiv w:val="1"/>
      <w:marLeft w:val="0"/>
      <w:marRight w:val="0"/>
      <w:marTop w:val="0"/>
      <w:marBottom w:val="0"/>
      <w:divBdr>
        <w:top w:val="none" w:sz="0" w:space="0" w:color="auto"/>
        <w:left w:val="none" w:sz="0" w:space="0" w:color="auto"/>
        <w:bottom w:val="none" w:sz="0" w:space="0" w:color="auto"/>
        <w:right w:val="none" w:sz="0" w:space="0" w:color="auto"/>
      </w:divBdr>
    </w:div>
    <w:div w:id="818425635">
      <w:bodyDiv w:val="1"/>
      <w:marLeft w:val="0"/>
      <w:marRight w:val="0"/>
      <w:marTop w:val="0"/>
      <w:marBottom w:val="0"/>
      <w:divBdr>
        <w:top w:val="none" w:sz="0" w:space="0" w:color="auto"/>
        <w:left w:val="none" w:sz="0" w:space="0" w:color="auto"/>
        <w:bottom w:val="none" w:sz="0" w:space="0" w:color="auto"/>
        <w:right w:val="none" w:sz="0" w:space="0" w:color="auto"/>
      </w:divBdr>
    </w:div>
    <w:div w:id="827749318">
      <w:bodyDiv w:val="1"/>
      <w:marLeft w:val="0"/>
      <w:marRight w:val="0"/>
      <w:marTop w:val="0"/>
      <w:marBottom w:val="0"/>
      <w:divBdr>
        <w:top w:val="none" w:sz="0" w:space="0" w:color="auto"/>
        <w:left w:val="none" w:sz="0" w:space="0" w:color="auto"/>
        <w:bottom w:val="none" w:sz="0" w:space="0" w:color="auto"/>
        <w:right w:val="none" w:sz="0" w:space="0" w:color="auto"/>
      </w:divBdr>
    </w:div>
    <w:div w:id="849375891">
      <w:bodyDiv w:val="1"/>
      <w:marLeft w:val="0"/>
      <w:marRight w:val="0"/>
      <w:marTop w:val="0"/>
      <w:marBottom w:val="0"/>
      <w:divBdr>
        <w:top w:val="none" w:sz="0" w:space="0" w:color="auto"/>
        <w:left w:val="none" w:sz="0" w:space="0" w:color="auto"/>
        <w:bottom w:val="none" w:sz="0" w:space="0" w:color="auto"/>
        <w:right w:val="none" w:sz="0" w:space="0" w:color="auto"/>
      </w:divBdr>
    </w:div>
    <w:div w:id="861894148">
      <w:bodyDiv w:val="1"/>
      <w:marLeft w:val="0"/>
      <w:marRight w:val="0"/>
      <w:marTop w:val="0"/>
      <w:marBottom w:val="0"/>
      <w:divBdr>
        <w:top w:val="none" w:sz="0" w:space="0" w:color="auto"/>
        <w:left w:val="none" w:sz="0" w:space="0" w:color="auto"/>
        <w:bottom w:val="none" w:sz="0" w:space="0" w:color="auto"/>
        <w:right w:val="none" w:sz="0" w:space="0" w:color="auto"/>
      </w:divBdr>
    </w:div>
    <w:div w:id="891648018">
      <w:bodyDiv w:val="1"/>
      <w:marLeft w:val="0"/>
      <w:marRight w:val="0"/>
      <w:marTop w:val="0"/>
      <w:marBottom w:val="0"/>
      <w:divBdr>
        <w:top w:val="none" w:sz="0" w:space="0" w:color="auto"/>
        <w:left w:val="none" w:sz="0" w:space="0" w:color="auto"/>
        <w:bottom w:val="none" w:sz="0" w:space="0" w:color="auto"/>
        <w:right w:val="none" w:sz="0" w:space="0" w:color="auto"/>
      </w:divBdr>
    </w:div>
    <w:div w:id="920680252">
      <w:bodyDiv w:val="1"/>
      <w:marLeft w:val="0"/>
      <w:marRight w:val="0"/>
      <w:marTop w:val="0"/>
      <w:marBottom w:val="0"/>
      <w:divBdr>
        <w:top w:val="none" w:sz="0" w:space="0" w:color="auto"/>
        <w:left w:val="none" w:sz="0" w:space="0" w:color="auto"/>
        <w:bottom w:val="none" w:sz="0" w:space="0" w:color="auto"/>
        <w:right w:val="none" w:sz="0" w:space="0" w:color="auto"/>
      </w:divBdr>
    </w:div>
    <w:div w:id="927808814">
      <w:bodyDiv w:val="1"/>
      <w:marLeft w:val="0"/>
      <w:marRight w:val="0"/>
      <w:marTop w:val="0"/>
      <w:marBottom w:val="0"/>
      <w:divBdr>
        <w:top w:val="none" w:sz="0" w:space="0" w:color="auto"/>
        <w:left w:val="none" w:sz="0" w:space="0" w:color="auto"/>
        <w:bottom w:val="none" w:sz="0" w:space="0" w:color="auto"/>
        <w:right w:val="none" w:sz="0" w:space="0" w:color="auto"/>
      </w:divBdr>
    </w:div>
    <w:div w:id="946428862">
      <w:bodyDiv w:val="1"/>
      <w:marLeft w:val="0"/>
      <w:marRight w:val="0"/>
      <w:marTop w:val="0"/>
      <w:marBottom w:val="0"/>
      <w:divBdr>
        <w:top w:val="none" w:sz="0" w:space="0" w:color="auto"/>
        <w:left w:val="none" w:sz="0" w:space="0" w:color="auto"/>
        <w:bottom w:val="none" w:sz="0" w:space="0" w:color="auto"/>
        <w:right w:val="none" w:sz="0" w:space="0" w:color="auto"/>
      </w:divBdr>
    </w:div>
    <w:div w:id="952588330">
      <w:bodyDiv w:val="1"/>
      <w:marLeft w:val="0"/>
      <w:marRight w:val="0"/>
      <w:marTop w:val="0"/>
      <w:marBottom w:val="0"/>
      <w:divBdr>
        <w:top w:val="none" w:sz="0" w:space="0" w:color="auto"/>
        <w:left w:val="none" w:sz="0" w:space="0" w:color="auto"/>
        <w:bottom w:val="none" w:sz="0" w:space="0" w:color="auto"/>
        <w:right w:val="none" w:sz="0" w:space="0" w:color="auto"/>
      </w:divBdr>
    </w:div>
    <w:div w:id="964314740">
      <w:bodyDiv w:val="1"/>
      <w:marLeft w:val="0"/>
      <w:marRight w:val="0"/>
      <w:marTop w:val="0"/>
      <w:marBottom w:val="0"/>
      <w:divBdr>
        <w:top w:val="none" w:sz="0" w:space="0" w:color="auto"/>
        <w:left w:val="none" w:sz="0" w:space="0" w:color="auto"/>
        <w:bottom w:val="none" w:sz="0" w:space="0" w:color="auto"/>
        <w:right w:val="none" w:sz="0" w:space="0" w:color="auto"/>
      </w:divBdr>
    </w:div>
    <w:div w:id="965232200">
      <w:bodyDiv w:val="1"/>
      <w:marLeft w:val="0"/>
      <w:marRight w:val="0"/>
      <w:marTop w:val="0"/>
      <w:marBottom w:val="0"/>
      <w:divBdr>
        <w:top w:val="none" w:sz="0" w:space="0" w:color="auto"/>
        <w:left w:val="none" w:sz="0" w:space="0" w:color="auto"/>
        <w:bottom w:val="none" w:sz="0" w:space="0" w:color="auto"/>
        <w:right w:val="none" w:sz="0" w:space="0" w:color="auto"/>
      </w:divBdr>
    </w:div>
    <w:div w:id="975260009">
      <w:bodyDiv w:val="1"/>
      <w:marLeft w:val="0"/>
      <w:marRight w:val="0"/>
      <w:marTop w:val="0"/>
      <w:marBottom w:val="0"/>
      <w:divBdr>
        <w:top w:val="none" w:sz="0" w:space="0" w:color="auto"/>
        <w:left w:val="none" w:sz="0" w:space="0" w:color="auto"/>
        <w:bottom w:val="none" w:sz="0" w:space="0" w:color="auto"/>
        <w:right w:val="none" w:sz="0" w:space="0" w:color="auto"/>
      </w:divBdr>
    </w:div>
    <w:div w:id="1002968548">
      <w:bodyDiv w:val="1"/>
      <w:marLeft w:val="0"/>
      <w:marRight w:val="0"/>
      <w:marTop w:val="0"/>
      <w:marBottom w:val="0"/>
      <w:divBdr>
        <w:top w:val="none" w:sz="0" w:space="0" w:color="auto"/>
        <w:left w:val="none" w:sz="0" w:space="0" w:color="auto"/>
        <w:bottom w:val="none" w:sz="0" w:space="0" w:color="auto"/>
        <w:right w:val="none" w:sz="0" w:space="0" w:color="auto"/>
      </w:divBdr>
    </w:div>
    <w:div w:id="1005208895">
      <w:bodyDiv w:val="1"/>
      <w:marLeft w:val="0"/>
      <w:marRight w:val="0"/>
      <w:marTop w:val="0"/>
      <w:marBottom w:val="0"/>
      <w:divBdr>
        <w:top w:val="none" w:sz="0" w:space="0" w:color="auto"/>
        <w:left w:val="none" w:sz="0" w:space="0" w:color="auto"/>
        <w:bottom w:val="none" w:sz="0" w:space="0" w:color="auto"/>
        <w:right w:val="none" w:sz="0" w:space="0" w:color="auto"/>
      </w:divBdr>
    </w:div>
    <w:div w:id="1008479242">
      <w:bodyDiv w:val="1"/>
      <w:marLeft w:val="0"/>
      <w:marRight w:val="0"/>
      <w:marTop w:val="0"/>
      <w:marBottom w:val="0"/>
      <w:divBdr>
        <w:top w:val="none" w:sz="0" w:space="0" w:color="auto"/>
        <w:left w:val="none" w:sz="0" w:space="0" w:color="auto"/>
        <w:bottom w:val="none" w:sz="0" w:space="0" w:color="auto"/>
        <w:right w:val="none" w:sz="0" w:space="0" w:color="auto"/>
      </w:divBdr>
    </w:div>
    <w:div w:id="1018120433">
      <w:bodyDiv w:val="1"/>
      <w:marLeft w:val="0"/>
      <w:marRight w:val="0"/>
      <w:marTop w:val="0"/>
      <w:marBottom w:val="0"/>
      <w:divBdr>
        <w:top w:val="none" w:sz="0" w:space="0" w:color="auto"/>
        <w:left w:val="none" w:sz="0" w:space="0" w:color="auto"/>
        <w:bottom w:val="none" w:sz="0" w:space="0" w:color="auto"/>
        <w:right w:val="none" w:sz="0" w:space="0" w:color="auto"/>
      </w:divBdr>
    </w:div>
    <w:div w:id="1038120011">
      <w:bodyDiv w:val="1"/>
      <w:marLeft w:val="0"/>
      <w:marRight w:val="0"/>
      <w:marTop w:val="0"/>
      <w:marBottom w:val="0"/>
      <w:divBdr>
        <w:top w:val="none" w:sz="0" w:space="0" w:color="auto"/>
        <w:left w:val="none" w:sz="0" w:space="0" w:color="auto"/>
        <w:bottom w:val="none" w:sz="0" w:space="0" w:color="auto"/>
        <w:right w:val="none" w:sz="0" w:space="0" w:color="auto"/>
      </w:divBdr>
    </w:div>
    <w:div w:id="1083065780">
      <w:bodyDiv w:val="1"/>
      <w:marLeft w:val="0"/>
      <w:marRight w:val="0"/>
      <w:marTop w:val="0"/>
      <w:marBottom w:val="0"/>
      <w:divBdr>
        <w:top w:val="none" w:sz="0" w:space="0" w:color="auto"/>
        <w:left w:val="none" w:sz="0" w:space="0" w:color="auto"/>
        <w:bottom w:val="none" w:sz="0" w:space="0" w:color="auto"/>
        <w:right w:val="none" w:sz="0" w:space="0" w:color="auto"/>
      </w:divBdr>
    </w:div>
    <w:div w:id="1092819306">
      <w:bodyDiv w:val="1"/>
      <w:marLeft w:val="0"/>
      <w:marRight w:val="0"/>
      <w:marTop w:val="0"/>
      <w:marBottom w:val="0"/>
      <w:divBdr>
        <w:top w:val="none" w:sz="0" w:space="0" w:color="auto"/>
        <w:left w:val="none" w:sz="0" w:space="0" w:color="auto"/>
        <w:bottom w:val="none" w:sz="0" w:space="0" w:color="auto"/>
        <w:right w:val="none" w:sz="0" w:space="0" w:color="auto"/>
      </w:divBdr>
    </w:div>
    <w:div w:id="1100108022">
      <w:bodyDiv w:val="1"/>
      <w:marLeft w:val="0"/>
      <w:marRight w:val="0"/>
      <w:marTop w:val="0"/>
      <w:marBottom w:val="0"/>
      <w:divBdr>
        <w:top w:val="none" w:sz="0" w:space="0" w:color="auto"/>
        <w:left w:val="none" w:sz="0" w:space="0" w:color="auto"/>
        <w:bottom w:val="none" w:sz="0" w:space="0" w:color="auto"/>
        <w:right w:val="none" w:sz="0" w:space="0" w:color="auto"/>
      </w:divBdr>
    </w:div>
    <w:div w:id="1104038464">
      <w:bodyDiv w:val="1"/>
      <w:marLeft w:val="0"/>
      <w:marRight w:val="0"/>
      <w:marTop w:val="0"/>
      <w:marBottom w:val="0"/>
      <w:divBdr>
        <w:top w:val="none" w:sz="0" w:space="0" w:color="auto"/>
        <w:left w:val="none" w:sz="0" w:space="0" w:color="auto"/>
        <w:bottom w:val="none" w:sz="0" w:space="0" w:color="auto"/>
        <w:right w:val="none" w:sz="0" w:space="0" w:color="auto"/>
      </w:divBdr>
    </w:div>
    <w:div w:id="1108306940">
      <w:bodyDiv w:val="1"/>
      <w:marLeft w:val="0"/>
      <w:marRight w:val="0"/>
      <w:marTop w:val="0"/>
      <w:marBottom w:val="0"/>
      <w:divBdr>
        <w:top w:val="none" w:sz="0" w:space="0" w:color="auto"/>
        <w:left w:val="none" w:sz="0" w:space="0" w:color="auto"/>
        <w:bottom w:val="none" w:sz="0" w:space="0" w:color="auto"/>
        <w:right w:val="none" w:sz="0" w:space="0" w:color="auto"/>
      </w:divBdr>
    </w:div>
    <w:div w:id="1121345571">
      <w:bodyDiv w:val="1"/>
      <w:marLeft w:val="0"/>
      <w:marRight w:val="0"/>
      <w:marTop w:val="0"/>
      <w:marBottom w:val="0"/>
      <w:divBdr>
        <w:top w:val="none" w:sz="0" w:space="0" w:color="auto"/>
        <w:left w:val="none" w:sz="0" w:space="0" w:color="auto"/>
        <w:bottom w:val="none" w:sz="0" w:space="0" w:color="auto"/>
        <w:right w:val="none" w:sz="0" w:space="0" w:color="auto"/>
      </w:divBdr>
    </w:div>
    <w:div w:id="1125583490">
      <w:bodyDiv w:val="1"/>
      <w:marLeft w:val="0"/>
      <w:marRight w:val="0"/>
      <w:marTop w:val="0"/>
      <w:marBottom w:val="0"/>
      <w:divBdr>
        <w:top w:val="none" w:sz="0" w:space="0" w:color="auto"/>
        <w:left w:val="none" w:sz="0" w:space="0" w:color="auto"/>
        <w:bottom w:val="none" w:sz="0" w:space="0" w:color="auto"/>
        <w:right w:val="none" w:sz="0" w:space="0" w:color="auto"/>
      </w:divBdr>
    </w:div>
    <w:div w:id="1145506583">
      <w:bodyDiv w:val="1"/>
      <w:marLeft w:val="0"/>
      <w:marRight w:val="0"/>
      <w:marTop w:val="0"/>
      <w:marBottom w:val="0"/>
      <w:divBdr>
        <w:top w:val="none" w:sz="0" w:space="0" w:color="auto"/>
        <w:left w:val="none" w:sz="0" w:space="0" w:color="auto"/>
        <w:bottom w:val="none" w:sz="0" w:space="0" w:color="auto"/>
        <w:right w:val="none" w:sz="0" w:space="0" w:color="auto"/>
      </w:divBdr>
    </w:div>
    <w:div w:id="1146163535">
      <w:bodyDiv w:val="1"/>
      <w:marLeft w:val="0"/>
      <w:marRight w:val="0"/>
      <w:marTop w:val="0"/>
      <w:marBottom w:val="0"/>
      <w:divBdr>
        <w:top w:val="none" w:sz="0" w:space="0" w:color="auto"/>
        <w:left w:val="none" w:sz="0" w:space="0" w:color="auto"/>
        <w:bottom w:val="none" w:sz="0" w:space="0" w:color="auto"/>
        <w:right w:val="none" w:sz="0" w:space="0" w:color="auto"/>
      </w:divBdr>
    </w:div>
    <w:div w:id="1164202584">
      <w:bodyDiv w:val="1"/>
      <w:marLeft w:val="0"/>
      <w:marRight w:val="0"/>
      <w:marTop w:val="0"/>
      <w:marBottom w:val="0"/>
      <w:divBdr>
        <w:top w:val="none" w:sz="0" w:space="0" w:color="auto"/>
        <w:left w:val="none" w:sz="0" w:space="0" w:color="auto"/>
        <w:bottom w:val="none" w:sz="0" w:space="0" w:color="auto"/>
        <w:right w:val="none" w:sz="0" w:space="0" w:color="auto"/>
      </w:divBdr>
    </w:div>
    <w:div w:id="1167481921">
      <w:bodyDiv w:val="1"/>
      <w:marLeft w:val="0"/>
      <w:marRight w:val="0"/>
      <w:marTop w:val="0"/>
      <w:marBottom w:val="0"/>
      <w:divBdr>
        <w:top w:val="none" w:sz="0" w:space="0" w:color="auto"/>
        <w:left w:val="none" w:sz="0" w:space="0" w:color="auto"/>
        <w:bottom w:val="none" w:sz="0" w:space="0" w:color="auto"/>
        <w:right w:val="none" w:sz="0" w:space="0" w:color="auto"/>
      </w:divBdr>
    </w:div>
    <w:div w:id="1172455449">
      <w:bodyDiv w:val="1"/>
      <w:marLeft w:val="0"/>
      <w:marRight w:val="0"/>
      <w:marTop w:val="0"/>
      <w:marBottom w:val="0"/>
      <w:divBdr>
        <w:top w:val="none" w:sz="0" w:space="0" w:color="auto"/>
        <w:left w:val="none" w:sz="0" w:space="0" w:color="auto"/>
        <w:bottom w:val="none" w:sz="0" w:space="0" w:color="auto"/>
        <w:right w:val="none" w:sz="0" w:space="0" w:color="auto"/>
      </w:divBdr>
    </w:div>
    <w:div w:id="1211456722">
      <w:bodyDiv w:val="1"/>
      <w:marLeft w:val="0"/>
      <w:marRight w:val="0"/>
      <w:marTop w:val="0"/>
      <w:marBottom w:val="0"/>
      <w:divBdr>
        <w:top w:val="none" w:sz="0" w:space="0" w:color="auto"/>
        <w:left w:val="none" w:sz="0" w:space="0" w:color="auto"/>
        <w:bottom w:val="none" w:sz="0" w:space="0" w:color="auto"/>
        <w:right w:val="none" w:sz="0" w:space="0" w:color="auto"/>
      </w:divBdr>
    </w:div>
    <w:div w:id="1218784697">
      <w:bodyDiv w:val="1"/>
      <w:marLeft w:val="0"/>
      <w:marRight w:val="0"/>
      <w:marTop w:val="0"/>
      <w:marBottom w:val="0"/>
      <w:divBdr>
        <w:top w:val="none" w:sz="0" w:space="0" w:color="auto"/>
        <w:left w:val="none" w:sz="0" w:space="0" w:color="auto"/>
        <w:bottom w:val="none" w:sz="0" w:space="0" w:color="auto"/>
        <w:right w:val="none" w:sz="0" w:space="0" w:color="auto"/>
      </w:divBdr>
    </w:div>
    <w:div w:id="1238444498">
      <w:bodyDiv w:val="1"/>
      <w:marLeft w:val="0"/>
      <w:marRight w:val="0"/>
      <w:marTop w:val="0"/>
      <w:marBottom w:val="0"/>
      <w:divBdr>
        <w:top w:val="none" w:sz="0" w:space="0" w:color="auto"/>
        <w:left w:val="none" w:sz="0" w:space="0" w:color="auto"/>
        <w:bottom w:val="none" w:sz="0" w:space="0" w:color="auto"/>
        <w:right w:val="none" w:sz="0" w:space="0" w:color="auto"/>
      </w:divBdr>
    </w:div>
    <w:div w:id="1311596864">
      <w:bodyDiv w:val="1"/>
      <w:marLeft w:val="0"/>
      <w:marRight w:val="0"/>
      <w:marTop w:val="0"/>
      <w:marBottom w:val="0"/>
      <w:divBdr>
        <w:top w:val="none" w:sz="0" w:space="0" w:color="auto"/>
        <w:left w:val="none" w:sz="0" w:space="0" w:color="auto"/>
        <w:bottom w:val="none" w:sz="0" w:space="0" w:color="auto"/>
        <w:right w:val="none" w:sz="0" w:space="0" w:color="auto"/>
      </w:divBdr>
    </w:div>
    <w:div w:id="1365445079">
      <w:bodyDiv w:val="1"/>
      <w:marLeft w:val="0"/>
      <w:marRight w:val="0"/>
      <w:marTop w:val="0"/>
      <w:marBottom w:val="0"/>
      <w:divBdr>
        <w:top w:val="none" w:sz="0" w:space="0" w:color="auto"/>
        <w:left w:val="none" w:sz="0" w:space="0" w:color="auto"/>
        <w:bottom w:val="none" w:sz="0" w:space="0" w:color="auto"/>
        <w:right w:val="none" w:sz="0" w:space="0" w:color="auto"/>
      </w:divBdr>
    </w:div>
    <w:div w:id="1366902973">
      <w:bodyDiv w:val="1"/>
      <w:marLeft w:val="0"/>
      <w:marRight w:val="0"/>
      <w:marTop w:val="0"/>
      <w:marBottom w:val="0"/>
      <w:divBdr>
        <w:top w:val="none" w:sz="0" w:space="0" w:color="auto"/>
        <w:left w:val="none" w:sz="0" w:space="0" w:color="auto"/>
        <w:bottom w:val="none" w:sz="0" w:space="0" w:color="auto"/>
        <w:right w:val="none" w:sz="0" w:space="0" w:color="auto"/>
      </w:divBdr>
    </w:div>
    <w:div w:id="1369448939">
      <w:bodyDiv w:val="1"/>
      <w:marLeft w:val="0"/>
      <w:marRight w:val="0"/>
      <w:marTop w:val="0"/>
      <w:marBottom w:val="0"/>
      <w:divBdr>
        <w:top w:val="none" w:sz="0" w:space="0" w:color="auto"/>
        <w:left w:val="none" w:sz="0" w:space="0" w:color="auto"/>
        <w:bottom w:val="none" w:sz="0" w:space="0" w:color="auto"/>
        <w:right w:val="none" w:sz="0" w:space="0" w:color="auto"/>
      </w:divBdr>
    </w:div>
    <w:div w:id="1395002919">
      <w:bodyDiv w:val="1"/>
      <w:marLeft w:val="0"/>
      <w:marRight w:val="0"/>
      <w:marTop w:val="0"/>
      <w:marBottom w:val="0"/>
      <w:divBdr>
        <w:top w:val="none" w:sz="0" w:space="0" w:color="auto"/>
        <w:left w:val="none" w:sz="0" w:space="0" w:color="auto"/>
        <w:bottom w:val="none" w:sz="0" w:space="0" w:color="auto"/>
        <w:right w:val="none" w:sz="0" w:space="0" w:color="auto"/>
      </w:divBdr>
    </w:div>
    <w:div w:id="1398825286">
      <w:bodyDiv w:val="1"/>
      <w:marLeft w:val="0"/>
      <w:marRight w:val="0"/>
      <w:marTop w:val="0"/>
      <w:marBottom w:val="0"/>
      <w:divBdr>
        <w:top w:val="none" w:sz="0" w:space="0" w:color="auto"/>
        <w:left w:val="none" w:sz="0" w:space="0" w:color="auto"/>
        <w:bottom w:val="none" w:sz="0" w:space="0" w:color="auto"/>
        <w:right w:val="none" w:sz="0" w:space="0" w:color="auto"/>
      </w:divBdr>
    </w:div>
    <w:div w:id="1401487520">
      <w:bodyDiv w:val="1"/>
      <w:marLeft w:val="0"/>
      <w:marRight w:val="0"/>
      <w:marTop w:val="0"/>
      <w:marBottom w:val="0"/>
      <w:divBdr>
        <w:top w:val="none" w:sz="0" w:space="0" w:color="auto"/>
        <w:left w:val="none" w:sz="0" w:space="0" w:color="auto"/>
        <w:bottom w:val="none" w:sz="0" w:space="0" w:color="auto"/>
        <w:right w:val="none" w:sz="0" w:space="0" w:color="auto"/>
      </w:divBdr>
    </w:div>
    <w:div w:id="1437945528">
      <w:bodyDiv w:val="1"/>
      <w:marLeft w:val="0"/>
      <w:marRight w:val="0"/>
      <w:marTop w:val="0"/>
      <w:marBottom w:val="0"/>
      <w:divBdr>
        <w:top w:val="none" w:sz="0" w:space="0" w:color="auto"/>
        <w:left w:val="none" w:sz="0" w:space="0" w:color="auto"/>
        <w:bottom w:val="none" w:sz="0" w:space="0" w:color="auto"/>
        <w:right w:val="none" w:sz="0" w:space="0" w:color="auto"/>
      </w:divBdr>
    </w:div>
    <w:div w:id="1445995641">
      <w:bodyDiv w:val="1"/>
      <w:marLeft w:val="0"/>
      <w:marRight w:val="0"/>
      <w:marTop w:val="0"/>
      <w:marBottom w:val="0"/>
      <w:divBdr>
        <w:top w:val="none" w:sz="0" w:space="0" w:color="auto"/>
        <w:left w:val="none" w:sz="0" w:space="0" w:color="auto"/>
        <w:bottom w:val="none" w:sz="0" w:space="0" w:color="auto"/>
        <w:right w:val="none" w:sz="0" w:space="0" w:color="auto"/>
      </w:divBdr>
    </w:div>
    <w:div w:id="1507987046">
      <w:bodyDiv w:val="1"/>
      <w:marLeft w:val="0"/>
      <w:marRight w:val="0"/>
      <w:marTop w:val="0"/>
      <w:marBottom w:val="0"/>
      <w:divBdr>
        <w:top w:val="none" w:sz="0" w:space="0" w:color="auto"/>
        <w:left w:val="none" w:sz="0" w:space="0" w:color="auto"/>
        <w:bottom w:val="none" w:sz="0" w:space="0" w:color="auto"/>
        <w:right w:val="none" w:sz="0" w:space="0" w:color="auto"/>
      </w:divBdr>
    </w:div>
    <w:div w:id="1528369809">
      <w:bodyDiv w:val="1"/>
      <w:marLeft w:val="0"/>
      <w:marRight w:val="0"/>
      <w:marTop w:val="0"/>
      <w:marBottom w:val="0"/>
      <w:divBdr>
        <w:top w:val="none" w:sz="0" w:space="0" w:color="auto"/>
        <w:left w:val="none" w:sz="0" w:space="0" w:color="auto"/>
        <w:bottom w:val="none" w:sz="0" w:space="0" w:color="auto"/>
        <w:right w:val="none" w:sz="0" w:space="0" w:color="auto"/>
      </w:divBdr>
    </w:div>
    <w:div w:id="1540971035">
      <w:bodyDiv w:val="1"/>
      <w:marLeft w:val="0"/>
      <w:marRight w:val="0"/>
      <w:marTop w:val="0"/>
      <w:marBottom w:val="0"/>
      <w:divBdr>
        <w:top w:val="none" w:sz="0" w:space="0" w:color="auto"/>
        <w:left w:val="none" w:sz="0" w:space="0" w:color="auto"/>
        <w:bottom w:val="none" w:sz="0" w:space="0" w:color="auto"/>
        <w:right w:val="none" w:sz="0" w:space="0" w:color="auto"/>
      </w:divBdr>
    </w:div>
    <w:div w:id="1553616515">
      <w:bodyDiv w:val="1"/>
      <w:marLeft w:val="0"/>
      <w:marRight w:val="0"/>
      <w:marTop w:val="0"/>
      <w:marBottom w:val="0"/>
      <w:divBdr>
        <w:top w:val="none" w:sz="0" w:space="0" w:color="auto"/>
        <w:left w:val="none" w:sz="0" w:space="0" w:color="auto"/>
        <w:bottom w:val="none" w:sz="0" w:space="0" w:color="auto"/>
        <w:right w:val="none" w:sz="0" w:space="0" w:color="auto"/>
      </w:divBdr>
    </w:div>
    <w:div w:id="1573736849">
      <w:bodyDiv w:val="1"/>
      <w:marLeft w:val="0"/>
      <w:marRight w:val="0"/>
      <w:marTop w:val="0"/>
      <w:marBottom w:val="0"/>
      <w:divBdr>
        <w:top w:val="none" w:sz="0" w:space="0" w:color="auto"/>
        <w:left w:val="none" w:sz="0" w:space="0" w:color="auto"/>
        <w:bottom w:val="none" w:sz="0" w:space="0" w:color="auto"/>
        <w:right w:val="none" w:sz="0" w:space="0" w:color="auto"/>
      </w:divBdr>
    </w:div>
    <w:div w:id="1637493115">
      <w:bodyDiv w:val="1"/>
      <w:marLeft w:val="0"/>
      <w:marRight w:val="0"/>
      <w:marTop w:val="0"/>
      <w:marBottom w:val="0"/>
      <w:divBdr>
        <w:top w:val="none" w:sz="0" w:space="0" w:color="auto"/>
        <w:left w:val="none" w:sz="0" w:space="0" w:color="auto"/>
        <w:bottom w:val="none" w:sz="0" w:space="0" w:color="auto"/>
        <w:right w:val="none" w:sz="0" w:space="0" w:color="auto"/>
      </w:divBdr>
    </w:div>
    <w:div w:id="1656029628">
      <w:bodyDiv w:val="1"/>
      <w:marLeft w:val="0"/>
      <w:marRight w:val="0"/>
      <w:marTop w:val="0"/>
      <w:marBottom w:val="0"/>
      <w:divBdr>
        <w:top w:val="none" w:sz="0" w:space="0" w:color="auto"/>
        <w:left w:val="none" w:sz="0" w:space="0" w:color="auto"/>
        <w:bottom w:val="none" w:sz="0" w:space="0" w:color="auto"/>
        <w:right w:val="none" w:sz="0" w:space="0" w:color="auto"/>
      </w:divBdr>
    </w:div>
    <w:div w:id="1662585331">
      <w:bodyDiv w:val="1"/>
      <w:marLeft w:val="0"/>
      <w:marRight w:val="0"/>
      <w:marTop w:val="0"/>
      <w:marBottom w:val="0"/>
      <w:divBdr>
        <w:top w:val="none" w:sz="0" w:space="0" w:color="auto"/>
        <w:left w:val="none" w:sz="0" w:space="0" w:color="auto"/>
        <w:bottom w:val="none" w:sz="0" w:space="0" w:color="auto"/>
        <w:right w:val="none" w:sz="0" w:space="0" w:color="auto"/>
      </w:divBdr>
    </w:div>
    <w:div w:id="1663847752">
      <w:bodyDiv w:val="1"/>
      <w:marLeft w:val="0"/>
      <w:marRight w:val="0"/>
      <w:marTop w:val="0"/>
      <w:marBottom w:val="0"/>
      <w:divBdr>
        <w:top w:val="none" w:sz="0" w:space="0" w:color="auto"/>
        <w:left w:val="none" w:sz="0" w:space="0" w:color="auto"/>
        <w:bottom w:val="none" w:sz="0" w:space="0" w:color="auto"/>
        <w:right w:val="none" w:sz="0" w:space="0" w:color="auto"/>
      </w:divBdr>
    </w:div>
    <w:div w:id="1676495202">
      <w:bodyDiv w:val="1"/>
      <w:marLeft w:val="0"/>
      <w:marRight w:val="0"/>
      <w:marTop w:val="0"/>
      <w:marBottom w:val="0"/>
      <w:divBdr>
        <w:top w:val="none" w:sz="0" w:space="0" w:color="auto"/>
        <w:left w:val="none" w:sz="0" w:space="0" w:color="auto"/>
        <w:bottom w:val="none" w:sz="0" w:space="0" w:color="auto"/>
        <w:right w:val="none" w:sz="0" w:space="0" w:color="auto"/>
      </w:divBdr>
    </w:div>
    <w:div w:id="1727146442">
      <w:bodyDiv w:val="1"/>
      <w:marLeft w:val="0"/>
      <w:marRight w:val="0"/>
      <w:marTop w:val="0"/>
      <w:marBottom w:val="0"/>
      <w:divBdr>
        <w:top w:val="none" w:sz="0" w:space="0" w:color="auto"/>
        <w:left w:val="none" w:sz="0" w:space="0" w:color="auto"/>
        <w:bottom w:val="none" w:sz="0" w:space="0" w:color="auto"/>
        <w:right w:val="none" w:sz="0" w:space="0" w:color="auto"/>
      </w:divBdr>
    </w:div>
    <w:div w:id="1737891789">
      <w:bodyDiv w:val="1"/>
      <w:marLeft w:val="0"/>
      <w:marRight w:val="0"/>
      <w:marTop w:val="0"/>
      <w:marBottom w:val="0"/>
      <w:divBdr>
        <w:top w:val="none" w:sz="0" w:space="0" w:color="auto"/>
        <w:left w:val="none" w:sz="0" w:space="0" w:color="auto"/>
        <w:bottom w:val="none" w:sz="0" w:space="0" w:color="auto"/>
        <w:right w:val="none" w:sz="0" w:space="0" w:color="auto"/>
      </w:divBdr>
    </w:div>
    <w:div w:id="1764718071">
      <w:bodyDiv w:val="1"/>
      <w:marLeft w:val="0"/>
      <w:marRight w:val="0"/>
      <w:marTop w:val="0"/>
      <w:marBottom w:val="0"/>
      <w:divBdr>
        <w:top w:val="none" w:sz="0" w:space="0" w:color="auto"/>
        <w:left w:val="none" w:sz="0" w:space="0" w:color="auto"/>
        <w:bottom w:val="none" w:sz="0" w:space="0" w:color="auto"/>
        <w:right w:val="none" w:sz="0" w:space="0" w:color="auto"/>
      </w:divBdr>
    </w:div>
    <w:div w:id="1788810229">
      <w:bodyDiv w:val="1"/>
      <w:marLeft w:val="0"/>
      <w:marRight w:val="0"/>
      <w:marTop w:val="0"/>
      <w:marBottom w:val="0"/>
      <w:divBdr>
        <w:top w:val="none" w:sz="0" w:space="0" w:color="auto"/>
        <w:left w:val="none" w:sz="0" w:space="0" w:color="auto"/>
        <w:bottom w:val="none" w:sz="0" w:space="0" w:color="auto"/>
        <w:right w:val="none" w:sz="0" w:space="0" w:color="auto"/>
      </w:divBdr>
    </w:div>
    <w:div w:id="1790464454">
      <w:bodyDiv w:val="1"/>
      <w:marLeft w:val="0"/>
      <w:marRight w:val="0"/>
      <w:marTop w:val="0"/>
      <w:marBottom w:val="0"/>
      <w:divBdr>
        <w:top w:val="none" w:sz="0" w:space="0" w:color="auto"/>
        <w:left w:val="none" w:sz="0" w:space="0" w:color="auto"/>
        <w:bottom w:val="none" w:sz="0" w:space="0" w:color="auto"/>
        <w:right w:val="none" w:sz="0" w:space="0" w:color="auto"/>
      </w:divBdr>
    </w:div>
    <w:div w:id="1830976769">
      <w:bodyDiv w:val="1"/>
      <w:marLeft w:val="0"/>
      <w:marRight w:val="0"/>
      <w:marTop w:val="0"/>
      <w:marBottom w:val="0"/>
      <w:divBdr>
        <w:top w:val="none" w:sz="0" w:space="0" w:color="auto"/>
        <w:left w:val="none" w:sz="0" w:space="0" w:color="auto"/>
        <w:bottom w:val="none" w:sz="0" w:space="0" w:color="auto"/>
        <w:right w:val="none" w:sz="0" w:space="0" w:color="auto"/>
      </w:divBdr>
    </w:div>
    <w:div w:id="1846702715">
      <w:bodyDiv w:val="1"/>
      <w:marLeft w:val="0"/>
      <w:marRight w:val="0"/>
      <w:marTop w:val="0"/>
      <w:marBottom w:val="0"/>
      <w:divBdr>
        <w:top w:val="none" w:sz="0" w:space="0" w:color="auto"/>
        <w:left w:val="none" w:sz="0" w:space="0" w:color="auto"/>
        <w:bottom w:val="none" w:sz="0" w:space="0" w:color="auto"/>
        <w:right w:val="none" w:sz="0" w:space="0" w:color="auto"/>
      </w:divBdr>
    </w:div>
    <w:div w:id="1867326027">
      <w:bodyDiv w:val="1"/>
      <w:marLeft w:val="0"/>
      <w:marRight w:val="0"/>
      <w:marTop w:val="0"/>
      <w:marBottom w:val="0"/>
      <w:divBdr>
        <w:top w:val="none" w:sz="0" w:space="0" w:color="auto"/>
        <w:left w:val="none" w:sz="0" w:space="0" w:color="auto"/>
        <w:bottom w:val="none" w:sz="0" w:space="0" w:color="auto"/>
        <w:right w:val="none" w:sz="0" w:space="0" w:color="auto"/>
      </w:divBdr>
    </w:div>
    <w:div w:id="1880623154">
      <w:bodyDiv w:val="1"/>
      <w:marLeft w:val="0"/>
      <w:marRight w:val="0"/>
      <w:marTop w:val="0"/>
      <w:marBottom w:val="0"/>
      <w:divBdr>
        <w:top w:val="none" w:sz="0" w:space="0" w:color="auto"/>
        <w:left w:val="none" w:sz="0" w:space="0" w:color="auto"/>
        <w:bottom w:val="none" w:sz="0" w:space="0" w:color="auto"/>
        <w:right w:val="none" w:sz="0" w:space="0" w:color="auto"/>
      </w:divBdr>
    </w:div>
    <w:div w:id="1938100528">
      <w:bodyDiv w:val="1"/>
      <w:marLeft w:val="0"/>
      <w:marRight w:val="0"/>
      <w:marTop w:val="0"/>
      <w:marBottom w:val="0"/>
      <w:divBdr>
        <w:top w:val="none" w:sz="0" w:space="0" w:color="auto"/>
        <w:left w:val="none" w:sz="0" w:space="0" w:color="auto"/>
        <w:bottom w:val="none" w:sz="0" w:space="0" w:color="auto"/>
        <w:right w:val="none" w:sz="0" w:space="0" w:color="auto"/>
      </w:divBdr>
    </w:div>
    <w:div w:id="1948348830">
      <w:bodyDiv w:val="1"/>
      <w:marLeft w:val="0"/>
      <w:marRight w:val="0"/>
      <w:marTop w:val="0"/>
      <w:marBottom w:val="0"/>
      <w:divBdr>
        <w:top w:val="none" w:sz="0" w:space="0" w:color="auto"/>
        <w:left w:val="none" w:sz="0" w:space="0" w:color="auto"/>
        <w:bottom w:val="none" w:sz="0" w:space="0" w:color="auto"/>
        <w:right w:val="none" w:sz="0" w:space="0" w:color="auto"/>
      </w:divBdr>
    </w:div>
    <w:div w:id="1962807032">
      <w:bodyDiv w:val="1"/>
      <w:marLeft w:val="0"/>
      <w:marRight w:val="0"/>
      <w:marTop w:val="0"/>
      <w:marBottom w:val="0"/>
      <w:divBdr>
        <w:top w:val="none" w:sz="0" w:space="0" w:color="auto"/>
        <w:left w:val="none" w:sz="0" w:space="0" w:color="auto"/>
        <w:bottom w:val="none" w:sz="0" w:space="0" w:color="auto"/>
        <w:right w:val="none" w:sz="0" w:space="0" w:color="auto"/>
      </w:divBdr>
    </w:div>
    <w:div w:id="1997103619">
      <w:bodyDiv w:val="1"/>
      <w:marLeft w:val="0"/>
      <w:marRight w:val="0"/>
      <w:marTop w:val="0"/>
      <w:marBottom w:val="0"/>
      <w:divBdr>
        <w:top w:val="none" w:sz="0" w:space="0" w:color="auto"/>
        <w:left w:val="none" w:sz="0" w:space="0" w:color="auto"/>
        <w:bottom w:val="none" w:sz="0" w:space="0" w:color="auto"/>
        <w:right w:val="none" w:sz="0" w:space="0" w:color="auto"/>
      </w:divBdr>
    </w:div>
    <w:div w:id="2030594790">
      <w:bodyDiv w:val="1"/>
      <w:marLeft w:val="0"/>
      <w:marRight w:val="0"/>
      <w:marTop w:val="0"/>
      <w:marBottom w:val="0"/>
      <w:divBdr>
        <w:top w:val="none" w:sz="0" w:space="0" w:color="auto"/>
        <w:left w:val="none" w:sz="0" w:space="0" w:color="auto"/>
        <w:bottom w:val="none" w:sz="0" w:space="0" w:color="auto"/>
        <w:right w:val="none" w:sz="0" w:space="0" w:color="auto"/>
      </w:divBdr>
    </w:div>
    <w:div w:id="2041783417">
      <w:bodyDiv w:val="1"/>
      <w:marLeft w:val="0"/>
      <w:marRight w:val="0"/>
      <w:marTop w:val="0"/>
      <w:marBottom w:val="0"/>
      <w:divBdr>
        <w:top w:val="none" w:sz="0" w:space="0" w:color="auto"/>
        <w:left w:val="none" w:sz="0" w:space="0" w:color="auto"/>
        <w:bottom w:val="none" w:sz="0" w:space="0" w:color="auto"/>
        <w:right w:val="none" w:sz="0" w:space="0" w:color="auto"/>
      </w:divBdr>
    </w:div>
    <w:div w:id="2071150008">
      <w:bodyDiv w:val="1"/>
      <w:marLeft w:val="0"/>
      <w:marRight w:val="0"/>
      <w:marTop w:val="0"/>
      <w:marBottom w:val="0"/>
      <w:divBdr>
        <w:top w:val="none" w:sz="0" w:space="0" w:color="auto"/>
        <w:left w:val="none" w:sz="0" w:space="0" w:color="auto"/>
        <w:bottom w:val="none" w:sz="0" w:space="0" w:color="auto"/>
        <w:right w:val="none" w:sz="0" w:space="0" w:color="auto"/>
      </w:divBdr>
    </w:div>
    <w:div w:id="2080714959">
      <w:bodyDiv w:val="1"/>
      <w:marLeft w:val="0"/>
      <w:marRight w:val="0"/>
      <w:marTop w:val="0"/>
      <w:marBottom w:val="0"/>
      <w:divBdr>
        <w:top w:val="none" w:sz="0" w:space="0" w:color="auto"/>
        <w:left w:val="none" w:sz="0" w:space="0" w:color="auto"/>
        <w:bottom w:val="none" w:sz="0" w:space="0" w:color="auto"/>
        <w:right w:val="none" w:sz="0" w:space="0" w:color="auto"/>
      </w:divBdr>
    </w:div>
    <w:div w:id="2116169053">
      <w:bodyDiv w:val="1"/>
      <w:marLeft w:val="0"/>
      <w:marRight w:val="0"/>
      <w:marTop w:val="0"/>
      <w:marBottom w:val="0"/>
      <w:divBdr>
        <w:top w:val="none" w:sz="0" w:space="0" w:color="auto"/>
        <w:left w:val="none" w:sz="0" w:space="0" w:color="auto"/>
        <w:bottom w:val="none" w:sz="0" w:space="0" w:color="auto"/>
        <w:right w:val="none" w:sz="0" w:space="0" w:color="auto"/>
      </w:divBdr>
    </w:div>
    <w:div w:id="2116513176">
      <w:bodyDiv w:val="1"/>
      <w:marLeft w:val="0"/>
      <w:marRight w:val="0"/>
      <w:marTop w:val="0"/>
      <w:marBottom w:val="0"/>
      <w:divBdr>
        <w:top w:val="none" w:sz="0" w:space="0" w:color="auto"/>
        <w:left w:val="none" w:sz="0" w:space="0" w:color="auto"/>
        <w:bottom w:val="none" w:sz="0" w:space="0" w:color="auto"/>
        <w:right w:val="none" w:sz="0" w:space="0" w:color="auto"/>
      </w:divBdr>
    </w:div>
    <w:div w:id="2135783810">
      <w:bodyDiv w:val="1"/>
      <w:marLeft w:val="0"/>
      <w:marRight w:val="0"/>
      <w:marTop w:val="0"/>
      <w:marBottom w:val="0"/>
      <w:divBdr>
        <w:top w:val="none" w:sz="0" w:space="0" w:color="auto"/>
        <w:left w:val="none" w:sz="0" w:space="0" w:color="auto"/>
        <w:bottom w:val="none" w:sz="0" w:space="0" w:color="auto"/>
        <w:right w:val="none" w:sz="0" w:space="0" w:color="auto"/>
      </w:divBdr>
    </w:div>
    <w:div w:id="2144343694">
      <w:bodyDiv w:val="1"/>
      <w:marLeft w:val="0"/>
      <w:marRight w:val="0"/>
      <w:marTop w:val="0"/>
      <w:marBottom w:val="0"/>
      <w:divBdr>
        <w:top w:val="none" w:sz="0" w:space="0" w:color="auto"/>
        <w:left w:val="none" w:sz="0" w:space="0" w:color="auto"/>
        <w:bottom w:val="none" w:sz="0" w:space="0" w:color="auto"/>
        <w:right w:val="none" w:sz="0" w:space="0" w:color="auto"/>
      </w:divBdr>
    </w:div>
    <w:div w:id="21473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3"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Intranet.barcapint.com\Dfs-emea\User\ldn\0144\ghantiwu\Misc\PIL\TNEpaperFIGURESfinalBACKUP_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ranet.barcapint.com\Dfs-emea\User\ldn\0144\ghantiwu\Misc\PIL\TNEpaperFIGURESfinalBACKUP_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ul\Documents\TNEpaperFIGURESfinalBACKUP_v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ul\Documents\TNEpaperFIGURESfinalBACKUP_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tranet.barcapint.com\Dfs-emea\User\ldn\0144\ghantiwu\Misc\PIL\TNEpaperFIGURESfinalBACKUP_v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aul\Documents\TNEpaperFIGURESfinalBACKUP_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solidFill>
                  <a:srgbClr val="5F705C"/>
                </a:solidFill>
              </a:defRPr>
            </a:pPr>
            <a:r>
              <a:rPr lang="en-US" sz="900">
                <a:solidFill>
                  <a:srgbClr val="5F705C"/>
                </a:solidFill>
              </a:rPr>
              <a:t>Figure 1: UK domicile, onshore overseas and offshore students at UK universities, 1996/7 to 2016/17</a:t>
            </a:r>
          </a:p>
        </c:rich>
      </c:tx>
      <c:overlay val="0"/>
    </c:title>
    <c:autoTitleDeleted val="0"/>
    <c:plotArea>
      <c:layout/>
      <c:lineChart>
        <c:grouping val="standard"/>
        <c:varyColors val="0"/>
        <c:ser>
          <c:idx val="0"/>
          <c:order val="0"/>
          <c:tx>
            <c:strRef>
              <c:f>[1]T1overallenrols!$G$2</c:f>
              <c:strCache>
                <c:ptCount val="1"/>
                <c:pt idx="0">
                  <c:v>UK domicile</c:v>
                </c:pt>
              </c:strCache>
            </c:strRef>
          </c:tx>
          <c:marker>
            <c:symbol val="none"/>
          </c:marker>
          <c:cat>
            <c:numRef>
              <c:f>[1]T1overallenrols!$F$3:$F$23</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[1]T1overallenrols!$G$3:$G$23</c:f>
              <c:numCache>
                <c:formatCode>General</c:formatCode>
                <c:ptCount val="21"/>
                <c:pt idx="0">
                  <c:v>1558</c:v>
                </c:pt>
                <c:pt idx="1">
                  <c:v>1587</c:v>
                </c:pt>
                <c:pt idx="2">
                  <c:v>1626</c:v>
                </c:pt>
                <c:pt idx="3">
                  <c:v>1687</c:v>
                </c:pt>
                <c:pt idx="4">
                  <c:v>1760</c:v>
                </c:pt>
                <c:pt idx="5">
                  <c:v>1843</c:v>
                </c:pt>
                <c:pt idx="6">
                  <c:v>1900</c:v>
                </c:pt>
                <c:pt idx="7">
                  <c:v>1947</c:v>
                </c:pt>
                <c:pt idx="8">
                  <c:v>1970</c:v>
                </c:pt>
                <c:pt idx="9">
                  <c:v>2006</c:v>
                </c:pt>
                <c:pt idx="10">
                  <c:v>2012</c:v>
                </c:pt>
                <c:pt idx="11">
                  <c:v>1964</c:v>
                </c:pt>
                <c:pt idx="12">
                  <c:v>2027</c:v>
                </c:pt>
                <c:pt idx="13">
                  <c:v>2088</c:v>
                </c:pt>
                <c:pt idx="14">
                  <c:v>2073</c:v>
                </c:pt>
                <c:pt idx="15">
                  <c:v>2061</c:v>
                </c:pt>
                <c:pt idx="16">
                  <c:v>1915</c:v>
                </c:pt>
                <c:pt idx="17">
                  <c:v>1863</c:v>
                </c:pt>
                <c:pt idx="18">
                  <c:v>1829</c:v>
                </c:pt>
                <c:pt idx="19">
                  <c:v>1842</c:v>
                </c:pt>
                <c:pt idx="20">
                  <c:v>1875</c:v>
                </c:pt>
              </c:numCache>
            </c:numRef>
          </c:val>
          <c:smooth val="0"/>
          <c:extLst xmlns:c16r2="http://schemas.microsoft.com/office/drawing/2015/06/chart">
            <c:ext xmlns:c16="http://schemas.microsoft.com/office/drawing/2014/chart" uri="{C3380CC4-5D6E-409C-BE32-E72D297353CC}">
              <c16:uniqueId val="{00000000-EB7D-441C-8CF9-7CF2B277667D}"/>
            </c:ext>
          </c:extLst>
        </c:ser>
        <c:ser>
          <c:idx val="1"/>
          <c:order val="1"/>
          <c:tx>
            <c:strRef>
              <c:f>[1]T1overallenrols!$H$2</c:f>
              <c:strCache>
                <c:ptCount val="1"/>
                <c:pt idx="0">
                  <c:v>Onshore overseas</c:v>
                </c:pt>
              </c:strCache>
            </c:strRef>
          </c:tx>
          <c:marker>
            <c:symbol val="none"/>
          </c:marker>
          <c:cat>
            <c:numRef>
              <c:f>[1]T1overallenrols!$F$3:$F$23</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[1]T1overallenrols!$H$3:$H$23</c:f>
              <c:numCache>
                <c:formatCode>General</c:formatCode>
                <c:ptCount val="21"/>
                <c:pt idx="0">
                  <c:v>198</c:v>
                </c:pt>
                <c:pt idx="1">
                  <c:v>213</c:v>
                </c:pt>
                <c:pt idx="2">
                  <c:v>219</c:v>
                </c:pt>
                <c:pt idx="3">
                  <c:v>225</c:v>
                </c:pt>
                <c:pt idx="4">
                  <c:v>231</c:v>
                </c:pt>
                <c:pt idx="5">
                  <c:v>243</c:v>
                </c:pt>
                <c:pt idx="6">
                  <c:v>275</c:v>
                </c:pt>
                <c:pt idx="7">
                  <c:v>300</c:v>
                </c:pt>
                <c:pt idx="8">
                  <c:v>318</c:v>
                </c:pt>
                <c:pt idx="9">
                  <c:v>330</c:v>
                </c:pt>
                <c:pt idx="10">
                  <c:v>351</c:v>
                </c:pt>
                <c:pt idx="11">
                  <c:v>342</c:v>
                </c:pt>
                <c:pt idx="12">
                  <c:v>369</c:v>
                </c:pt>
                <c:pt idx="13">
                  <c:v>406</c:v>
                </c:pt>
                <c:pt idx="14">
                  <c:v>428</c:v>
                </c:pt>
                <c:pt idx="15">
                  <c:v>435</c:v>
                </c:pt>
                <c:pt idx="16">
                  <c:v>424</c:v>
                </c:pt>
                <c:pt idx="17">
                  <c:v>435</c:v>
                </c:pt>
                <c:pt idx="18">
                  <c:v>437</c:v>
                </c:pt>
                <c:pt idx="19">
                  <c:v>438</c:v>
                </c:pt>
                <c:pt idx="20">
                  <c:v>443</c:v>
                </c:pt>
              </c:numCache>
            </c:numRef>
          </c:val>
          <c:smooth val="0"/>
          <c:extLst xmlns:c16r2="http://schemas.microsoft.com/office/drawing/2015/06/chart">
            <c:ext xmlns:c16="http://schemas.microsoft.com/office/drawing/2014/chart" uri="{C3380CC4-5D6E-409C-BE32-E72D297353CC}">
              <c16:uniqueId val="{00000001-EB7D-441C-8CF9-7CF2B277667D}"/>
            </c:ext>
          </c:extLst>
        </c:ser>
        <c:ser>
          <c:idx val="2"/>
          <c:order val="2"/>
          <c:tx>
            <c:strRef>
              <c:f>[1]T1overallenrols!$I$2</c:f>
              <c:strCache>
                <c:ptCount val="1"/>
                <c:pt idx="0">
                  <c:v>Offshore</c:v>
                </c:pt>
              </c:strCache>
            </c:strRef>
          </c:tx>
          <c:spPr>
            <a:ln>
              <a:solidFill>
                <a:schemeClr val="accent6">
                  <a:lumMod val="75000"/>
                </a:schemeClr>
              </a:solidFill>
            </a:ln>
          </c:spPr>
          <c:marker>
            <c:symbol val="none"/>
          </c:marker>
          <c:cat>
            <c:numRef>
              <c:f>[1]T1overallenrols!$F$3:$F$23</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[1]T1overallenrols!$I$3:$I$23</c:f>
              <c:numCache>
                <c:formatCode>General</c:formatCode>
                <c:ptCount val="21"/>
                <c:pt idx="0">
                  <c:v>140</c:v>
                </c:pt>
                <c:pt idx="5">
                  <c:v>190</c:v>
                </c:pt>
                <c:pt idx="12">
                  <c:v>246</c:v>
                </c:pt>
                <c:pt idx="13">
                  <c:v>248</c:v>
                </c:pt>
                <c:pt idx="14">
                  <c:v>265</c:v>
                </c:pt>
                <c:pt idx="15">
                  <c:v>320</c:v>
                </c:pt>
                <c:pt idx="16">
                  <c:v>339</c:v>
                </c:pt>
                <c:pt idx="17">
                  <c:v>363</c:v>
                </c:pt>
                <c:pt idx="18">
                  <c:v>383</c:v>
                </c:pt>
                <c:pt idx="19">
                  <c:v>393</c:v>
                </c:pt>
                <c:pt idx="20">
                  <c:v>359</c:v>
                </c:pt>
              </c:numCache>
            </c:numRef>
          </c:val>
          <c:smooth val="0"/>
          <c:extLst xmlns:c16r2="http://schemas.microsoft.com/office/drawing/2015/06/chart">
            <c:ext xmlns:c16="http://schemas.microsoft.com/office/drawing/2014/chart" uri="{C3380CC4-5D6E-409C-BE32-E72D297353CC}">
              <c16:uniqueId val="{00000002-EB7D-441C-8CF9-7CF2B277667D}"/>
            </c:ext>
          </c:extLst>
        </c:ser>
        <c:dLbls>
          <c:showLegendKey val="0"/>
          <c:showVal val="0"/>
          <c:showCatName val="0"/>
          <c:showSerName val="0"/>
          <c:showPercent val="0"/>
          <c:showBubbleSize val="0"/>
        </c:dLbls>
        <c:smooth val="0"/>
        <c:axId val="-1196948192"/>
        <c:axId val="-1196955264"/>
      </c:lineChart>
      <c:catAx>
        <c:axId val="-1196948192"/>
        <c:scaling>
          <c:orientation val="minMax"/>
        </c:scaling>
        <c:delete val="0"/>
        <c:axPos val="b"/>
        <c:numFmt formatCode="General" sourceLinked="1"/>
        <c:majorTickMark val="none"/>
        <c:minorTickMark val="none"/>
        <c:tickLblPos val="nextTo"/>
        <c:crossAx val="-1196955264"/>
        <c:crosses val="autoZero"/>
        <c:auto val="1"/>
        <c:lblAlgn val="ctr"/>
        <c:lblOffset val="100"/>
        <c:noMultiLvlLbl val="0"/>
      </c:catAx>
      <c:valAx>
        <c:axId val="-1196955264"/>
        <c:scaling>
          <c:orientation val="minMax"/>
        </c:scaling>
        <c:delete val="0"/>
        <c:axPos val="l"/>
        <c:majorGridlines/>
        <c:numFmt formatCode="General" sourceLinked="1"/>
        <c:majorTickMark val="none"/>
        <c:minorTickMark val="none"/>
        <c:tickLblPos val="nextTo"/>
        <c:spPr>
          <a:ln w="9525">
            <a:noFill/>
          </a:ln>
        </c:spPr>
        <c:crossAx val="-1196948192"/>
        <c:crosses val="autoZero"/>
        <c:crossBetween val="between"/>
      </c:valAx>
      <c:spPr>
        <a:solidFill>
          <a:srgbClr val="DFE0DB"/>
        </a:solidFill>
      </c:spPr>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solidFill>
                  <a:srgbClr val="5F705C"/>
                </a:solidFill>
              </a:defRPr>
            </a:pPr>
            <a:r>
              <a:rPr lang="en-US" sz="900">
                <a:solidFill>
                  <a:srgbClr val="5F705C"/>
                </a:solidFill>
              </a:rPr>
              <a:t>Figure 2:  UK domicile, onshore overseas and ofshore students as % of total students, 1996/97, 2007/08 and 2015/16</a:t>
            </a:r>
          </a:p>
        </c:rich>
      </c:tx>
      <c:overlay val="0"/>
    </c:title>
    <c:autoTitleDeleted val="0"/>
    <c:plotArea>
      <c:layout/>
      <c:barChart>
        <c:barDir val="col"/>
        <c:grouping val="clustered"/>
        <c:varyColors val="0"/>
        <c:ser>
          <c:idx val="0"/>
          <c:order val="0"/>
          <c:tx>
            <c:strRef>
              <c:f>'[1]F2%overallenrols'!$M$3</c:f>
              <c:strCache>
                <c:ptCount val="1"/>
                <c:pt idx="0">
                  <c:v>1996/97</c:v>
                </c:pt>
              </c:strCache>
            </c:strRef>
          </c:tx>
          <c:invertIfNegative val="0"/>
          <c:cat>
            <c:strRef>
              <c:f>'[1]F2%overallenrols'!$N$2:$Q$2</c:f>
              <c:strCache>
                <c:ptCount val="4"/>
                <c:pt idx="0">
                  <c:v>%UK domicile</c:v>
                </c:pt>
                <c:pt idx="1">
                  <c:v>%onshore overseas</c:v>
                </c:pt>
                <c:pt idx="2">
                  <c:v>%offshore</c:v>
                </c:pt>
                <c:pt idx="3">
                  <c:v>%overseas students</c:v>
                </c:pt>
              </c:strCache>
            </c:strRef>
          </c:cat>
          <c:val>
            <c:numRef>
              <c:f>'[1]F2%overallenrols'!$N$3:$Q$3</c:f>
              <c:numCache>
                <c:formatCode>General</c:formatCode>
                <c:ptCount val="4"/>
                <c:pt idx="0">
                  <c:v>82.172995780590625</c:v>
                </c:pt>
                <c:pt idx="1">
                  <c:v>10.44303797468355</c:v>
                </c:pt>
                <c:pt idx="2">
                  <c:v>7.3839662447257366</c:v>
                </c:pt>
                <c:pt idx="3">
                  <c:v>17.827004219409289</c:v>
                </c:pt>
              </c:numCache>
            </c:numRef>
          </c:val>
          <c:extLst xmlns:c16r2="http://schemas.microsoft.com/office/drawing/2015/06/chart">
            <c:ext xmlns:c16="http://schemas.microsoft.com/office/drawing/2014/chart" uri="{C3380CC4-5D6E-409C-BE32-E72D297353CC}">
              <c16:uniqueId val="{00000000-C173-4B81-966C-FE0B2DB385E0}"/>
            </c:ext>
          </c:extLst>
        </c:ser>
        <c:ser>
          <c:idx val="1"/>
          <c:order val="1"/>
          <c:tx>
            <c:strRef>
              <c:f>'[1]F2%overallenrols'!$M$4</c:f>
              <c:strCache>
                <c:ptCount val="1"/>
                <c:pt idx="0">
                  <c:v>2007/08</c:v>
                </c:pt>
              </c:strCache>
            </c:strRef>
          </c:tx>
          <c:invertIfNegative val="0"/>
          <c:cat>
            <c:strRef>
              <c:f>'[1]F2%overallenrols'!$N$2:$Q$2</c:f>
              <c:strCache>
                <c:ptCount val="4"/>
                <c:pt idx="0">
                  <c:v>%UK domicile</c:v>
                </c:pt>
                <c:pt idx="1">
                  <c:v>%onshore overseas</c:v>
                </c:pt>
                <c:pt idx="2">
                  <c:v>%offshore</c:v>
                </c:pt>
                <c:pt idx="3">
                  <c:v>%overseas students</c:v>
                </c:pt>
              </c:strCache>
            </c:strRef>
          </c:cat>
          <c:val>
            <c:numRef>
              <c:f>'[1]F2%overallenrols'!$N$4:$Q$4</c:f>
              <c:numCache>
                <c:formatCode>General</c:formatCode>
                <c:ptCount val="4"/>
                <c:pt idx="0">
                  <c:v>78.465840990811031</c:v>
                </c:pt>
                <c:pt idx="1">
                  <c:v>13.6636036755893</c:v>
                </c:pt>
                <c:pt idx="2">
                  <c:v>7.8705553335996798</c:v>
                </c:pt>
                <c:pt idx="3">
                  <c:v>21.534159009188979</c:v>
                </c:pt>
              </c:numCache>
            </c:numRef>
          </c:val>
          <c:extLst xmlns:c16r2="http://schemas.microsoft.com/office/drawing/2015/06/chart">
            <c:ext xmlns:c16="http://schemas.microsoft.com/office/drawing/2014/chart" uri="{C3380CC4-5D6E-409C-BE32-E72D297353CC}">
              <c16:uniqueId val="{00000001-C173-4B81-966C-FE0B2DB385E0}"/>
            </c:ext>
          </c:extLst>
        </c:ser>
        <c:ser>
          <c:idx val="2"/>
          <c:order val="2"/>
          <c:tx>
            <c:strRef>
              <c:f>'[1]F2%overallenrols'!$M$5</c:f>
              <c:strCache>
                <c:ptCount val="1"/>
                <c:pt idx="0">
                  <c:v>2015/16</c:v>
                </c:pt>
              </c:strCache>
            </c:strRef>
          </c:tx>
          <c:spPr>
            <a:solidFill>
              <a:schemeClr val="accent6"/>
            </a:solidFill>
          </c:spPr>
          <c:invertIfNegative val="0"/>
          <c:cat>
            <c:strRef>
              <c:f>'[1]F2%overallenrols'!$N$2:$Q$2</c:f>
              <c:strCache>
                <c:ptCount val="4"/>
                <c:pt idx="0">
                  <c:v>%UK domicile</c:v>
                </c:pt>
                <c:pt idx="1">
                  <c:v>%onshore overseas</c:v>
                </c:pt>
                <c:pt idx="2">
                  <c:v>%offshore</c:v>
                </c:pt>
                <c:pt idx="3">
                  <c:v>%overseas students</c:v>
                </c:pt>
              </c:strCache>
            </c:strRef>
          </c:cat>
          <c:val>
            <c:numRef>
              <c:f>'[1]F2%overallenrols'!$N$5:$Q$5</c:f>
              <c:numCache>
                <c:formatCode>General</c:formatCode>
                <c:ptCount val="4"/>
                <c:pt idx="0">
                  <c:v>68.911335578002223</c:v>
                </c:pt>
                <c:pt idx="1">
                  <c:v>16.386083052749719</c:v>
                </c:pt>
                <c:pt idx="2">
                  <c:v>14.70258136924804</c:v>
                </c:pt>
                <c:pt idx="3">
                  <c:v>31.088664421997741</c:v>
                </c:pt>
              </c:numCache>
            </c:numRef>
          </c:val>
          <c:extLst xmlns:c16r2="http://schemas.microsoft.com/office/drawing/2015/06/chart">
            <c:ext xmlns:c16="http://schemas.microsoft.com/office/drawing/2014/chart" uri="{C3380CC4-5D6E-409C-BE32-E72D297353CC}">
              <c16:uniqueId val="{00000002-C173-4B81-966C-FE0B2DB385E0}"/>
            </c:ext>
          </c:extLst>
        </c:ser>
        <c:dLbls>
          <c:showLegendKey val="0"/>
          <c:showVal val="0"/>
          <c:showCatName val="0"/>
          <c:showSerName val="0"/>
          <c:showPercent val="0"/>
          <c:showBubbleSize val="0"/>
        </c:dLbls>
        <c:gapWidth val="150"/>
        <c:axId val="-1196957984"/>
        <c:axId val="-1196940576"/>
      </c:barChart>
      <c:catAx>
        <c:axId val="-1196957984"/>
        <c:scaling>
          <c:orientation val="minMax"/>
        </c:scaling>
        <c:delete val="0"/>
        <c:axPos val="b"/>
        <c:numFmt formatCode="General" sourceLinked="0"/>
        <c:majorTickMark val="none"/>
        <c:minorTickMark val="none"/>
        <c:tickLblPos val="nextTo"/>
        <c:crossAx val="-1196940576"/>
        <c:crosses val="autoZero"/>
        <c:auto val="1"/>
        <c:lblAlgn val="ctr"/>
        <c:lblOffset val="100"/>
        <c:noMultiLvlLbl val="0"/>
      </c:catAx>
      <c:valAx>
        <c:axId val="-1196940576"/>
        <c:scaling>
          <c:orientation val="minMax"/>
        </c:scaling>
        <c:delete val="0"/>
        <c:axPos val="l"/>
        <c:majorGridlines/>
        <c:numFmt formatCode="General" sourceLinked="1"/>
        <c:majorTickMark val="none"/>
        <c:minorTickMark val="none"/>
        <c:tickLblPos val="nextTo"/>
        <c:crossAx val="-1196957984"/>
        <c:crosses val="autoZero"/>
        <c:crossBetween val="between"/>
      </c:valAx>
      <c:spPr>
        <a:solidFill>
          <a:srgbClr val="DFE0DB"/>
        </a:solidFill>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3: Offshore enrolments by type of provision, 2007/08 - 20016/17</a:t>
            </a:r>
            <a:endParaRPr lang="en-GB"/>
          </a:p>
        </c:rich>
      </c:tx>
      <c:overlay val="0"/>
      <c:spPr>
        <a:noFill/>
        <a:ln>
          <a:noFill/>
        </a:ln>
        <a:effectLst/>
      </c:spPr>
    </c:title>
    <c:autoTitleDeleted val="0"/>
    <c:plotArea>
      <c:layout/>
      <c:lineChart>
        <c:grouping val="standard"/>
        <c:varyColors val="0"/>
        <c:ser>
          <c:idx val="0"/>
          <c:order val="0"/>
          <c:tx>
            <c:strRef>
              <c:f>'C:\Users\Paul\Documents\[tneODLtrend.xlsx]offshares'!$D$3</c:f>
              <c:strCache>
                <c:ptCount val="1"/>
                <c:pt idx="0">
                  <c:v>IBC</c:v>
                </c:pt>
              </c:strCache>
            </c:strRef>
          </c:tx>
          <c:spPr>
            <a:ln w="28575" cap="rnd">
              <a:solidFill>
                <a:schemeClr val="accent1"/>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[4]offshares!$D$4:$D$13</c:f>
              <c:numCache>
                <c:formatCode>General</c:formatCode>
                <c:ptCount val="10"/>
                <c:pt idx="0">
                  <c:v>7125</c:v>
                </c:pt>
                <c:pt idx="1">
                  <c:v>29655</c:v>
                </c:pt>
                <c:pt idx="2">
                  <c:v>11409</c:v>
                </c:pt>
                <c:pt idx="3">
                  <c:v>12315</c:v>
                </c:pt>
                <c:pt idx="4">
                  <c:v>15146</c:v>
                </c:pt>
                <c:pt idx="5">
                  <c:v>17522</c:v>
                </c:pt>
                <c:pt idx="6">
                  <c:v>19614</c:v>
                </c:pt>
                <c:pt idx="7">
                  <c:v>23109</c:v>
                </c:pt>
                <c:pt idx="8">
                  <c:v>23106</c:v>
                </c:pt>
                <c:pt idx="9">
                  <c:v>25620</c:v>
                </c:pt>
              </c:numCache>
            </c:numRef>
          </c:val>
          <c:smooth val="0"/>
          <c:extLst xmlns:c16r2="http://schemas.microsoft.com/office/drawing/2015/06/chart">
            <c:ext xmlns:c16="http://schemas.microsoft.com/office/drawing/2014/chart" uri="{C3380CC4-5D6E-409C-BE32-E72D297353CC}">
              <c16:uniqueId val="{00000000-91B1-49F7-94EC-4D7746787C89}"/>
            </c:ext>
          </c:extLst>
        </c:ser>
        <c:ser>
          <c:idx val="1"/>
          <c:order val="1"/>
          <c:tx>
            <c:strRef>
              <c:f>'C:\Users\Paul\Documents\[tneODLtrend.xlsx]offshares'!$E$3</c:f>
              <c:strCache>
                <c:ptCount val="1"/>
                <c:pt idx="0">
                  <c:v>FVA partner degree</c:v>
                </c:pt>
              </c:strCache>
            </c:strRef>
          </c:tx>
          <c:spPr>
            <a:ln w="28575" cap="rnd">
              <a:solidFill>
                <a:schemeClr val="accent2"/>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[4]offshares!$E$4:$E$13</c:f>
              <c:numCache>
                <c:formatCode>General</c:formatCode>
                <c:ptCount val="10"/>
                <c:pt idx="0">
                  <c:v>29251</c:v>
                </c:pt>
                <c:pt idx="1">
                  <c:v>35095</c:v>
                </c:pt>
                <c:pt idx="2">
                  <c:v>47075</c:v>
                </c:pt>
                <c:pt idx="3">
                  <c:v>52996</c:v>
                </c:pt>
                <c:pt idx="4">
                  <c:v>92230</c:v>
                </c:pt>
                <c:pt idx="5">
                  <c:v>93001</c:v>
                </c:pt>
                <c:pt idx="6">
                  <c:v>98895</c:v>
                </c:pt>
                <c:pt idx="7">
                  <c:v>102445</c:v>
                </c:pt>
                <c:pt idx="8">
                  <c:v>101604</c:v>
                </c:pt>
                <c:pt idx="9">
                  <c:v>106845</c:v>
                </c:pt>
              </c:numCache>
            </c:numRef>
          </c:val>
          <c:smooth val="0"/>
          <c:extLst xmlns:c16r2="http://schemas.microsoft.com/office/drawing/2015/06/chart">
            <c:ext xmlns:c16="http://schemas.microsoft.com/office/drawing/2014/chart" uri="{C3380CC4-5D6E-409C-BE32-E72D297353CC}">
              <c16:uniqueId val="{00000001-91B1-49F7-94EC-4D7746787C89}"/>
            </c:ext>
          </c:extLst>
        </c:ser>
        <c:ser>
          <c:idx val="2"/>
          <c:order val="2"/>
          <c:tx>
            <c:strRef>
              <c:f>'C:\Users\Paul\Documents\[tneODLtrend.xlsx]offshares'!$F$3</c:f>
              <c:strCache>
                <c:ptCount val="1"/>
                <c:pt idx="0">
                  <c:v>FVA UK degree</c:v>
                </c:pt>
              </c:strCache>
            </c:strRef>
          </c:tx>
          <c:spPr>
            <a:ln w="28575" cap="rnd">
              <a:solidFill>
                <a:schemeClr val="accent3"/>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[4]offshares!$F$4:$F$13</c:f>
              <c:numCache>
                <c:formatCode>General</c:formatCode>
                <c:ptCount val="10"/>
                <c:pt idx="0">
                  <c:v>59920</c:v>
                </c:pt>
                <c:pt idx="1">
                  <c:v>68596</c:v>
                </c:pt>
                <c:pt idx="2">
                  <c:v>74382</c:v>
                </c:pt>
                <c:pt idx="3">
                  <c:v>86669</c:v>
                </c:pt>
                <c:pt idx="4">
                  <c:v>96073</c:v>
                </c:pt>
                <c:pt idx="5">
                  <c:v>103796</c:v>
                </c:pt>
                <c:pt idx="6">
                  <c:v>116035</c:v>
                </c:pt>
                <c:pt idx="7">
                  <c:v>120473</c:v>
                </c:pt>
                <c:pt idx="8">
                  <c:v>138851</c:v>
                </c:pt>
                <c:pt idx="9">
                  <c:v>146665</c:v>
                </c:pt>
              </c:numCache>
            </c:numRef>
          </c:val>
          <c:smooth val="0"/>
          <c:extLst xmlns:c16r2="http://schemas.microsoft.com/office/drawing/2015/06/chart">
            <c:ext xmlns:c16="http://schemas.microsoft.com/office/drawing/2014/chart" uri="{C3380CC4-5D6E-409C-BE32-E72D297353CC}">
              <c16:uniqueId val="{00000002-91B1-49F7-94EC-4D7746787C89}"/>
            </c:ext>
          </c:extLst>
        </c:ser>
        <c:ser>
          <c:idx val="3"/>
          <c:order val="3"/>
          <c:tx>
            <c:strRef>
              <c:f>'C:\Users\Paul\Documents\[tneODLtrend.xlsx]offshares'!$G$3</c:f>
              <c:strCache>
                <c:ptCount val="1"/>
                <c:pt idx="0">
                  <c:v>ODL</c:v>
                </c:pt>
              </c:strCache>
            </c:strRef>
          </c:tx>
          <c:spPr>
            <a:ln w="28575" cap="rnd">
              <a:solidFill>
                <a:schemeClr val="accent4"/>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[4]offshares!$G$4:$G$13</c:f>
              <c:numCache>
                <c:formatCode>General</c:formatCode>
                <c:ptCount val="10"/>
                <c:pt idx="0">
                  <c:v>100360</c:v>
                </c:pt>
                <c:pt idx="1">
                  <c:v>112383</c:v>
                </c:pt>
                <c:pt idx="2">
                  <c:v>115010</c:v>
                </c:pt>
                <c:pt idx="3">
                  <c:v>113062</c:v>
                </c:pt>
                <c:pt idx="4">
                  <c:v>116536</c:v>
                </c:pt>
                <c:pt idx="5">
                  <c:v>123634</c:v>
                </c:pt>
                <c:pt idx="6">
                  <c:v>119756</c:v>
                </c:pt>
                <c:pt idx="7">
                  <c:v>120473</c:v>
                </c:pt>
                <c:pt idx="8">
                  <c:v>113995</c:v>
                </c:pt>
                <c:pt idx="9">
                  <c:v>117195</c:v>
                </c:pt>
              </c:numCache>
            </c:numRef>
          </c:val>
          <c:smooth val="0"/>
          <c:extLst xmlns:c16r2="http://schemas.microsoft.com/office/drawing/2015/06/chart">
            <c:ext xmlns:c16="http://schemas.microsoft.com/office/drawing/2014/chart" uri="{C3380CC4-5D6E-409C-BE32-E72D297353CC}">
              <c16:uniqueId val="{00000003-91B1-49F7-94EC-4D7746787C89}"/>
            </c:ext>
          </c:extLst>
        </c:ser>
        <c:ser>
          <c:idx val="4"/>
          <c:order val="4"/>
          <c:tx>
            <c:strRef>
              <c:f>'C:\Users\Paul\Documents\[tneODLtrend.xlsx]offshares'!$H$3</c:f>
              <c:strCache>
                <c:ptCount val="1"/>
                <c:pt idx="0">
                  <c:v>Other</c:v>
                </c:pt>
              </c:strCache>
            </c:strRef>
          </c:tx>
          <c:spPr>
            <a:ln w="28575" cap="rnd">
              <a:solidFill>
                <a:schemeClr val="accent5"/>
              </a:solidFill>
              <a:round/>
            </a:ln>
            <a:effectLst/>
          </c:spPr>
          <c:marker>
            <c:symbol val="none"/>
          </c:marker>
          <c:cat>
            <c:strRef>
              <c:f>[4]offshares!$C$4:$C$13</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[4]offshares!$H$4:$H$13</c:f>
              <c:numCache>
                <c:formatCode>General</c:formatCode>
                <c:ptCount val="10"/>
                <c:pt idx="0">
                  <c:v>94</c:v>
                </c:pt>
                <c:pt idx="1">
                  <c:v>67</c:v>
                </c:pt>
                <c:pt idx="2">
                  <c:v>78</c:v>
                </c:pt>
                <c:pt idx="3">
                  <c:v>153</c:v>
                </c:pt>
                <c:pt idx="4">
                  <c:v>343</c:v>
                </c:pt>
                <c:pt idx="5">
                  <c:v>597</c:v>
                </c:pt>
                <c:pt idx="6">
                  <c:v>8955</c:v>
                </c:pt>
                <c:pt idx="7">
                  <c:v>9961</c:v>
                </c:pt>
                <c:pt idx="8">
                  <c:v>8300</c:v>
                </c:pt>
                <c:pt idx="9">
                  <c:v>7720</c:v>
                </c:pt>
              </c:numCache>
            </c:numRef>
          </c:val>
          <c:smooth val="0"/>
          <c:extLst xmlns:c16r2="http://schemas.microsoft.com/office/drawing/2015/06/chart">
            <c:ext xmlns:c16="http://schemas.microsoft.com/office/drawing/2014/chart" uri="{C3380CC4-5D6E-409C-BE32-E72D297353CC}">
              <c16:uniqueId val="{00000004-91B1-49F7-94EC-4D7746787C89}"/>
            </c:ext>
          </c:extLst>
        </c:ser>
        <c:dLbls>
          <c:showLegendKey val="0"/>
          <c:showVal val="0"/>
          <c:showCatName val="0"/>
          <c:showSerName val="0"/>
          <c:showPercent val="0"/>
          <c:showBubbleSize val="0"/>
        </c:dLbls>
        <c:smooth val="0"/>
        <c:axId val="-1196957440"/>
        <c:axId val="-1196934592"/>
      </c:lineChart>
      <c:catAx>
        <c:axId val="-119695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934592"/>
        <c:crosses val="autoZero"/>
        <c:auto val="1"/>
        <c:lblAlgn val="ctr"/>
        <c:lblOffset val="100"/>
        <c:noMultiLvlLbl val="0"/>
      </c:catAx>
      <c:valAx>
        <c:axId val="-119693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95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Figure 4:</a:t>
            </a:r>
            <a:r>
              <a:rPr lang="en-GB" sz="1000" baseline="0"/>
              <a:t> </a:t>
            </a:r>
            <a:r>
              <a:rPr lang="en-GB" sz="1000"/>
              <a:t>Percentage breakdown of offshore students by global region, 1996-97, 2007/08 and 2015/16</a:t>
            </a:r>
          </a:p>
        </c:rich>
      </c:tx>
      <c:overlay val="0"/>
    </c:title>
    <c:autoTitleDeleted val="0"/>
    <c:plotArea>
      <c:layout/>
      <c:barChart>
        <c:barDir val="col"/>
        <c:grouping val="clustered"/>
        <c:varyColors val="0"/>
        <c:ser>
          <c:idx val="0"/>
          <c:order val="0"/>
          <c:tx>
            <c:strRef>
              <c:f>'C:\Users\Paul\Documents\[TNEHESAdatafinal.xlsx]tabregionandcountry'!$L$3</c:f>
              <c:strCache>
                <c:ptCount val="1"/>
                <c:pt idx="0">
                  <c:v>1997</c:v>
                </c:pt>
              </c:strCache>
            </c:strRef>
          </c:tx>
          <c:invertIfNegative val="0"/>
          <c:cat>
            <c:strRef>
              <c:f>[1]tabregionandcountry!$K$4:$K$10</c:f>
              <c:strCache>
                <c:ptCount val="7"/>
                <c:pt idx="0">
                  <c:v>Western Europe</c:v>
                </c:pt>
                <c:pt idx="1">
                  <c:v>Eastern Europe</c:v>
                </c:pt>
                <c:pt idx="2">
                  <c:v>Americas and Oceania</c:v>
                </c:pt>
                <c:pt idx="3">
                  <c:v>Africa</c:v>
                </c:pt>
                <c:pt idx="4">
                  <c:v>Middle East</c:v>
                </c:pt>
                <c:pt idx="5">
                  <c:v>South and Central Asia</c:v>
                </c:pt>
                <c:pt idx="6">
                  <c:v>East and Sout-East Asia</c:v>
                </c:pt>
              </c:strCache>
            </c:strRef>
          </c:cat>
          <c:val>
            <c:numRef>
              <c:f>[1]tabregionandcountry!$L$4:$L$10</c:f>
              <c:numCache>
                <c:formatCode>General</c:formatCode>
                <c:ptCount val="7"/>
                <c:pt idx="0">
                  <c:v>12.1</c:v>
                </c:pt>
                <c:pt idx="1">
                  <c:v>22.6</c:v>
                </c:pt>
                <c:pt idx="2">
                  <c:v>0.6</c:v>
                </c:pt>
                <c:pt idx="3">
                  <c:v>7.4</c:v>
                </c:pt>
                <c:pt idx="4">
                  <c:v>6.3</c:v>
                </c:pt>
                <c:pt idx="5">
                  <c:v>1.2</c:v>
                </c:pt>
                <c:pt idx="6">
                  <c:v>49.7</c:v>
                </c:pt>
              </c:numCache>
            </c:numRef>
          </c:val>
          <c:extLst xmlns:c16r2="http://schemas.microsoft.com/office/drawing/2015/06/chart">
            <c:ext xmlns:c16="http://schemas.microsoft.com/office/drawing/2014/chart" uri="{C3380CC4-5D6E-409C-BE32-E72D297353CC}">
              <c16:uniqueId val="{00000000-3BB6-47AC-B155-EC7A7A932E30}"/>
            </c:ext>
          </c:extLst>
        </c:ser>
        <c:ser>
          <c:idx val="1"/>
          <c:order val="1"/>
          <c:tx>
            <c:strRef>
              <c:f>'C:\Users\Paul\Documents\[TNEHESAdatafinal.xlsx]tabregionandcountry'!$M$3</c:f>
              <c:strCache>
                <c:ptCount val="1"/>
                <c:pt idx="0">
                  <c:v>2008</c:v>
                </c:pt>
              </c:strCache>
            </c:strRef>
          </c:tx>
          <c:invertIfNegative val="0"/>
          <c:cat>
            <c:strRef>
              <c:f>[1]tabregionandcountry!$K$4:$K$10</c:f>
              <c:strCache>
                <c:ptCount val="7"/>
                <c:pt idx="0">
                  <c:v>Western Europe</c:v>
                </c:pt>
                <c:pt idx="1">
                  <c:v>Eastern Europe</c:v>
                </c:pt>
                <c:pt idx="2">
                  <c:v>Americas and Oceania</c:v>
                </c:pt>
                <c:pt idx="3">
                  <c:v>Africa</c:v>
                </c:pt>
                <c:pt idx="4">
                  <c:v>Middle East</c:v>
                </c:pt>
                <c:pt idx="5">
                  <c:v>South and Central Asia</c:v>
                </c:pt>
                <c:pt idx="6">
                  <c:v>East and Sout-East Asia</c:v>
                </c:pt>
              </c:strCache>
            </c:strRef>
          </c:cat>
          <c:val>
            <c:numRef>
              <c:f>[1]tabregionandcountry!$M$4:$M$10</c:f>
              <c:numCache>
                <c:formatCode>General</c:formatCode>
                <c:ptCount val="7"/>
                <c:pt idx="0">
                  <c:v>22.66211812938856</c:v>
                </c:pt>
                <c:pt idx="1">
                  <c:v>7.668772659823464</c:v>
                </c:pt>
                <c:pt idx="2">
                  <c:v>8.8808660578153766</c:v>
                </c:pt>
                <c:pt idx="3">
                  <c:v>4.7504678568332537</c:v>
                </c:pt>
                <c:pt idx="4">
                  <c:v>11.03989148781022</c:v>
                </c:pt>
                <c:pt idx="5">
                  <c:v>6.4898244325801802</c:v>
                </c:pt>
                <c:pt idx="6">
                  <c:v>38.508059375748957</c:v>
                </c:pt>
              </c:numCache>
            </c:numRef>
          </c:val>
          <c:extLst xmlns:c16r2="http://schemas.microsoft.com/office/drawing/2015/06/chart">
            <c:ext xmlns:c16="http://schemas.microsoft.com/office/drawing/2014/chart" uri="{C3380CC4-5D6E-409C-BE32-E72D297353CC}">
              <c16:uniqueId val="{00000001-3BB6-47AC-B155-EC7A7A932E30}"/>
            </c:ext>
          </c:extLst>
        </c:ser>
        <c:ser>
          <c:idx val="2"/>
          <c:order val="2"/>
          <c:tx>
            <c:strRef>
              <c:f>'C:\Users\Paul\Documents\[TNEHESAdatafinal.xlsx]tabregionandcountry'!$N$3</c:f>
              <c:strCache>
                <c:ptCount val="1"/>
                <c:pt idx="0">
                  <c:v>2016</c:v>
                </c:pt>
              </c:strCache>
            </c:strRef>
          </c:tx>
          <c:invertIfNegative val="0"/>
          <c:cat>
            <c:strRef>
              <c:f>[1]tabregionandcountry!$K$4:$K$10</c:f>
              <c:strCache>
                <c:ptCount val="7"/>
                <c:pt idx="0">
                  <c:v>Western Europe</c:v>
                </c:pt>
                <c:pt idx="1">
                  <c:v>Eastern Europe</c:v>
                </c:pt>
                <c:pt idx="2">
                  <c:v>Americas and Oceania</c:v>
                </c:pt>
                <c:pt idx="3">
                  <c:v>Africa</c:v>
                </c:pt>
                <c:pt idx="4">
                  <c:v>Middle East</c:v>
                </c:pt>
                <c:pt idx="5">
                  <c:v>South and Central Asia</c:v>
                </c:pt>
                <c:pt idx="6">
                  <c:v>East and Sout-East Asia</c:v>
                </c:pt>
              </c:strCache>
            </c:strRef>
          </c:cat>
          <c:val>
            <c:numRef>
              <c:f>[1]tabregionandcountry!$N$4:$N$10</c:f>
              <c:numCache>
                <c:formatCode>General</c:formatCode>
                <c:ptCount val="7"/>
                <c:pt idx="0">
                  <c:v>14.4281848121931</c:v>
                </c:pt>
                <c:pt idx="1">
                  <c:v>2.0012823450950301</c:v>
                </c:pt>
                <c:pt idx="2">
                  <c:v>6.6445045847699538</c:v>
                </c:pt>
                <c:pt idx="3">
                  <c:v>8.2572209161300005</c:v>
                </c:pt>
                <c:pt idx="4">
                  <c:v>19.42212071038827</c:v>
                </c:pt>
                <c:pt idx="5">
                  <c:v>11.29184680868596</c:v>
                </c:pt>
                <c:pt idx="6">
                  <c:v>37.954839822737597</c:v>
                </c:pt>
              </c:numCache>
            </c:numRef>
          </c:val>
          <c:extLst xmlns:c16r2="http://schemas.microsoft.com/office/drawing/2015/06/chart">
            <c:ext xmlns:c16="http://schemas.microsoft.com/office/drawing/2014/chart" uri="{C3380CC4-5D6E-409C-BE32-E72D297353CC}">
              <c16:uniqueId val="{00000002-3BB6-47AC-B155-EC7A7A932E30}"/>
            </c:ext>
          </c:extLst>
        </c:ser>
        <c:dLbls>
          <c:showLegendKey val="0"/>
          <c:showVal val="0"/>
          <c:showCatName val="0"/>
          <c:showSerName val="0"/>
          <c:showPercent val="0"/>
          <c:showBubbleSize val="0"/>
        </c:dLbls>
        <c:gapWidth val="150"/>
        <c:axId val="-1196949824"/>
        <c:axId val="-1196964512"/>
      </c:barChart>
      <c:catAx>
        <c:axId val="-1196949824"/>
        <c:scaling>
          <c:orientation val="minMax"/>
        </c:scaling>
        <c:delete val="0"/>
        <c:axPos val="b"/>
        <c:numFmt formatCode="General" sourceLinked="0"/>
        <c:majorTickMark val="none"/>
        <c:minorTickMark val="none"/>
        <c:tickLblPos val="nextTo"/>
        <c:crossAx val="-1196964512"/>
        <c:crosses val="autoZero"/>
        <c:auto val="1"/>
        <c:lblAlgn val="ctr"/>
        <c:lblOffset val="100"/>
        <c:noMultiLvlLbl val="0"/>
      </c:catAx>
      <c:valAx>
        <c:axId val="-1196964512"/>
        <c:scaling>
          <c:orientation val="minMax"/>
        </c:scaling>
        <c:delete val="0"/>
        <c:axPos val="l"/>
        <c:majorGridlines/>
        <c:numFmt formatCode="General" sourceLinked="1"/>
        <c:majorTickMark val="none"/>
        <c:minorTickMark val="none"/>
        <c:tickLblPos val="nextTo"/>
        <c:crossAx val="-11969498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solidFill>
                  <a:srgbClr val="5F705C"/>
                </a:solidFill>
              </a:defRPr>
            </a:pPr>
            <a:r>
              <a:rPr lang="en-US" sz="900">
                <a:solidFill>
                  <a:srgbClr val="5F705C"/>
                </a:solidFill>
              </a:rPr>
              <a:t>Figure 5: Overseas distance learning undergraduate and postgraduate enrolments at University of London, Open University and remaining universities, </a:t>
            </a:r>
          </a:p>
        </c:rich>
      </c:tx>
      <c:overlay val="0"/>
    </c:title>
    <c:autoTitleDeleted val="0"/>
    <c:plotArea>
      <c:layout/>
      <c:lineChart>
        <c:grouping val="standard"/>
        <c:varyColors val="0"/>
        <c:ser>
          <c:idx val="0"/>
          <c:order val="0"/>
          <c:tx>
            <c:strRef>
              <c:f>[5]Sheet1!$E$15</c:f>
              <c:strCache>
                <c:ptCount val="1"/>
                <c:pt idx="0">
                  <c:v>ULUG</c:v>
                </c:pt>
              </c:strCache>
            </c:strRef>
          </c:tx>
          <c:marker>
            <c:symbol val="none"/>
          </c:marker>
          <c:cat>
            <c:strRef>
              <c:f>[5]Sheet1!$D$16:$D$25</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[5]Sheet1!$E$16:$E$25</c:f>
              <c:numCache>
                <c:formatCode>General</c:formatCode>
                <c:ptCount val="10"/>
                <c:pt idx="0">
                  <c:v>30873</c:v>
                </c:pt>
                <c:pt idx="1">
                  <c:v>32229</c:v>
                </c:pt>
                <c:pt idx="2">
                  <c:v>34391</c:v>
                </c:pt>
                <c:pt idx="3">
                  <c:v>35989</c:v>
                </c:pt>
                <c:pt idx="4">
                  <c:v>38667</c:v>
                </c:pt>
                <c:pt idx="5">
                  <c:v>40681</c:v>
                </c:pt>
                <c:pt idx="6">
                  <c:v>40571</c:v>
                </c:pt>
                <c:pt idx="7">
                  <c:v>38449</c:v>
                </c:pt>
                <c:pt idx="8">
                  <c:v>36727</c:v>
                </c:pt>
                <c:pt idx="9">
                  <c:v>33090</c:v>
                </c:pt>
              </c:numCache>
            </c:numRef>
          </c:val>
          <c:smooth val="0"/>
          <c:extLst xmlns:c16r2="http://schemas.microsoft.com/office/drawing/2015/06/chart">
            <c:ext xmlns:c16="http://schemas.microsoft.com/office/drawing/2014/chart" uri="{C3380CC4-5D6E-409C-BE32-E72D297353CC}">
              <c16:uniqueId val="{00000000-DCA8-4EA1-B13F-43B4BA613307}"/>
            </c:ext>
          </c:extLst>
        </c:ser>
        <c:ser>
          <c:idx val="1"/>
          <c:order val="1"/>
          <c:tx>
            <c:strRef>
              <c:f>[5]Sheet1!$F$15</c:f>
              <c:strCache>
                <c:ptCount val="1"/>
                <c:pt idx="0">
                  <c:v>OUUG</c:v>
                </c:pt>
              </c:strCache>
            </c:strRef>
          </c:tx>
          <c:marker>
            <c:symbol val="none"/>
          </c:marker>
          <c:cat>
            <c:strRef>
              <c:f>[5]Sheet1!$D$16:$D$25</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[5]Sheet1!$F$16:$F$25</c:f>
              <c:numCache>
                <c:formatCode>General</c:formatCode>
                <c:ptCount val="10"/>
                <c:pt idx="0">
                  <c:v>19107</c:v>
                </c:pt>
                <c:pt idx="1">
                  <c:v>18055</c:v>
                </c:pt>
                <c:pt idx="2">
                  <c:v>16420</c:v>
                </c:pt>
                <c:pt idx="3">
                  <c:v>13501</c:v>
                </c:pt>
                <c:pt idx="4">
                  <c:v>13039</c:v>
                </c:pt>
                <c:pt idx="5">
                  <c:v>11448</c:v>
                </c:pt>
                <c:pt idx="6">
                  <c:v>8749</c:v>
                </c:pt>
                <c:pt idx="7">
                  <c:v>6686</c:v>
                </c:pt>
                <c:pt idx="8">
                  <c:v>5513</c:v>
                </c:pt>
                <c:pt idx="9">
                  <c:v>5310</c:v>
                </c:pt>
              </c:numCache>
            </c:numRef>
          </c:val>
          <c:smooth val="0"/>
          <c:extLst xmlns:c16r2="http://schemas.microsoft.com/office/drawing/2015/06/chart">
            <c:ext xmlns:c16="http://schemas.microsoft.com/office/drawing/2014/chart" uri="{C3380CC4-5D6E-409C-BE32-E72D297353CC}">
              <c16:uniqueId val="{00000001-DCA8-4EA1-B13F-43B4BA613307}"/>
            </c:ext>
          </c:extLst>
        </c:ser>
        <c:ser>
          <c:idx val="2"/>
          <c:order val="2"/>
          <c:tx>
            <c:strRef>
              <c:f>[5]Sheet1!$G$15</c:f>
              <c:strCache>
                <c:ptCount val="1"/>
                <c:pt idx="0">
                  <c:v>RestUG</c:v>
                </c:pt>
              </c:strCache>
            </c:strRef>
          </c:tx>
          <c:marker>
            <c:symbol val="none"/>
          </c:marker>
          <c:cat>
            <c:strRef>
              <c:f>[5]Sheet1!$D$16:$D$25</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[5]Sheet1!$G$16:$G$25</c:f>
              <c:numCache>
                <c:formatCode>General</c:formatCode>
                <c:ptCount val="10"/>
                <c:pt idx="0">
                  <c:v>8789</c:v>
                </c:pt>
                <c:pt idx="1">
                  <c:v>11225</c:v>
                </c:pt>
                <c:pt idx="2">
                  <c:v>9762</c:v>
                </c:pt>
                <c:pt idx="3">
                  <c:v>8187</c:v>
                </c:pt>
                <c:pt idx="4">
                  <c:v>8278</c:v>
                </c:pt>
                <c:pt idx="5">
                  <c:v>10407</c:v>
                </c:pt>
                <c:pt idx="6">
                  <c:v>10046</c:v>
                </c:pt>
                <c:pt idx="7">
                  <c:v>10552</c:v>
                </c:pt>
                <c:pt idx="8">
                  <c:v>10132</c:v>
                </c:pt>
                <c:pt idx="9">
                  <c:v>12745</c:v>
                </c:pt>
              </c:numCache>
            </c:numRef>
          </c:val>
          <c:smooth val="0"/>
          <c:extLst xmlns:c16r2="http://schemas.microsoft.com/office/drawing/2015/06/chart">
            <c:ext xmlns:c16="http://schemas.microsoft.com/office/drawing/2014/chart" uri="{C3380CC4-5D6E-409C-BE32-E72D297353CC}">
              <c16:uniqueId val="{00000002-DCA8-4EA1-B13F-43B4BA613307}"/>
            </c:ext>
          </c:extLst>
        </c:ser>
        <c:ser>
          <c:idx val="3"/>
          <c:order val="3"/>
          <c:tx>
            <c:strRef>
              <c:f>[5]Sheet1!$H$15</c:f>
              <c:strCache>
                <c:ptCount val="1"/>
                <c:pt idx="0">
                  <c:v>ULPG</c:v>
                </c:pt>
              </c:strCache>
            </c:strRef>
          </c:tx>
          <c:marker>
            <c:symbol val="none"/>
          </c:marker>
          <c:cat>
            <c:strRef>
              <c:f>[5]Sheet1!$D$16:$D$25</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[5]Sheet1!$H$16:$H$25</c:f>
              <c:numCache>
                <c:formatCode>General</c:formatCode>
                <c:ptCount val="10"/>
                <c:pt idx="0">
                  <c:v>6230</c:v>
                </c:pt>
                <c:pt idx="1">
                  <c:v>6906</c:v>
                </c:pt>
                <c:pt idx="2">
                  <c:v>8609</c:v>
                </c:pt>
                <c:pt idx="3">
                  <c:v>8560</c:v>
                </c:pt>
                <c:pt idx="4">
                  <c:v>7539</c:v>
                </c:pt>
                <c:pt idx="5">
                  <c:v>9028</c:v>
                </c:pt>
                <c:pt idx="6">
                  <c:v>9841</c:v>
                </c:pt>
                <c:pt idx="7">
                  <c:v>12729</c:v>
                </c:pt>
                <c:pt idx="8">
                  <c:v>9864</c:v>
                </c:pt>
                <c:pt idx="9">
                  <c:v>13395</c:v>
                </c:pt>
              </c:numCache>
            </c:numRef>
          </c:val>
          <c:smooth val="0"/>
          <c:extLst xmlns:c16r2="http://schemas.microsoft.com/office/drawing/2015/06/chart">
            <c:ext xmlns:c16="http://schemas.microsoft.com/office/drawing/2014/chart" uri="{C3380CC4-5D6E-409C-BE32-E72D297353CC}">
              <c16:uniqueId val="{00000003-DCA8-4EA1-B13F-43B4BA613307}"/>
            </c:ext>
          </c:extLst>
        </c:ser>
        <c:ser>
          <c:idx val="4"/>
          <c:order val="4"/>
          <c:tx>
            <c:strRef>
              <c:f>[5]Sheet1!$I$15</c:f>
              <c:strCache>
                <c:ptCount val="1"/>
                <c:pt idx="0">
                  <c:v>OUPG</c:v>
                </c:pt>
              </c:strCache>
            </c:strRef>
          </c:tx>
          <c:marker>
            <c:symbol val="none"/>
          </c:marker>
          <c:cat>
            <c:strRef>
              <c:f>[5]Sheet1!$D$16:$D$25</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[5]Sheet1!$I$16:$I$25</c:f>
              <c:numCache>
                <c:formatCode>General</c:formatCode>
                <c:ptCount val="10"/>
                <c:pt idx="0">
                  <c:v>7371</c:v>
                </c:pt>
                <c:pt idx="1">
                  <c:v>7434</c:v>
                </c:pt>
                <c:pt idx="2">
                  <c:v>6847</c:v>
                </c:pt>
                <c:pt idx="3">
                  <c:v>6292</c:v>
                </c:pt>
                <c:pt idx="4">
                  <c:v>5604</c:v>
                </c:pt>
                <c:pt idx="5">
                  <c:v>5021</c:v>
                </c:pt>
                <c:pt idx="6">
                  <c:v>4539</c:v>
                </c:pt>
                <c:pt idx="7">
                  <c:v>3518</c:v>
                </c:pt>
                <c:pt idx="8">
                  <c:v>2859</c:v>
                </c:pt>
                <c:pt idx="9">
                  <c:v>2520</c:v>
                </c:pt>
              </c:numCache>
            </c:numRef>
          </c:val>
          <c:smooth val="0"/>
          <c:extLst xmlns:c16r2="http://schemas.microsoft.com/office/drawing/2015/06/chart">
            <c:ext xmlns:c16="http://schemas.microsoft.com/office/drawing/2014/chart" uri="{C3380CC4-5D6E-409C-BE32-E72D297353CC}">
              <c16:uniqueId val="{00000004-DCA8-4EA1-B13F-43B4BA613307}"/>
            </c:ext>
          </c:extLst>
        </c:ser>
        <c:ser>
          <c:idx val="5"/>
          <c:order val="5"/>
          <c:tx>
            <c:strRef>
              <c:f>[5]Sheet1!$J$15</c:f>
              <c:strCache>
                <c:ptCount val="1"/>
                <c:pt idx="0">
                  <c:v>RestPG</c:v>
                </c:pt>
              </c:strCache>
            </c:strRef>
          </c:tx>
          <c:marker>
            <c:symbol val="none"/>
          </c:marker>
          <c:cat>
            <c:strRef>
              <c:f>[5]Sheet1!$D$16:$D$25</c:f>
              <c:strCache>
                <c:ptCount val="10"/>
                <c:pt idx="0">
                  <c:v>2007/08</c:v>
                </c:pt>
                <c:pt idx="1">
                  <c:v>2008/09</c:v>
                </c:pt>
                <c:pt idx="2">
                  <c:v>2009/10</c:v>
                </c:pt>
                <c:pt idx="3">
                  <c:v>2010/11</c:v>
                </c:pt>
                <c:pt idx="4">
                  <c:v>2011/12</c:v>
                </c:pt>
                <c:pt idx="5">
                  <c:v>2012/13</c:v>
                </c:pt>
                <c:pt idx="6">
                  <c:v>2013/14</c:v>
                </c:pt>
                <c:pt idx="7">
                  <c:v>2014/15</c:v>
                </c:pt>
                <c:pt idx="8">
                  <c:v>2015/16</c:v>
                </c:pt>
                <c:pt idx="9">
                  <c:v>2016/17</c:v>
                </c:pt>
              </c:strCache>
            </c:strRef>
          </c:cat>
          <c:val>
            <c:numRef>
              <c:f>[5]Sheet1!$J$16:$J$25</c:f>
              <c:numCache>
                <c:formatCode>General</c:formatCode>
                <c:ptCount val="10"/>
                <c:pt idx="0">
                  <c:v>27930</c:v>
                </c:pt>
                <c:pt idx="1">
                  <c:v>36234</c:v>
                </c:pt>
                <c:pt idx="2">
                  <c:v>38981</c:v>
                </c:pt>
                <c:pt idx="3">
                  <c:v>40533</c:v>
                </c:pt>
                <c:pt idx="4">
                  <c:v>43409</c:v>
                </c:pt>
                <c:pt idx="5">
                  <c:v>47049</c:v>
                </c:pt>
                <c:pt idx="6">
                  <c:v>46012</c:v>
                </c:pt>
                <c:pt idx="7">
                  <c:v>48539</c:v>
                </c:pt>
                <c:pt idx="8">
                  <c:v>48900</c:v>
                </c:pt>
                <c:pt idx="9">
                  <c:v>50135</c:v>
                </c:pt>
              </c:numCache>
            </c:numRef>
          </c:val>
          <c:smooth val="0"/>
          <c:extLst xmlns:c16r2="http://schemas.microsoft.com/office/drawing/2015/06/chart">
            <c:ext xmlns:c16="http://schemas.microsoft.com/office/drawing/2014/chart" uri="{C3380CC4-5D6E-409C-BE32-E72D297353CC}">
              <c16:uniqueId val="{00000005-DCA8-4EA1-B13F-43B4BA613307}"/>
            </c:ext>
          </c:extLst>
        </c:ser>
        <c:dLbls>
          <c:showLegendKey val="0"/>
          <c:showVal val="0"/>
          <c:showCatName val="0"/>
          <c:showSerName val="0"/>
          <c:showPercent val="0"/>
          <c:showBubbleSize val="0"/>
        </c:dLbls>
        <c:smooth val="0"/>
        <c:axId val="-1196946560"/>
        <c:axId val="-1196934048"/>
      </c:lineChart>
      <c:catAx>
        <c:axId val="-1196946560"/>
        <c:scaling>
          <c:orientation val="minMax"/>
        </c:scaling>
        <c:delete val="0"/>
        <c:axPos val="b"/>
        <c:numFmt formatCode="General" sourceLinked="1"/>
        <c:majorTickMark val="none"/>
        <c:minorTickMark val="none"/>
        <c:tickLblPos val="nextTo"/>
        <c:crossAx val="-1196934048"/>
        <c:crosses val="autoZero"/>
        <c:auto val="1"/>
        <c:lblAlgn val="ctr"/>
        <c:lblOffset val="100"/>
        <c:noMultiLvlLbl val="0"/>
      </c:catAx>
      <c:valAx>
        <c:axId val="-1196934048"/>
        <c:scaling>
          <c:orientation val="minMax"/>
        </c:scaling>
        <c:delete val="0"/>
        <c:axPos val="l"/>
        <c:majorGridlines/>
        <c:numFmt formatCode="General" sourceLinked="1"/>
        <c:majorTickMark val="none"/>
        <c:minorTickMark val="none"/>
        <c:tickLblPos val="nextTo"/>
        <c:spPr>
          <a:ln w="9525">
            <a:noFill/>
          </a:ln>
        </c:spPr>
        <c:crossAx val="-1196946560"/>
        <c:crosses val="autoZero"/>
        <c:crossBetween val="between"/>
      </c:valAx>
      <c:spPr>
        <a:solidFill>
          <a:srgbClr val="DFE0DB"/>
        </a:solidFill>
      </c:spPr>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GB" sz="900"/>
              <a:t>Figure</a:t>
            </a:r>
            <a:r>
              <a:rPr lang="en-GB" sz="900" baseline="0"/>
              <a:t> 6: Student completions as percentage of total enrolments on offshore distance learning master degrees, 2016/17</a:t>
            </a:r>
            <a:endParaRPr lang="en-GB" sz="900"/>
          </a:p>
        </c:rich>
      </c:tx>
      <c:overlay val="0"/>
    </c:title>
    <c:autoTitleDeleted val="0"/>
    <c:plotArea>
      <c:layout/>
      <c:barChart>
        <c:barDir val="col"/>
        <c:grouping val="clustered"/>
        <c:varyColors val="0"/>
        <c:ser>
          <c:idx val="0"/>
          <c:order val="0"/>
          <c:invertIfNegative val="0"/>
          <c:val>
            <c:numRef>
              <c:f>[8]figuressurveyenrols!$B$4:$B$19</c:f>
              <c:numCache>
                <c:formatCode>General</c:formatCode>
                <c:ptCount val="16"/>
                <c:pt idx="0">
                  <c:v>4</c:v>
                </c:pt>
                <c:pt idx="1">
                  <c:v>8.3000000000000007</c:v>
                </c:pt>
                <c:pt idx="2">
                  <c:v>10.6</c:v>
                </c:pt>
                <c:pt idx="3">
                  <c:v>13.2</c:v>
                </c:pt>
                <c:pt idx="4">
                  <c:v>13.3</c:v>
                </c:pt>
                <c:pt idx="5">
                  <c:v>17</c:v>
                </c:pt>
                <c:pt idx="6">
                  <c:v>20.9</c:v>
                </c:pt>
                <c:pt idx="7">
                  <c:v>25.2</c:v>
                </c:pt>
                <c:pt idx="8">
                  <c:v>32.4</c:v>
                </c:pt>
                <c:pt idx="9">
                  <c:v>33.299999999999997</c:v>
                </c:pt>
                <c:pt idx="10">
                  <c:v>34.6</c:v>
                </c:pt>
                <c:pt idx="11">
                  <c:v>34.9</c:v>
                </c:pt>
                <c:pt idx="12">
                  <c:v>38.700000000000003</c:v>
                </c:pt>
                <c:pt idx="13">
                  <c:v>42.9</c:v>
                </c:pt>
                <c:pt idx="14">
                  <c:v>47.1</c:v>
                </c:pt>
                <c:pt idx="15">
                  <c:v>55.7</c:v>
                </c:pt>
              </c:numCache>
            </c:numRef>
          </c:val>
          <c:extLst xmlns:c16r2="http://schemas.microsoft.com/office/drawing/2015/06/chart">
            <c:ext xmlns:c16="http://schemas.microsoft.com/office/drawing/2014/chart" uri="{C3380CC4-5D6E-409C-BE32-E72D297353CC}">
              <c16:uniqueId val="{00000000-FDB0-4BFB-B979-D798F367468B}"/>
            </c:ext>
            <c:ext xmlns:c15="http://schemas.microsoft.com/office/drawing/2012/chart" uri="{02D57815-91ED-43cb-92C2-25804820EDAC}">
              <c15:filteredCategoryTitle>
                <c15:cat>
                  <c:strRef>
                    <c:extLst xmlns:c16="http://schemas.microsoft.com/office/drawing/2014/chart" xmlns:c16r2="http://schemas.microsoft.com/office/drawing/2015/06/chart">
                      <c:ext uri="{02D57815-91ED-43cb-92C2-25804820EDAC}">
                        <c15:formulaRef>
                          <c15:sqref>[8]figuressurveyenrols!$A$4:$A$19</c15:sqref>
                        </c15:formulaRef>
                      </c:ext>
                    </c:extLst>
                    <c:strCache>
                      <c:ptCount val="16"/>
                      <c:pt idx="0">
                        <c:v>Roehampton</c:v>
                      </c:pt>
                      <c:pt idx="1">
                        <c:v>Edinburgh</c:v>
                      </c:pt>
                      <c:pt idx="2">
                        <c:v>Hull</c:v>
                      </c:pt>
                      <c:pt idx="3">
                        <c:v>Bath</c:v>
                      </c:pt>
                      <c:pt idx="4">
                        <c:v>Reading</c:v>
                      </c:pt>
                      <c:pt idx="5">
                        <c:v>King'sCollege</c:v>
                      </c:pt>
                      <c:pt idx="6">
                        <c:v>Leeds Beckett</c:v>
                      </c:pt>
                      <c:pt idx="7">
                        <c:v>Aberyswyth</c:v>
                      </c:pt>
                      <c:pt idx="8">
                        <c:v>Warwick</c:v>
                      </c:pt>
                      <c:pt idx="9">
                        <c:v>York</c:v>
                      </c:pt>
                      <c:pt idx="10">
                        <c:v>Leicester</c:v>
                      </c:pt>
                      <c:pt idx="11">
                        <c:v>Oxford</c:v>
                      </c:pt>
                      <c:pt idx="12">
                        <c:v>St. John's York</c:v>
                      </c:pt>
                      <c:pt idx="13">
                        <c:v>Durham</c:v>
                      </c:pt>
                      <c:pt idx="14">
                        <c:v>Imperial</c:v>
                      </c:pt>
                      <c:pt idx="15">
                        <c:v>London International</c:v>
                      </c:pt>
                    </c:strCache>
                  </c:strRef>
                </c15:cat>
              </c15:filteredCategoryTitle>
            </c:ext>
          </c:extLst>
        </c:ser>
        <c:dLbls>
          <c:showLegendKey val="0"/>
          <c:showVal val="0"/>
          <c:showCatName val="0"/>
          <c:showSerName val="0"/>
          <c:showPercent val="0"/>
          <c:showBubbleSize val="0"/>
        </c:dLbls>
        <c:gapWidth val="150"/>
        <c:axId val="-1196960160"/>
        <c:axId val="-1196958528"/>
      </c:barChart>
      <c:catAx>
        <c:axId val="-1196960160"/>
        <c:scaling>
          <c:orientation val="minMax"/>
        </c:scaling>
        <c:delete val="0"/>
        <c:axPos val="b"/>
        <c:numFmt formatCode="General" sourceLinked="0"/>
        <c:majorTickMark val="none"/>
        <c:minorTickMark val="none"/>
        <c:tickLblPos val="nextTo"/>
        <c:crossAx val="-1196958528"/>
        <c:crosses val="autoZero"/>
        <c:auto val="1"/>
        <c:lblAlgn val="ctr"/>
        <c:lblOffset val="100"/>
        <c:noMultiLvlLbl val="0"/>
      </c:catAx>
      <c:valAx>
        <c:axId val="-1196958528"/>
        <c:scaling>
          <c:orientation val="minMax"/>
        </c:scaling>
        <c:delete val="0"/>
        <c:axPos val="l"/>
        <c:majorGridlines/>
        <c:numFmt formatCode="General" sourceLinked="1"/>
        <c:majorTickMark val="none"/>
        <c:minorTickMark val="none"/>
        <c:tickLblPos val="nextTo"/>
        <c:crossAx val="-11969601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d4161281-19ac-4487-8e19-1947623352c0" origin="userSelected">
  <element uid="id_classification_nonbusiness" value=""/>
</sis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7871-C2D8-4262-BEEE-64A3A9C6191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96C38A7-6610-4603-ACB4-CBAC81010F36}"/>
</file>

<file path=customXml/itemProps3.xml><?xml version="1.0" encoding="utf-8"?>
<ds:datastoreItem xmlns:ds="http://schemas.openxmlformats.org/officeDocument/2006/customXml" ds:itemID="{1250FCCE-5CBA-421D-B3D7-0A4AF96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10841</Words>
  <Characters>61798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cp:lastModifiedBy>
  <cp:revision>3</cp:revision>
  <cp:lastPrinted>2018-10-31T16:36:00Z</cp:lastPrinted>
  <dcterms:created xsi:type="dcterms:W3CDTF">2021-04-10T11:04:00Z</dcterms:created>
  <dcterms:modified xsi:type="dcterms:W3CDTF">2021-04-10T11:06:00Z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07c19250-fbdb-49f0-b729-ff2e71b950a6</vt:lpwstr>
  </property>
  <property fmtid="{D5CDD505-2E9C-101B-9397-08002B2CF9AE}" pid="3" name="bjSaver">
    <vt:lpwstr>6/c4iXE9LSOZTBVnuvYVFztrAOppBpIM</vt:lpwstr>
  </property>
  <property fmtid="{D5CDD505-2E9C-101B-9397-08002B2CF9AE}" pid="4" name="bjDocumentLabelXML">
    <vt:lpwstr>&lt;?xml version="1.0" encoding="us-ascii"?&gt;&lt;sisl xmlns:xsi="http://www.w3.org/2001/XMLSchema-instance" xmlns:xsd="http://www.w3.org/2001/XMLSchema" sislVersion="0" policy="d4161281-19ac-4487-8e19-1947623352c0"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Unrestricted</vt:lpwstr>
  </property>
  <property fmtid="{D5CDD505-2E9C-101B-9397-08002B2CF9AE}" pid="7" name="BarclaysDC">
    <vt:lpwstr>Unrestricted</vt:lpwstr>
  </property>
  <property fmtid="{D5CDD505-2E9C-101B-9397-08002B2CF9AE}" pid="8" name="bjDocumentLabelFieldCode">
    <vt:lpwstr>Unrestricted</vt:lpwstr>
  </property>
</Properties>
</file>