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5DBE" w:rsidRDefault="007F5DBE" w:rsidP="007F5DBE">
      <w:pPr>
        <w:jc w:val="center"/>
        <w:rPr>
          <w:b/>
          <w:sz w:val="32"/>
          <w:szCs w:val="32"/>
        </w:rPr>
      </w:pPr>
      <w:bookmarkStart w:id="0" w:name="_GoBack"/>
      <w:bookmarkEnd w:id="0"/>
    </w:p>
    <w:p w:rsidR="00054836" w:rsidRPr="00054836" w:rsidRDefault="00054836" w:rsidP="00054836">
      <w:pPr>
        <w:pBdr>
          <w:top w:val="single" w:sz="4" w:space="1" w:color="auto"/>
          <w:left w:val="single" w:sz="4" w:space="4" w:color="auto"/>
          <w:bottom w:val="single" w:sz="4" w:space="1" w:color="auto"/>
          <w:right w:val="single" w:sz="4" w:space="4" w:color="auto"/>
        </w:pBdr>
        <w:jc w:val="center"/>
        <w:rPr>
          <w:b/>
          <w:sz w:val="32"/>
          <w:szCs w:val="32"/>
        </w:rPr>
      </w:pPr>
    </w:p>
    <w:p w:rsidR="00054836" w:rsidRPr="00054836" w:rsidRDefault="00054836" w:rsidP="00054836">
      <w:pPr>
        <w:pBdr>
          <w:top w:val="single" w:sz="4" w:space="1" w:color="auto"/>
          <w:left w:val="single" w:sz="4" w:space="4" w:color="auto"/>
          <w:bottom w:val="single" w:sz="4" w:space="1" w:color="auto"/>
          <w:right w:val="single" w:sz="4" w:space="4" w:color="auto"/>
        </w:pBdr>
        <w:jc w:val="center"/>
        <w:rPr>
          <w:b/>
          <w:sz w:val="32"/>
          <w:szCs w:val="32"/>
        </w:rPr>
      </w:pPr>
    </w:p>
    <w:p w:rsidR="005C67D2" w:rsidRPr="00054836" w:rsidRDefault="007F5DBE" w:rsidP="00054836">
      <w:pPr>
        <w:pBdr>
          <w:top w:val="single" w:sz="4" w:space="1" w:color="auto"/>
          <w:left w:val="single" w:sz="4" w:space="4" w:color="auto"/>
          <w:bottom w:val="single" w:sz="4" w:space="1" w:color="auto"/>
          <w:right w:val="single" w:sz="4" w:space="4" w:color="auto"/>
        </w:pBdr>
        <w:jc w:val="center"/>
        <w:rPr>
          <w:b/>
          <w:sz w:val="32"/>
          <w:szCs w:val="32"/>
        </w:rPr>
      </w:pPr>
      <w:r w:rsidRPr="00054836">
        <w:rPr>
          <w:b/>
          <w:sz w:val="32"/>
          <w:szCs w:val="32"/>
        </w:rPr>
        <w:t>KSD WORKING PAPER 10</w:t>
      </w:r>
    </w:p>
    <w:p w:rsidR="007F5DBE" w:rsidRPr="00054836" w:rsidRDefault="007F5DBE" w:rsidP="00054836">
      <w:pPr>
        <w:pBdr>
          <w:top w:val="single" w:sz="4" w:space="1" w:color="auto"/>
          <w:left w:val="single" w:sz="4" w:space="4" w:color="auto"/>
          <w:bottom w:val="single" w:sz="4" w:space="1" w:color="auto"/>
          <w:right w:val="single" w:sz="4" w:space="4" w:color="auto"/>
        </w:pBdr>
        <w:rPr>
          <w:sz w:val="32"/>
          <w:szCs w:val="32"/>
        </w:rPr>
      </w:pPr>
    </w:p>
    <w:p w:rsidR="00054836" w:rsidRDefault="00054836" w:rsidP="00054836">
      <w:pPr>
        <w:pBdr>
          <w:top w:val="single" w:sz="4" w:space="1" w:color="auto"/>
          <w:left w:val="single" w:sz="4" w:space="4" w:color="auto"/>
          <w:bottom w:val="single" w:sz="4" w:space="1" w:color="auto"/>
          <w:right w:val="single" w:sz="4" w:space="4" w:color="auto"/>
        </w:pBdr>
        <w:jc w:val="center"/>
        <w:rPr>
          <w:rFonts w:asciiTheme="majorHAnsi" w:hAnsiTheme="majorHAnsi" w:cstheme="majorHAnsi"/>
          <w:b/>
          <w:sz w:val="32"/>
          <w:szCs w:val="32"/>
        </w:rPr>
      </w:pPr>
    </w:p>
    <w:p w:rsidR="00054836" w:rsidRPr="00054836" w:rsidRDefault="00054836" w:rsidP="00054836">
      <w:pPr>
        <w:pBdr>
          <w:top w:val="single" w:sz="4" w:space="1" w:color="auto"/>
          <w:left w:val="single" w:sz="4" w:space="4" w:color="auto"/>
          <w:bottom w:val="single" w:sz="4" w:space="1" w:color="auto"/>
          <w:right w:val="single" w:sz="4" w:space="4" w:color="auto"/>
        </w:pBdr>
        <w:jc w:val="center"/>
        <w:rPr>
          <w:rFonts w:asciiTheme="majorHAnsi" w:hAnsiTheme="majorHAnsi" w:cstheme="majorHAnsi"/>
          <w:b/>
          <w:sz w:val="32"/>
          <w:szCs w:val="32"/>
        </w:rPr>
      </w:pPr>
    </w:p>
    <w:p w:rsidR="00054836" w:rsidRDefault="005C67D2" w:rsidP="00054836">
      <w:pPr>
        <w:pBdr>
          <w:top w:val="single" w:sz="4" w:space="1" w:color="auto"/>
          <w:left w:val="single" w:sz="4" w:space="4" w:color="auto"/>
          <w:bottom w:val="single" w:sz="4" w:space="1" w:color="auto"/>
          <w:right w:val="single" w:sz="4" w:space="4" w:color="auto"/>
        </w:pBdr>
        <w:jc w:val="center"/>
        <w:rPr>
          <w:rFonts w:asciiTheme="majorHAnsi" w:hAnsiTheme="majorHAnsi" w:cstheme="majorHAnsi"/>
          <w:b/>
          <w:sz w:val="32"/>
          <w:szCs w:val="32"/>
        </w:rPr>
      </w:pPr>
      <w:r w:rsidRPr="00054836">
        <w:rPr>
          <w:rFonts w:asciiTheme="majorHAnsi" w:hAnsiTheme="majorHAnsi" w:cstheme="majorHAnsi"/>
          <w:b/>
          <w:sz w:val="32"/>
          <w:szCs w:val="32"/>
        </w:rPr>
        <w:t xml:space="preserve">AN EGALITARIAN ALTERNATIVE? </w:t>
      </w:r>
    </w:p>
    <w:p w:rsidR="005C67D2" w:rsidRPr="00054836" w:rsidRDefault="005C67D2" w:rsidP="00054836">
      <w:pPr>
        <w:pBdr>
          <w:top w:val="single" w:sz="4" w:space="1" w:color="auto"/>
          <w:left w:val="single" w:sz="4" w:space="4" w:color="auto"/>
          <w:bottom w:val="single" w:sz="4" w:space="1" w:color="auto"/>
          <w:right w:val="single" w:sz="4" w:space="4" w:color="auto"/>
        </w:pBdr>
        <w:jc w:val="center"/>
        <w:rPr>
          <w:rFonts w:asciiTheme="majorHAnsi" w:hAnsiTheme="majorHAnsi" w:cstheme="majorHAnsi"/>
          <w:b/>
          <w:sz w:val="32"/>
          <w:szCs w:val="32"/>
        </w:rPr>
      </w:pPr>
      <w:r w:rsidRPr="00054836">
        <w:rPr>
          <w:rFonts w:asciiTheme="majorHAnsi" w:hAnsiTheme="majorHAnsi" w:cstheme="majorHAnsi"/>
          <w:b/>
          <w:sz w:val="32"/>
          <w:szCs w:val="32"/>
        </w:rPr>
        <w:t xml:space="preserve">THE INCIDENCE AND PATTERNS OF PRIVATE SCHOOLING PROVISION IN SUB-SAHARAN AFRICA </w:t>
      </w:r>
    </w:p>
    <w:p w:rsidR="005C67D2" w:rsidRPr="00054836" w:rsidRDefault="005C67D2" w:rsidP="00054836">
      <w:pPr>
        <w:pBdr>
          <w:top w:val="single" w:sz="4" w:space="1" w:color="auto"/>
          <w:left w:val="single" w:sz="4" w:space="4" w:color="auto"/>
          <w:bottom w:val="single" w:sz="4" w:space="1" w:color="auto"/>
          <w:right w:val="single" w:sz="4" w:space="4" w:color="auto"/>
        </w:pBdr>
        <w:rPr>
          <w:sz w:val="32"/>
          <w:szCs w:val="32"/>
        </w:rPr>
      </w:pPr>
    </w:p>
    <w:p w:rsidR="00054836" w:rsidRPr="00054836" w:rsidRDefault="00054836" w:rsidP="00054836">
      <w:pPr>
        <w:pBdr>
          <w:top w:val="single" w:sz="4" w:space="1" w:color="auto"/>
          <w:left w:val="single" w:sz="4" w:space="4" w:color="auto"/>
          <w:bottom w:val="single" w:sz="4" w:space="1" w:color="auto"/>
          <w:right w:val="single" w:sz="4" w:space="4" w:color="auto"/>
        </w:pBdr>
        <w:jc w:val="center"/>
        <w:rPr>
          <w:sz w:val="32"/>
          <w:szCs w:val="32"/>
        </w:rPr>
      </w:pPr>
    </w:p>
    <w:p w:rsidR="00054836" w:rsidRPr="00054836" w:rsidRDefault="00054836" w:rsidP="00054836">
      <w:pPr>
        <w:pBdr>
          <w:top w:val="single" w:sz="4" w:space="1" w:color="auto"/>
          <w:left w:val="single" w:sz="4" w:space="4" w:color="auto"/>
          <w:bottom w:val="single" w:sz="4" w:space="1" w:color="auto"/>
          <w:right w:val="single" w:sz="4" w:space="4" w:color="auto"/>
        </w:pBdr>
        <w:jc w:val="center"/>
        <w:rPr>
          <w:sz w:val="32"/>
          <w:szCs w:val="32"/>
        </w:rPr>
      </w:pPr>
    </w:p>
    <w:p w:rsidR="005C67D2" w:rsidRPr="00054836" w:rsidRDefault="005C67D2" w:rsidP="00054836">
      <w:pPr>
        <w:pBdr>
          <w:top w:val="single" w:sz="4" w:space="1" w:color="auto"/>
          <w:left w:val="single" w:sz="4" w:space="4" w:color="auto"/>
          <w:bottom w:val="single" w:sz="4" w:space="1" w:color="auto"/>
          <w:right w:val="single" w:sz="4" w:space="4" w:color="auto"/>
        </w:pBdr>
        <w:jc w:val="center"/>
        <w:rPr>
          <w:sz w:val="32"/>
          <w:szCs w:val="32"/>
        </w:rPr>
      </w:pPr>
      <w:r w:rsidRPr="00054836">
        <w:rPr>
          <w:sz w:val="32"/>
          <w:szCs w:val="32"/>
        </w:rPr>
        <w:t>PAUL BENNELL</w:t>
      </w:r>
    </w:p>
    <w:p w:rsidR="005C67D2" w:rsidRPr="00054836" w:rsidRDefault="005C67D2" w:rsidP="00054836">
      <w:pPr>
        <w:pBdr>
          <w:top w:val="single" w:sz="4" w:space="1" w:color="auto"/>
          <w:left w:val="single" w:sz="4" w:space="4" w:color="auto"/>
          <w:bottom w:val="single" w:sz="4" w:space="1" w:color="auto"/>
          <w:right w:val="single" w:sz="4" w:space="4" w:color="auto"/>
        </w:pBdr>
        <w:jc w:val="center"/>
        <w:rPr>
          <w:sz w:val="32"/>
          <w:szCs w:val="32"/>
        </w:rPr>
      </w:pPr>
      <w:r w:rsidRPr="00054836">
        <w:rPr>
          <w:sz w:val="32"/>
          <w:szCs w:val="32"/>
        </w:rPr>
        <w:t xml:space="preserve">Knowledge and Skills for Development, Brighton </w:t>
      </w:r>
    </w:p>
    <w:p w:rsidR="005C67D2" w:rsidRPr="00054836" w:rsidRDefault="005C67D2" w:rsidP="00054836">
      <w:pPr>
        <w:pBdr>
          <w:top w:val="single" w:sz="4" w:space="1" w:color="auto"/>
          <w:left w:val="single" w:sz="4" w:space="4" w:color="auto"/>
          <w:bottom w:val="single" w:sz="4" w:space="1" w:color="auto"/>
          <w:right w:val="single" w:sz="4" w:space="4" w:color="auto"/>
        </w:pBdr>
        <w:rPr>
          <w:sz w:val="32"/>
          <w:szCs w:val="32"/>
        </w:rPr>
      </w:pPr>
    </w:p>
    <w:p w:rsidR="00054836" w:rsidRPr="00054836" w:rsidRDefault="00054836" w:rsidP="00054836">
      <w:pPr>
        <w:pBdr>
          <w:top w:val="single" w:sz="4" w:space="1" w:color="auto"/>
          <w:left w:val="single" w:sz="4" w:space="4" w:color="auto"/>
          <w:bottom w:val="single" w:sz="4" w:space="1" w:color="auto"/>
          <w:right w:val="single" w:sz="4" w:space="4" w:color="auto"/>
        </w:pBdr>
        <w:rPr>
          <w:sz w:val="32"/>
          <w:szCs w:val="32"/>
        </w:rPr>
      </w:pPr>
    </w:p>
    <w:p w:rsidR="00054836" w:rsidRPr="00054836" w:rsidRDefault="00054836" w:rsidP="00054836">
      <w:pPr>
        <w:pBdr>
          <w:top w:val="single" w:sz="4" w:space="1" w:color="auto"/>
          <w:left w:val="single" w:sz="4" w:space="4" w:color="auto"/>
          <w:bottom w:val="single" w:sz="4" w:space="1" w:color="auto"/>
          <w:right w:val="single" w:sz="4" w:space="4" w:color="auto"/>
        </w:pBdr>
        <w:rPr>
          <w:sz w:val="32"/>
          <w:szCs w:val="32"/>
        </w:rPr>
      </w:pPr>
    </w:p>
    <w:p w:rsidR="00054836" w:rsidRPr="00054836" w:rsidRDefault="00054836" w:rsidP="00054836">
      <w:pPr>
        <w:pBdr>
          <w:top w:val="single" w:sz="4" w:space="1" w:color="auto"/>
          <w:left w:val="single" w:sz="4" w:space="4" w:color="auto"/>
          <w:bottom w:val="single" w:sz="4" w:space="1" w:color="auto"/>
          <w:right w:val="single" w:sz="4" w:space="4" w:color="auto"/>
        </w:pBdr>
        <w:rPr>
          <w:sz w:val="32"/>
          <w:szCs w:val="32"/>
        </w:rPr>
      </w:pPr>
    </w:p>
    <w:p w:rsidR="00054836" w:rsidRPr="00054836" w:rsidRDefault="00054836" w:rsidP="00054836">
      <w:pPr>
        <w:pBdr>
          <w:top w:val="single" w:sz="4" w:space="1" w:color="auto"/>
          <w:left w:val="single" w:sz="4" w:space="4" w:color="auto"/>
          <w:bottom w:val="single" w:sz="4" w:space="1" w:color="auto"/>
          <w:right w:val="single" w:sz="4" w:space="4" w:color="auto"/>
        </w:pBdr>
        <w:rPr>
          <w:sz w:val="32"/>
          <w:szCs w:val="32"/>
        </w:rPr>
      </w:pPr>
    </w:p>
    <w:p w:rsidR="00054836" w:rsidRDefault="00054836" w:rsidP="00054836">
      <w:pPr>
        <w:pBdr>
          <w:top w:val="single" w:sz="4" w:space="1" w:color="auto"/>
          <w:left w:val="single" w:sz="4" w:space="4" w:color="auto"/>
          <w:bottom w:val="single" w:sz="4" w:space="1" w:color="auto"/>
          <w:right w:val="single" w:sz="4" w:space="4" w:color="auto"/>
        </w:pBdr>
        <w:jc w:val="center"/>
        <w:rPr>
          <w:sz w:val="32"/>
          <w:szCs w:val="32"/>
        </w:rPr>
      </w:pPr>
      <w:r w:rsidRPr="00054836">
        <w:rPr>
          <w:sz w:val="32"/>
          <w:szCs w:val="32"/>
        </w:rPr>
        <w:t>FEBRUARY 2021</w:t>
      </w:r>
    </w:p>
    <w:p w:rsidR="00054836" w:rsidRDefault="00054836" w:rsidP="00054836">
      <w:pPr>
        <w:pBdr>
          <w:top w:val="single" w:sz="4" w:space="1" w:color="auto"/>
          <w:left w:val="single" w:sz="4" w:space="4" w:color="auto"/>
          <w:bottom w:val="single" w:sz="4" w:space="1" w:color="auto"/>
          <w:right w:val="single" w:sz="4" w:space="4" w:color="auto"/>
        </w:pBdr>
        <w:jc w:val="center"/>
        <w:rPr>
          <w:sz w:val="32"/>
          <w:szCs w:val="32"/>
        </w:rPr>
      </w:pPr>
    </w:p>
    <w:p w:rsidR="00054836" w:rsidRPr="00054836" w:rsidRDefault="00054836" w:rsidP="00054836">
      <w:pPr>
        <w:pBdr>
          <w:top w:val="single" w:sz="4" w:space="1" w:color="auto"/>
          <w:left w:val="single" w:sz="4" w:space="4" w:color="auto"/>
          <w:bottom w:val="single" w:sz="4" w:space="1" w:color="auto"/>
          <w:right w:val="single" w:sz="4" w:space="4" w:color="auto"/>
        </w:pBdr>
        <w:jc w:val="center"/>
        <w:rPr>
          <w:sz w:val="32"/>
          <w:szCs w:val="32"/>
        </w:rPr>
      </w:pPr>
    </w:p>
    <w:p w:rsidR="005C67D2" w:rsidRPr="00054836" w:rsidRDefault="005C67D2" w:rsidP="00054836">
      <w:pPr>
        <w:pBdr>
          <w:top w:val="single" w:sz="4" w:space="1" w:color="auto"/>
          <w:left w:val="single" w:sz="4" w:space="4" w:color="auto"/>
          <w:bottom w:val="single" w:sz="4" w:space="1" w:color="auto"/>
          <w:right w:val="single" w:sz="4" w:space="4" w:color="auto"/>
        </w:pBdr>
        <w:rPr>
          <w:sz w:val="32"/>
          <w:szCs w:val="32"/>
        </w:rPr>
      </w:pPr>
      <w:r w:rsidRPr="00054836">
        <w:rPr>
          <w:sz w:val="32"/>
          <w:szCs w:val="32"/>
        </w:rPr>
        <w:br w:type="page"/>
      </w:r>
    </w:p>
    <w:p w:rsidR="005C67D2" w:rsidRDefault="005C67D2" w:rsidP="005C67D2">
      <w:pPr>
        <w:jc w:val="center"/>
        <w:rPr>
          <w:sz w:val="32"/>
          <w:szCs w:val="32"/>
        </w:rPr>
      </w:pPr>
      <w:r>
        <w:rPr>
          <w:sz w:val="32"/>
          <w:szCs w:val="32"/>
        </w:rPr>
        <w:lastRenderedPageBreak/>
        <w:t>ABSTRACT</w:t>
      </w:r>
    </w:p>
    <w:p w:rsidR="005C67D2" w:rsidRDefault="005C67D2" w:rsidP="005C67D2">
      <w:pPr>
        <w:jc w:val="both"/>
        <w:rPr>
          <w:rFonts w:asciiTheme="majorHAnsi" w:hAnsiTheme="majorHAnsi" w:cstheme="majorHAnsi"/>
          <w:sz w:val="28"/>
          <w:szCs w:val="28"/>
        </w:rPr>
      </w:pPr>
      <w:r w:rsidRPr="005C5E5A">
        <w:rPr>
          <w:rFonts w:asciiTheme="majorHAnsi" w:hAnsiTheme="majorHAnsi" w:cstheme="majorHAnsi"/>
          <w:sz w:val="28"/>
          <w:szCs w:val="28"/>
        </w:rPr>
        <w:t>This article reviews new evidence on the incidence and patterns of private schooling provision (PSP) in sub-Saharan Africa (SSA).</w:t>
      </w:r>
      <w:r>
        <w:rPr>
          <w:rFonts w:asciiTheme="majorHAnsi" w:hAnsiTheme="majorHAnsi" w:cstheme="majorHAnsi"/>
          <w:sz w:val="28"/>
          <w:szCs w:val="28"/>
        </w:rPr>
        <w:t xml:space="preserve"> It addresses </w:t>
      </w:r>
      <w:r w:rsidRPr="005C5E5A">
        <w:rPr>
          <w:rFonts w:asciiTheme="majorHAnsi" w:hAnsiTheme="majorHAnsi" w:cstheme="majorHAnsi"/>
          <w:sz w:val="28"/>
          <w:szCs w:val="28"/>
        </w:rPr>
        <w:t xml:space="preserve">three </w:t>
      </w:r>
      <w:r>
        <w:rPr>
          <w:rFonts w:asciiTheme="majorHAnsi" w:hAnsiTheme="majorHAnsi" w:cstheme="majorHAnsi"/>
          <w:sz w:val="28"/>
          <w:szCs w:val="28"/>
        </w:rPr>
        <w:t xml:space="preserve">main </w:t>
      </w:r>
      <w:r w:rsidRPr="005C5E5A">
        <w:rPr>
          <w:rFonts w:asciiTheme="majorHAnsi" w:hAnsiTheme="majorHAnsi" w:cstheme="majorHAnsi"/>
          <w:sz w:val="28"/>
          <w:szCs w:val="28"/>
        </w:rPr>
        <w:t>questions, namely</w:t>
      </w:r>
      <w:r>
        <w:rPr>
          <w:rFonts w:asciiTheme="majorHAnsi" w:hAnsiTheme="majorHAnsi" w:cstheme="majorHAnsi"/>
          <w:sz w:val="28"/>
          <w:szCs w:val="28"/>
        </w:rPr>
        <w:t>; (i) what</w:t>
      </w:r>
      <w:r w:rsidRPr="005C5E5A">
        <w:rPr>
          <w:rFonts w:asciiTheme="majorHAnsi" w:hAnsiTheme="majorHAnsi" w:cstheme="majorHAnsi"/>
          <w:sz w:val="28"/>
          <w:szCs w:val="28"/>
        </w:rPr>
        <w:t xml:space="preserve"> is the overall </w:t>
      </w:r>
      <w:r>
        <w:rPr>
          <w:rFonts w:asciiTheme="majorHAnsi" w:hAnsiTheme="majorHAnsi" w:cstheme="majorHAnsi"/>
          <w:sz w:val="28"/>
          <w:szCs w:val="28"/>
        </w:rPr>
        <w:t xml:space="preserve">country </w:t>
      </w:r>
      <w:r w:rsidRPr="005C5E5A">
        <w:rPr>
          <w:rFonts w:asciiTheme="majorHAnsi" w:hAnsiTheme="majorHAnsi" w:cstheme="majorHAnsi"/>
          <w:sz w:val="28"/>
          <w:szCs w:val="28"/>
        </w:rPr>
        <w:t>incidence of PSP across SSA? (ii) Can any patterns of provision be discerned across the continent as a whole and, if so, what are the likely</w:t>
      </w:r>
      <w:r>
        <w:rPr>
          <w:rFonts w:asciiTheme="majorHAnsi" w:hAnsiTheme="majorHAnsi" w:cstheme="majorHAnsi"/>
          <w:sz w:val="28"/>
          <w:szCs w:val="28"/>
        </w:rPr>
        <w:t xml:space="preserve"> reasons for this? And, (iii) </w:t>
      </w:r>
      <w:r w:rsidRPr="005C5E5A">
        <w:rPr>
          <w:rFonts w:asciiTheme="majorHAnsi" w:hAnsiTheme="majorHAnsi" w:cstheme="majorHAnsi"/>
          <w:sz w:val="28"/>
          <w:szCs w:val="28"/>
        </w:rPr>
        <w:t>what is the potential for the future expansion</w:t>
      </w:r>
      <w:r>
        <w:rPr>
          <w:rFonts w:asciiTheme="majorHAnsi" w:hAnsiTheme="majorHAnsi" w:cstheme="majorHAnsi"/>
          <w:sz w:val="28"/>
          <w:szCs w:val="28"/>
        </w:rPr>
        <w:t xml:space="preserve"> of PSP</w:t>
      </w:r>
      <w:r w:rsidRPr="005C5E5A">
        <w:rPr>
          <w:rFonts w:asciiTheme="majorHAnsi" w:hAnsiTheme="majorHAnsi" w:cstheme="majorHAnsi"/>
          <w:sz w:val="28"/>
          <w:szCs w:val="28"/>
        </w:rPr>
        <w:t xml:space="preserve"> and, relatedly, to what extent is PSP a ‘viable alternative’ to public schooling</w:t>
      </w:r>
      <w:r>
        <w:rPr>
          <w:rFonts w:asciiTheme="majorHAnsi" w:hAnsiTheme="majorHAnsi" w:cstheme="majorHAnsi"/>
          <w:sz w:val="28"/>
          <w:szCs w:val="28"/>
        </w:rPr>
        <w:t xml:space="preserve"> in SSA</w:t>
      </w:r>
      <w:r w:rsidRPr="005C5E5A">
        <w:rPr>
          <w:rFonts w:asciiTheme="majorHAnsi" w:hAnsiTheme="majorHAnsi" w:cstheme="majorHAnsi"/>
          <w:sz w:val="28"/>
          <w:szCs w:val="28"/>
        </w:rPr>
        <w:t xml:space="preserve">? </w:t>
      </w:r>
    </w:p>
    <w:p w:rsidR="005C67D2" w:rsidRDefault="005C67D2">
      <w:pPr>
        <w:rPr>
          <w:rFonts w:asciiTheme="majorHAnsi" w:hAnsiTheme="majorHAnsi" w:cstheme="majorHAnsi"/>
          <w:sz w:val="28"/>
          <w:szCs w:val="28"/>
        </w:rPr>
      </w:pPr>
      <w:r>
        <w:rPr>
          <w:rFonts w:asciiTheme="majorHAnsi" w:hAnsiTheme="majorHAnsi" w:cstheme="majorHAnsi"/>
          <w:sz w:val="28"/>
          <w:szCs w:val="28"/>
        </w:rPr>
        <w:br w:type="page"/>
      </w:r>
    </w:p>
    <w:p w:rsidR="000B10B0" w:rsidRPr="005C5E5A" w:rsidRDefault="002D2B7B" w:rsidP="009E7402">
      <w:pPr>
        <w:jc w:val="center"/>
        <w:rPr>
          <w:rFonts w:asciiTheme="majorHAnsi" w:hAnsiTheme="majorHAnsi" w:cstheme="majorHAnsi"/>
          <w:b/>
          <w:sz w:val="32"/>
          <w:szCs w:val="32"/>
        </w:rPr>
      </w:pPr>
      <w:r w:rsidRPr="005C5E5A">
        <w:rPr>
          <w:rFonts w:asciiTheme="majorHAnsi" w:hAnsiTheme="majorHAnsi" w:cstheme="majorHAnsi"/>
          <w:b/>
          <w:sz w:val="32"/>
          <w:szCs w:val="32"/>
        </w:rPr>
        <w:lastRenderedPageBreak/>
        <w:t xml:space="preserve">AN EGALITARIAN ALTERNATIVE? </w:t>
      </w:r>
      <w:r w:rsidR="00937738" w:rsidRPr="005C5E5A">
        <w:rPr>
          <w:rFonts w:asciiTheme="majorHAnsi" w:hAnsiTheme="majorHAnsi" w:cstheme="majorHAnsi"/>
          <w:b/>
          <w:sz w:val="32"/>
          <w:szCs w:val="32"/>
        </w:rPr>
        <w:t xml:space="preserve">THE </w:t>
      </w:r>
      <w:r w:rsidR="00221C61" w:rsidRPr="005C5E5A">
        <w:rPr>
          <w:rFonts w:asciiTheme="majorHAnsi" w:hAnsiTheme="majorHAnsi" w:cstheme="majorHAnsi"/>
          <w:b/>
          <w:sz w:val="32"/>
          <w:szCs w:val="32"/>
        </w:rPr>
        <w:t xml:space="preserve">INCIDENCE AND PATTERNS OF </w:t>
      </w:r>
      <w:r w:rsidR="00B26EB8" w:rsidRPr="005C5E5A">
        <w:rPr>
          <w:rFonts w:asciiTheme="majorHAnsi" w:hAnsiTheme="majorHAnsi" w:cstheme="majorHAnsi"/>
          <w:b/>
          <w:sz w:val="32"/>
          <w:szCs w:val="32"/>
        </w:rPr>
        <w:t xml:space="preserve">PRIVATE </w:t>
      </w:r>
      <w:r w:rsidR="00221C61" w:rsidRPr="005C5E5A">
        <w:rPr>
          <w:rFonts w:asciiTheme="majorHAnsi" w:hAnsiTheme="majorHAnsi" w:cstheme="majorHAnsi"/>
          <w:b/>
          <w:sz w:val="32"/>
          <w:szCs w:val="32"/>
        </w:rPr>
        <w:t>SCHOOLING PROVISION</w:t>
      </w:r>
      <w:r w:rsidR="00937738" w:rsidRPr="005C5E5A">
        <w:rPr>
          <w:rFonts w:asciiTheme="majorHAnsi" w:hAnsiTheme="majorHAnsi" w:cstheme="majorHAnsi"/>
          <w:b/>
          <w:sz w:val="32"/>
          <w:szCs w:val="32"/>
        </w:rPr>
        <w:t xml:space="preserve"> IN SUB-SAHARAN AFRICA</w:t>
      </w:r>
      <w:r w:rsidR="00221C61" w:rsidRPr="005C5E5A">
        <w:rPr>
          <w:rFonts w:asciiTheme="majorHAnsi" w:hAnsiTheme="majorHAnsi" w:cstheme="majorHAnsi"/>
          <w:b/>
          <w:sz w:val="32"/>
          <w:szCs w:val="32"/>
        </w:rPr>
        <w:t xml:space="preserve"> </w:t>
      </w:r>
    </w:p>
    <w:p w:rsidR="009E7402" w:rsidRPr="005C5E5A" w:rsidRDefault="009E7402" w:rsidP="009E7402">
      <w:pPr>
        <w:jc w:val="center"/>
        <w:rPr>
          <w:rFonts w:asciiTheme="majorHAnsi" w:hAnsiTheme="majorHAnsi" w:cstheme="majorHAnsi"/>
          <w:b/>
          <w:sz w:val="32"/>
          <w:szCs w:val="32"/>
        </w:rPr>
      </w:pPr>
    </w:p>
    <w:p w:rsidR="009E7402" w:rsidRPr="005C5E5A" w:rsidRDefault="009E7402" w:rsidP="009E7402">
      <w:pPr>
        <w:jc w:val="center"/>
        <w:rPr>
          <w:rFonts w:asciiTheme="majorHAnsi" w:hAnsiTheme="majorHAnsi" w:cstheme="majorHAnsi"/>
          <w:b/>
          <w:sz w:val="32"/>
          <w:szCs w:val="32"/>
        </w:rPr>
      </w:pPr>
    </w:p>
    <w:p w:rsidR="009E7402" w:rsidRPr="005C5E5A" w:rsidRDefault="00E70893" w:rsidP="009E7402">
      <w:pPr>
        <w:pStyle w:val="ListParagraph"/>
        <w:numPr>
          <w:ilvl w:val="0"/>
          <w:numId w:val="1"/>
        </w:numPr>
        <w:rPr>
          <w:rFonts w:asciiTheme="majorHAnsi" w:hAnsiTheme="majorHAnsi" w:cstheme="majorHAnsi"/>
          <w:b/>
          <w:sz w:val="28"/>
          <w:szCs w:val="28"/>
        </w:rPr>
      </w:pPr>
      <w:r w:rsidRPr="005C5E5A">
        <w:rPr>
          <w:rFonts w:asciiTheme="majorHAnsi" w:hAnsiTheme="majorHAnsi" w:cstheme="majorHAnsi"/>
          <w:b/>
          <w:sz w:val="28"/>
          <w:szCs w:val="28"/>
        </w:rPr>
        <w:t>Introduction</w:t>
      </w:r>
    </w:p>
    <w:p w:rsidR="00D57F50" w:rsidRPr="005C5E5A" w:rsidRDefault="00256A3F" w:rsidP="00590374">
      <w:pPr>
        <w:jc w:val="both"/>
        <w:rPr>
          <w:rFonts w:asciiTheme="majorHAnsi" w:hAnsiTheme="majorHAnsi" w:cstheme="majorHAnsi"/>
          <w:sz w:val="28"/>
          <w:szCs w:val="28"/>
        </w:rPr>
      </w:pPr>
      <w:r w:rsidRPr="005C5E5A">
        <w:rPr>
          <w:rFonts w:asciiTheme="majorHAnsi" w:hAnsiTheme="majorHAnsi" w:cstheme="majorHAnsi"/>
          <w:sz w:val="28"/>
          <w:szCs w:val="28"/>
        </w:rPr>
        <w:t>T</w:t>
      </w:r>
      <w:r w:rsidR="003A425C" w:rsidRPr="005C5E5A">
        <w:rPr>
          <w:rFonts w:asciiTheme="majorHAnsi" w:hAnsiTheme="majorHAnsi" w:cstheme="majorHAnsi"/>
          <w:sz w:val="28"/>
          <w:szCs w:val="28"/>
        </w:rPr>
        <w:t xml:space="preserve">his </w:t>
      </w:r>
      <w:r w:rsidR="00054836">
        <w:rPr>
          <w:rFonts w:asciiTheme="majorHAnsi" w:hAnsiTheme="majorHAnsi" w:cstheme="majorHAnsi"/>
          <w:sz w:val="28"/>
          <w:szCs w:val="28"/>
        </w:rPr>
        <w:t>paper</w:t>
      </w:r>
      <w:r w:rsidR="003A425C" w:rsidRPr="005C5E5A">
        <w:rPr>
          <w:rFonts w:asciiTheme="majorHAnsi" w:hAnsiTheme="majorHAnsi" w:cstheme="majorHAnsi"/>
          <w:sz w:val="28"/>
          <w:szCs w:val="28"/>
        </w:rPr>
        <w:t xml:space="preserve"> review</w:t>
      </w:r>
      <w:r w:rsidRPr="005C5E5A">
        <w:rPr>
          <w:rFonts w:asciiTheme="majorHAnsi" w:hAnsiTheme="majorHAnsi" w:cstheme="majorHAnsi"/>
          <w:sz w:val="28"/>
          <w:szCs w:val="28"/>
        </w:rPr>
        <w:t>s</w:t>
      </w:r>
      <w:r w:rsidR="003A425C" w:rsidRPr="005C5E5A">
        <w:rPr>
          <w:rFonts w:asciiTheme="majorHAnsi" w:hAnsiTheme="majorHAnsi" w:cstheme="majorHAnsi"/>
          <w:sz w:val="28"/>
          <w:szCs w:val="28"/>
        </w:rPr>
        <w:t xml:space="preserve"> </w:t>
      </w:r>
      <w:r w:rsidRPr="005C5E5A">
        <w:rPr>
          <w:rFonts w:asciiTheme="majorHAnsi" w:hAnsiTheme="majorHAnsi" w:cstheme="majorHAnsi"/>
          <w:sz w:val="28"/>
          <w:szCs w:val="28"/>
        </w:rPr>
        <w:t xml:space="preserve">new </w:t>
      </w:r>
      <w:r w:rsidR="003A425C" w:rsidRPr="005C5E5A">
        <w:rPr>
          <w:rFonts w:asciiTheme="majorHAnsi" w:hAnsiTheme="majorHAnsi" w:cstheme="majorHAnsi"/>
          <w:sz w:val="28"/>
          <w:szCs w:val="28"/>
        </w:rPr>
        <w:t>evidence on the incidence and patterns of private schooling provision (PSP)</w:t>
      </w:r>
      <w:r w:rsidR="00CC2712" w:rsidRPr="005C5E5A">
        <w:rPr>
          <w:rFonts w:asciiTheme="majorHAnsi" w:hAnsiTheme="majorHAnsi" w:cstheme="majorHAnsi"/>
          <w:sz w:val="28"/>
          <w:szCs w:val="28"/>
        </w:rPr>
        <w:t xml:space="preserve"> in sub-Saharan Africa (S</w:t>
      </w:r>
      <w:r w:rsidR="003A425C" w:rsidRPr="005C5E5A">
        <w:rPr>
          <w:rFonts w:asciiTheme="majorHAnsi" w:hAnsiTheme="majorHAnsi" w:cstheme="majorHAnsi"/>
          <w:sz w:val="28"/>
          <w:szCs w:val="28"/>
        </w:rPr>
        <w:t>SA</w:t>
      </w:r>
      <w:r w:rsidR="00CC2712" w:rsidRPr="005C5E5A">
        <w:rPr>
          <w:rFonts w:asciiTheme="majorHAnsi" w:hAnsiTheme="majorHAnsi" w:cstheme="majorHAnsi"/>
          <w:sz w:val="28"/>
          <w:szCs w:val="28"/>
        </w:rPr>
        <w:t>).</w:t>
      </w:r>
      <w:r w:rsidR="00290838">
        <w:rPr>
          <w:rFonts w:asciiTheme="majorHAnsi" w:hAnsiTheme="majorHAnsi" w:cstheme="majorHAnsi"/>
          <w:sz w:val="28"/>
          <w:szCs w:val="28"/>
        </w:rPr>
        <w:t xml:space="preserve"> Concerns about growing </w:t>
      </w:r>
      <w:r w:rsidR="00590374" w:rsidRPr="005C5E5A">
        <w:rPr>
          <w:rFonts w:asciiTheme="majorHAnsi" w:hAnsiTheme="majorHAnsi" w:cstheme="majorHAnsi"/>
          <w:sz w:val="28"/>
          <w:szCs w:val="28"/>
        </w:rPr>
        <w:t>education</w:t>
      </w:r>
      <w:r w:rsidR="00290838">
        <w:rPr>
          <w:rFonts w:asciiTheme="majorHAnsi" w:hAnsiTheme="majorHAnsi" w:cstheme="majorHAnsi"/>
          <w:sz w:val="28"/>
          <w:szCs w:val="28"/>
        </w:rPr>
        <w:t>al</w:t>
      </w:r>
      <w:r w:rsidR="00590374" w:rsidRPr="005C5E5A">
        <w:rPr>
          <w:rFonts w:asciiTheme="majorHAnsi" w:hAnsiTheme="majorHAnsi" w:cstheme="majorHAnsi"/>
          <w:sz w:val="28"/>
          <w:szCs w:val="28"/>
        </w:rPr>
        <w:t xml:space="preserve"> privatisation in SSA have become more pervasive during the last decade </w:t>
      </w:r>
      <w:r w:rsidRPr="005C5E5A">
        <w:rPr>
          <w:rFonts w:asciiTheme="majorHAnsi" w:hAnsiTheme="majorHAnsi" w:cstheme="majorHAnsi"/>
          <w:sz w:val="28"/>
          <w:szCs w:val="28"/>
        </w:rPr>
        <w:t xml:space="preserve">mainly </w:t>
      </w:r>
      <w:r w:rsidR="00590374" w:rsidRPr="005C5E5A">
        <w:rPr>
          <w:rFonts w:asciiTheme="majorHAnsi" w:hAnsiTheme="majorHAnsi" w:cstheme="majorHAnsi"/>
          <w:sz w:val="28"/>
          <w:szCs w:val="28"/>
        </w:rPr>
        <w:t xml:space="preserve">because rapidly increasing private </w:t>
      </w:r>
      <w:r w:rsidRPr="005C5E5A">
        <w:rPr>
          <w:rFonts w:asciiTheme="majorHAnsi" w:hAnsiTheme="majorHAnsi" w:cstheme="majorHAnsi"/>
          <w:sz w:val="28"/>
          <w:szCs w:val="28"/>
        </w:rPr>
        <w:t xml:space="preserve">sector </w:t>
      </w:r>
      <w:r w:rsidR="00590374" w:rsidRPr="005C5E5A">
        <w:rPr>
          <w:rFonts w:asciiTheme="majorHAnsi" w:hAnsiTheme="majorHAnsi" w:cstheme="majorHAnsi"/>
          <w:sz w:val="28"/>
          <w:szCs w:val="28"/>
        </w:rPr>
        <w:t xml:space="preserve">involvement in education provision is </w:t>
      </w:r>
      <w:r w:rsidRPr="005C5E5A">
        <w:rPr>
          <w:rFonts w:asciiTheme="majorHAnsi" w:hAnsiTheme="majorHAnsi" w:cstheme="majorHAnsi"/>
          <w:sz w:val="28"/>
          <w:szCs w:val="28"/>
        </w:rPr>
        <w:t xml:space="preserve">viewed by many </w:t>
      </w:r>
      <w:r w:rsidR="00590374" w:rsidRPr="005C5E5A">
        <w:rPr>
          <w:rFonts w:asciiTheme="majorHAnsi" w:hAnsiTheme="majorHAnsi" w:cstheme="majorHAnsi"/>
          <w:sz w:val="28"/>
          <w:szCs w:val="28"/>
        </w:rPr>
        <w:t>as undermining the attainment of Education for All and other education-related Sustainable Development Goals.</w:t>
      </w:r>
      <w:r w:rsidR="006D5546" w:rsidRPr="005C5E5A">
        <w:rPr>
          <w:rFonts w:asciiTheme="majorHAnsi" w:hAnsiTheme="majorHAnsi" w:cstheme="majorHAnsi"/>
          <w:sz w:val="28"/>
          <w:szCs w:val="28"/>
        </w:rPr>
        <w:t xml:space="preserve"> Proponents of PSP, on the other hand, contend that </w:t>
      </w:r>
      <w:r w:rsidRPr="005C5E5A">
        <w:rPr>
          <w:rFonts w:asciiTheme="majorHAnsi" w:hAnsiTheme="majorHAnsi" w:cstheme="majorHAnsi"/>
          <w:sz w:val="28"/>
          <w:szCs w:val="28"/>
        </w:rPr>
        <w:t>the scale of private education</w:t>
      </w:r>
      <w:r w:rsidR="009F75E3" w:rsidRPr="005C5E5A">
        <w:rPr>
          <w:rFonts w:asciiTheme="majorHAnsi" w:hAnsiTheme="majorHAnsi" w:cstheme="majorHAnsi"/>
          <w:sz w:val="28"/>
          <w:szCs w:val="28"/>
        </w:rPr>
        <w:t xml:space="preserve"> is no</w:t>
      </w:r>
      <w:r w:rsidRPr="005C5E5A">
        <w:rPr>
          <w:rFonts w:asciiTheme="majorHAnsi" w:hAnsiTheme="majorHAnsi" w:cstheme="majorHAnsi"/>
          <w:sz w:val="28"/>
          <w:szCs w:val="28"/>
        </w:rPr>
        <w:t xml:space="preserve">t only </w:t>
      </w:r>
      <w:r w:rsidR="009F75E3" w:rsidRPr="005C5E5A">
        <w:rPr>
          <w:rFonts w:asciiTheme="majorHAnsi" w:hAnsiTheme="majorHAnsi" w:cstheme="majorHAnsi"/>
          <w:sz w:val="28"/>
          <w:szCs w:val="28"/>
        </w:rPr>
        <w:t xml:space="preserve">‘huge’ </w:t>
      </w:r>
      <w:r w:rsidRPr="005C5E5A">
        <w:rPr>
          <w:rFonts w:asciiTheme="majorHAnsi" w:hAnsiTheme="majorHAnsi" w:cstheme="majorHAnsi"/>
          <w:sz w:val="28"/>
          <w:szCs w:val="28"/>
        </w:rPr>
        <w:t>but also accessible to the poor</w:t>
      </w:r>
      <w:r w:rsidR="002D2B7B" w:rsidRPr="005C5E5A">
        <w:rPr>
          <w:rFonts w:asciiTheme="majorHAnsi" w:hAnsiTheme="majorHAnsi" w:cstheme="majorHAnsi"/>
          <w:sz w:val="28"/>
          <w:szCs w:val="28"/>
        </w:rPr>
        <w:t xml:space="preserve">. Thus, given a supportive </w:t>
      </w:r>
      <w:r w:rsidR="009F75E3" w:rsidRPr="005C5E5A">
        <w:rPr>
          <w:rFonts w:asciiTheme="majorHAnsi" w:hAnsiTheme="majorHAnsi" w:cstheme="majorHAnsi"/>
          <w:sz w:val="28"/>
          <w:szCs w:val="28"/>
        </w:rPr>
        <w:t>policy environment</w:t>
      </w:r>
      <w:r w:rsidR="002D2B7B" w:rsidRPr="005C5E5A">
        <w:rPr>
          <w:rFonts w:asciiTheme="majorHAnsi" w:hAnsiTheme="majorHAnsi" w:cstheme="majorHAnsi"/>
          <w:sz w:val="28"/>
          <w:szCs w:val="28"/>
        </w:rPr>
        <w:t xml:space="preserve">, PSP could become a </w:t>
      </w:r>
      <w:r w:rsidR="009F75E3" w:rsidRPr="005C5E5A">
        <w:rPr>
          <w:rFonts w:asciiTheme="majorHAnsi" w:hAnsiTheme="majorHAnsi" w:cstheme="majorHAnsi"/>
          <w:sz w:val="28"/>
          <w:szCs w:val="28"/>
        </w:rPr>
        <w:t>viable</w:t>
      </w:r>
      <w:r w:rsidR="00883B9B" w:rsidRPr="005C5E5A">
        <w:rPr>
          <w:rFonts w:asciiTheme="majorHAnsi" w:hAnsiTheme="majorHAnsi" w:cstheme="majorHAnsi"/>
          <w:sz w:val="28"/>
          <w:szCs w:val="28"/>
        </w:rPr>
        <w:t>,</w:t>
      </w:r>
      <w:r w:rsidR="009F75E3" w:rsidRPr="005C5E5A">
        <w:rPr>
          <w:rFonts w:asciiTheme="majorHAnsi" w:hAnsiTheme="majorHAnsi" w:cstheme="majorHAnsi"/>
          <w:sz w:val="28"/>
          <w:szCs w:val="28"/>
        </w:rPr>
        <w:t xml:space="preserve"> </w:t>
      </w:r>
      <w:r w:rsidR="00883B9B" w:rsidRPr="005C5E5A">
        <w:rPr>
          <w:rFonts w:asciiTheme="majorHAnsi" w:hAnsiTheme="majorHAnsi" w:cstheme="majorHAnsi"/>
          <w:sz w:val="28"/>
          <w:szCs w:val="28"/>
        </w:rPr>
        <w:t xml:space="preserve">‘egalitarian’ </w:t>
      </w:r>
      <w:r w:rsidR="009F75E3" w:rsidRPr="005C5E5A">
        <w:rPr>
          <w:rFonts w:asciiTheme="majorHAnsi" w:hAnsiTheme="majorHAnsi" w:cstheme="majorHAnsi"/>
          <w:sz w:val="28"/>
          <w:szCs w:val="28"/>
        </w:rPr>
        <w:t xml:space="preserve">alternative to </w:t>
      </w:r>
      <w:r w:rsidR="000914D8" w:rsidRPr="005C5E5A">
        <w:rPr>
          <w:rFonts w:asciiTheme="majorHAnsi" w:hAnsiTheme="majorHAnsi" w:cstheme="majorHAnsi"/>
          <w:sz w:val="28"/>
          <w:szCs w:val="28"/>
        </w:rPr>
        <w:t xml:space="preserve">often poor quality </w:t>
      </w:r>
      <w:r w:rsidR="009F75E3" w:rsidRPr="005C5E5A">
        <w:rPr>
          <w:rFonts w:asciiTheme="majorHAnsi" w:hAnsiTheme="majorHAnsi" w:cstheme="majorHAnsi"/>
          <w:sz w:val="28"/>
          <w:szCs w:val="28"/>
        </w:rPr>
        <w:t>public schooling in many parts of the continent.</w:t>
      </w:r>
      <w:r w:rsidR="00FA16B5" w:rsidRPr="005C5E5A">
        <w:rPr>
          <w:rFonts w:asciiTheme="majorHAnsi" w:hAnsiTheme="majorHAnsi" w:cstheme="majorHAnsi"/>
          <w:sz w:val="28"/>
          <w:szCs w:val="28"/>
        </w:rPr>
        <w:t xml:space="preserve"> As the leading ad</w:t>
      </w:r>
      <w:r w:rsidR="00286A2C" w:rsidRPr="005C5E5A">
        <w:rPr>
          <w:rFonts w:asciiTheme="majorHAnsi" w:hAnsiTheme="majorHAnsi" w:cstheme="majorHAnsi"/>
          <w:sz w:val="28"/>
          <w:szCs w:val="28"/>
        </w:rPr>
        <w:t>vocate of PSP, James Tooley</w:t>
      </w:r>
      <w:r w:rsidR="00081FEE">
        <w:rPr>
          <w:rFonts w:asciiTheme="majorHAnsi" w:hAnsiTheme="majorHAnsi" w:cstheme="majorHAnsi"/>
          <w:sz w:val="28"/>
          <w:szCs w:val="28"/>
        </w:rPr>
        <w:t>,</w:t>
      </w:r>
      <w:r w:rsidR="00286A2C" w:rsidRPr="005C5E5A">
        <w:rPr>
          <w:rFonts w:asciiTheme="majorHAnsi" w:hAnsiTheme="majorHAnsi" w:cstheme="majorHAnsi"/>
          <w:sz w:val="28"/>
          <w:szCs w:val="28"/>
        </w:rPr>
        <w:t xml:space="preserve"> puts it</w:t>
      </w:r>
      <w:r w:rsidR="00FA16B5" w:rsidRPr="005C5E5A">
        <w:rPr>
          <w:rFonts w:asciiTheme="majorHAnsi" w:hAnsiTheme="majorHAnsi" w:cstheme="majorHAnsi"/>
          <w:sz w:val="28"/>
          <w:szCs w:val="28"/>
        </w:rPr>
        <w:t xml:space="preserve"> ‘private schooling has an important role to play in helping governments meet EFA </w:t>
      </w:r>
      <w:r w:rsidR="00EF07C3">
        <w:rPr>
          <w:rFonts w:asciiTheme="majorHAnsi" w:hAnsiTheme="majorHAnsi" w:cstheme="majorHAnsi"/>
          <w:sz w:val="28"/>
          <w:szCs w:val="28"/>
        </w:rPr>
        <w:t>targets’ (Tooley, 2005</w:t>
      </w:r>
      <w:r w:rsidR="00FA16B5" w:rsidRPr="005C5E5A">
        <w:rPr>
          <w:rFonts w:asciiTheme="majorHAnsi" w:hAnsiTheme="majorHAnsi" w:cstheme="majorHAnsi"/>
          <w:sz w:val="28"/>
          <w:szCs w:val="28"/>
        </w:rPr>
        <w:t>:</w:t>
      </w:r>
      <w:r w:rsidR="00EF07C3">
        <w:rPr>
          <w:rFonts w:asciiTheme="majorHAnsi" w:hAnsiTheme="majorHAnsi" w:cstheme="majorHAnsi"/>
          <w:sz w:val="28"/>
          <w:szCs w:val="28"/>
        </w:rPr>
        <w:t>4</w:t>
      </w:r>
      <w:r w:rsidR="00FA16B5" w:rsidRPr="005C5E5A">
        <w:rPr>
          <w:rFonts w:asciiTheme="majorHAnsi" w:hAnsiTheme="majorHAnsi" w:cstheme="majorHAnsi"/>
          <w:sz w:val="28"/>
          <w:szCs w:val="28"/>
        </w:rPr>
        <w:t>).</w:t>
      </w:r>
    </w:p>
    <w:p w:rsidR="00FA16B5" w:rsidRPr="005C5E5A" w:rsidRDefault="000914D8" w:rsidP="00590374">
      <w:pPr>
        <w:jc w:val="both"/>
        <w:rPr>
          <w:rFonts w:asciiTheme="majorHAnsi" w:hAnsiTheme="majorHAnsi" w:cstheme="majorHAnsi"/>
          <w:sz w:val="28"/>
          <w:szCs w:val="28"/>
        </w:rPr>
      </w:pPr>
      <w:r w:rsidRPr="005C5E5A">
        <w:rPr>
          <w:rFonts w:asciiTheme="majorHAnsi" w:hAnsiTheme="majorHAnsi" w:cstheme="majorHAnsi"/>
          <w:sz w:val="28"/>
          <w:szCs w:val="28"/>
        </w:rPr>
        <w:t>With a</w:t>
      </w:r>
      <w:r w:rsidR="00286A2C" w:rsidRPr="005C5E5A">
        <w:rPr>
          <w:rFonts w:asciiTheme="majorHAnsi" w:hAnsiTheme="majorHAnsi" w:cstheme="majorHAnsi"/>
          <w:sz w:val="28"/>
          <w:szCs w:val="28"/>
        </w:rPr>
        <w:t>n</w:t>
      </w:r>
      <w:r w:rsidR="00FA16B5" w:rsidRPr="005C5E5A">
        <w:rPr>
          <w:rFonts w:asciiTheme="majorHAnsi" w:hAnsiTheme="majorHAnsi" w:cstheme="majorHAnsi"/>
          <w:sz w:val="28"/>
          <w:szCs w:val="28"/>
        </w:rPr>
        <w:t xml:space="preserve"> </w:t>
      </w:r>
      <w:r w:rsidR="00286A2C" w:rsidRPr="005C5E5A">
        <w:rPr>
          <w:rFonts w:asciiTheme="majorHAnsi" w:hAnsiTheme="majorHAnsi" w:cstheme="majorHAnsi"/>
          <w:sz w:val="28"/>
          <w:szCs w:val="28"/>
        </w:rPr>
        <w:t xml:space="preserve">existing </w:t>
      </w:r>
      <w:r w:rsidRPr="005C5E5A">
        <w:rPr>
          <w:rFonts w:asciiTheme="majorHAnsi" w:hAnsiTheme="majorHAnsi" w:cstheme="majorHAnsi"/>
          <w:sz w:val="28"/>
          <w:szCs w:val="28"/>
        </w:rPr>
        <w:t xml:space="preserve">‘sizeable body of research’ (Baum, 2020:101) </w:t>
      </w:r>
      <w:r w:rsidR="002D2B7B" w:rsidRPr="005C5E5A">
        <w:rPr>
          <w:rFonts w:asciiTheme="majorHAnsi" w:hAnsiTheme="majorHAnsi" w:cstheme="majorHAnsi"/>
          <w:sz w:val="28"/>
          <w:szCs w:val="28"/>
        </w:rPr>
        <w:t>on</w:t>
      </w:r>
      <w:r w:rsidRPr="005C5E5A">
        <w:rPr>
          <w:rFonts w:asciiTheme="majorHAnsi" w:hAnsiTheme="majorHAnsi" w:cstheme="majorHAnsi"/>
          <w:sz w:val="28"/>
          <w:szCs w:val="28"/>
        </w:rPr>
        <w:t xml:space="preserve"> PSP</w:t>
      </w:r>
      <w:r w:rsidR="002D2B7B" w:rsidRPr="005C5E5A">
        <w:rPr>
          <w:rFonts w:asciiTheme="majorHAnsi" w:hAnsiTheme="majorHAnsi" w:cstheme="majorHAnsi"/>
          <w:sz w:val="28"/>
          <w:szCs w:val="28"/>
        </w:rPr>
        <w:t xml:space="preserve"> in developing countries</w:t>
      </w:r>
      <w:r w:rsidRPr="005C5E5A">
        <w:rPr>
          <w:rFonts w:asciiTheme="majorHAnsi" w:hAnsiTheme="majorHAnsi" w:cstheme="majorHAnsi"/>
          <w:sz w:val="28"/>
          <w:szCs w:val="28"/>
        </w:rPr>
        <w:t xml:space="preserve">, it could be argued that a review of this kind is not necessary. </w:t>
      </w:r>
      <w:r w:rsidR="00FA16B5" w:rsidRPr="005C5E5A">
        <w:rPr>
          <w:rFonts w:asciiTheme="majorHAnsi" w:hAnsiTheme="majorHAnsi" w:cstheme="majorHAnsi"/>
          <w:sz w:val="28"/>
          <w:szCs w:val="28"/>
        </w:rPr>
        <w:t xml:space="preserve">However, what is striking is that </w:t>
      </w:r>
      <w:r w:rsidR="002D2B7B" w:rsidRPr="005C5E5A">
        <w:rPr>
          <w:rFonts w:asciiTheme="majorHAnsi" w:hAnsiTheme="majorHAnsi" w:cstheme="majorHAnsi"/>
          <w:sz w:val="28"/>
          <w:szCs w:val="28"/>
        </w:rPr>
        <w:t xml:space="preserve">the available evidence on the overall incidence and patterns </w:t>
      </w:r>
      <w:r w:rsidR="00FA16B5" w:rsidRPr="005C5E5A">
        <w:rPr>
          <w:rFonts w:asciiTheme="majorHAnsi" w:hAnsiTheme="majorHAnsi" w:cstheme="majorHAnsi"/>
          <w:sz w:val="28"/>
          <w:szCs w:val="28"/>
        </w:rPr>
        <w:t>of PSP is so limited</w:t>
      </w:r>
      <w:r w:rsidR="002D2B7B" w:rsidRPr="005C5E5A">
        <w:rPr>
          <w:rFonts w:asciiTheme="majorHAnsi" w:hAnsiTheme="majorHAnsi" w:cstheme="majorHAnsi"/>
          <w:sz w:val="28"/>
          <w:szCs w:val="28"/>
        </w:rPr>
        <w:t>. This is especially the case in SSA where the bulk of the research</w:t>
      </w:r>
      <w:r w:rsidR="00290838">
        <w:rPr>
          <w:rFonts w:asciiTheme="majorHAnsi" w:hAnsiTheme="majorHAnsi" w:cstheme="majorHAnsi"/>
          <w:sz w:val="28"/>
          <w:szCs w:val="28"/>
        </w:rPr>
        <w:t xml:space="preserve"> on PSP</w:t>
      </w:r>
      <w:r w:rsidR="002D2B7B" w:rsidRPr="005C5E5A">
        <w:rPr>
          <w:rFonts w:asciiTheme="majorHAnsi" w:hAnsiTheme="majorHAnsi" w:cstheme="majorHAnsi"/>
          <w:sz w:val="28"/>
          <w:szCs w:val="28"/>
        </w:rPr>
        <w:t xml:space="preserve"> </w:t>
      </w:r>
      <w:r w:rsidR="00E726F7" w:rsidRPr="005C5E5A">
        <w:rPr>
          <w:rFonts w:asciiTheme="majorHAnsi" w:hAnsiTheme="majorHAnsi" w:cstheme="majorHAnsi"/>
          <w:sz w:val="28"/>
          <w:szCs w:val="28"/>
        </w:rPr>
        <w:t xml:space="preserve">has been </w:t>
      </w:r>
      <w:r w:rsidR="002D2B7B" w:rsidRPr="005C5E5A">
        <w:rPr>
          <w:rFonts w:asciiTheme="majorHAnsi" w:hAnsiTheme="majorHAnsi" w:cstheme="majorHAnsi"/>
          <w:sz w:val="28"/>
          <w:szCs w:val="28"/>
        </w:rPr>
        <w:t>undertaken in high density informal settlements (</w:t>
      </w:r>
      <w:r w:rsidR="00FA16B5" w:rsidRPr="005C5E5A">
        <w:rPr>
          <w:rFonts w:asciiTheme="majorHAnsi" w:hAnsiTheme="majorHAnsi" w:cstheme="majorHAnsi"/>
          <w:sz w:val="28"/>
          <w:szCs w:val="28"/>
        </w:rPr>
        <w:t>slum</w:t>
      </w:r>
      <w:r w:rsidR="002D2B7B" w:rsidRPr="005C5E5A">
        <w:rPr>
          <w:rFonts w:asciiTheme="majorHAnsi" w:hAnsiTheme="majorHAnsi" w:cstheme="majorHAnsi"/>
          <w:sz w:val="28"/>
          <w:szCs w:val="28"/>
        </w:rPr>
        <w:t>s)</w:t>
      </w:r>
      <w:r w:rsidR="00FA16B5" w:rsidRPr="005C5E5A">
        <w:rPr>
          <w:rFonts w:asciiTheme="majorHAnsi" w:hAnsiTheme="majorHAnsi" w:cstheme="majorHAnsi"/>
          <w:sz w:val="28"/>
          <w:szCs w:val="28"/>
        </w:rPr>
        <w:t xml:space="preserve"> in </w:t>
      </w:r>
      <w:r w:rsidR="002D2B7B" w:rsidRPr="005C5E5A">
        <w:rPr>
          <w:rFonts w:asciiTheme="majorHAnsi" w:hAnsiTheme="majorHAnsi" w:cstheme="majorHAnsi"/>
          <w:sz w:val="28"/>
          <w:szCs w:val="28"/>
        </w:rPr>
        <w:t xml:space="preserve">just </w:t>
      </w:r>
      <w:r w:rsidR="00EF07C3">
        <w:rPr>
          <w:rFonts w:asciiTheme="majorHAnsi" w:hAnsiTheme="majorHAnsi" w:cstheme="majorHAnsi"/>
          <w:sz w:val="28"/>
          <w:szCs w:val="28"/>
        </w:rPr>
        <w:t xml:space="preserve">six </w:t>
      </w:r>
      <w:r w:rsidR="00FA16B5" w:rsidRPr="005C5E5A">
        <w:rPr>
          <w:rFonts w:asciiTheme="majorHAnsi" w:hAnsiTheme="majorHAnsi" w:cstheme="majorHAnsi"/>
          <w:sz w:val="28"/>
          <w:szCs w:val="28"/>
        </w:rPr>
        <w:t>capital cities namely</w:t>
      </w:r>
      <w:r w:rsidR="00F743BC">
        <w:rPr>
          <w:rFonts w:asciiTheme="majorHAnsi" w:hAnsiTheme="majorHAnsi" w:cstheme="majorHAnsi"/>
          <w:sz w:val="28"/>
          <w:szCs w:val="28"/>
        </w:rPr>
        <w:t>,</w:t>
      </w:r>
      <w:r w:rsidR="00FA16B5" w:rsidRPr="005C5E5A">
        <w:rPr>
          <w:rFonts w:asciiTheme="majorHAnsi" w:hAnsiTheme="majorHAnsi" w:cstheme="majorHAnsi"/>
          <w:sz w:val="28"/>
          <w:szCs w:val="28"/>
        </w:rPr>
        <w:t xml:space="preserve"> Accra (Ghana)</w:t>
      </w:r>
      <w:r w:rsidR="00EF07C3">
        <w:rPr>
          <w:rFonts w:asciiTheme="majorHAnsi" w:hAnsiTheme="majorHAnsi" w:cstheme="majorHAnsi"/>
          <w:sz w:val="28"/>
          <w:szCs w:val="28"/>
        </w:rPr>
        <w:t>, Freetown (Liberia</w:t>
      </w:r>
      <w:r w:rsidR="006665C8">
        <w:rPr>
          <w:rFonts w:asciiTheme="majorHAnsi" w:hAnsiTheme="majorHAnsi" w:cstheme="majorHAnsi"/>
          <w:sz w:val="28"/>
          <w:szCs w:val="28"/>
        </w:rPr>
        <w:t>)</w:t>
      </w:r>
      <w:r w:rsidR="00EF07C3">
        <w:rPr>
          <w:rFonts w:asciiTheme="majorHAnsi" w:hAnsiTheme="majorHAnsi" w:cstheme="majorHAnsi"/>
          <w:sz w:val="28"/>
          <w:szCs w:val="28"/>
        </w:rPr>
        <w:t xml:space="preserve">, and </w:t>
      </w:r>
      <w:r w:rsidR="00FA16B5" w:rsidRPr="005C5E5A">
        <w:rPr>
          <w:rFonts w:asciiTheme="majorHAnsi" w:hAnsiTheme="majorHAnsi" w:cstheme="majorHAnsi"/>
          <w:sz w:val="28"/>
          <w:szCs w:val="28"/>
        </w:rPr>
        <w:t>Lagos (Nigeria)</w:t>
      </w:r>
      <w:r w:rsidR="00EF07C3">
        <w:rPr>
          <w:rFonts w:asciiTheme="majorHAnsi" w:hAnsiTheme="majorHAnsi" w:cstheme="majorHAnsi"/>
          <w:sz w:val="28"/>
          <w:szCs w:val="28"/>
        </w:rPr>
        <w:t xml:space="preserve"> i</w:t>
      </w:r>
      <w:r w:rsidR="00FA16B5" w:rsidRPr="005C5E5A">
        <w:rPr>
          <w:rFonts w:asciiTheme="majorHAnsi" w:hAnsiTheme="majorHAnsi" w:cstheme="majorHAnsi"/>
          <w:sz w:val="28"/>
          <w:szCs w:val="28"/>
        </w:rPr>
        <w:t xml:space="preserve">n West Africa and </w:t>
      </w:r>
      <w:r w:rsidR="00EF07C3">
        <w:rPr>
          <w:rFonts w:asciiTheme="majorHAnsi" w:hAnsiTheme="majorHAnsi" w:cstheme="majorHAnsi"/>
          <w:sz w:val="28"/>
          <w:szCs w:val="28"/>
        </w:rPr>
        <w:t xml:space="preserve">Juba (South Sudan), </w:t>
      </w:r>
      <w:r w:rsidR="00FA16B5" w:rsidRPr="005C5E5A">
        <w:rPr>
          <w:rFonts w:asciiTheme="majorHAnsi" w:hAnsiTheme="majorHAnsi" w:cstheme="majorHAnsi"/>
          <w:sz w:val="28"/>
          <w:szCs w:val="28"/>
        </w:rPr>
        <w:t xml:space="preserve">Kampala (Uganda) </w:t>
      </w:r>
      <w:r w:rsidR="00EF07C3">
        <w:rPr>
          <w:rFonts w:asciiTheme="majorHAnsi" w:hAnsiTheme="majorHAnsi" w:cstheme="majorHAnsi"/>
          <w:sz w:val="28"/>
          <w:szCs w:val="28"/>
        </w:rPr>
        <w:t xml:space="preserve">and Nairobi (Kenya) </w:t>
      </w:r>
      <w:r w:rsidR="00FA16B5" w:rsidRPr="005C5E5A">
        <w:rPr>
          <w:rFonts w:asciiTheme="majorHAnsi" w:hAnsiTheme="majorHAnsi" w:cstheme="majorHAnsi"/>
          <w:sz w:val="28"/>
          <w:szCs w:val="28"/>
        </w:rPr>
        <w:t>in East Africa</w:t>
      </w:r>
      <w:r w:rsidR="00290838">
        <w:rPr>
          <w:rStyle w:val="FootnoteReference"/>
          <w:rFonts w:asciiTheme="majorHAnsi" w:hAnsiTheme="majorHAnsi" w:cstheme="majorHAnsi"/>
          <w:sz w:val="28"/>
          <w:szCs w:val="28"/>
        </w:rPr>
        <w:footnoteReference w:id="1"/>
      </w:r>
      <w:r w:rsidR="00FA16B5" w:rsidRPr="005C5E5A">
        <w:rPr>
          <w:rFonts w:asciiTheme="majorHAnsi" w:hAnsiTheme="majorHAnsi" w:cstheme="majorHAnsi"/>
          <w:sz w:val="28"/>
          <w:szCs w:val="28"/>
        </w:rPr>
        <w:t xml:space="preserve">. </w:t>
      </w:r>
      <w:r w:rsidR="00286A2C" w:rsidRPr="005C5E5A">
        <w:rPr>
          <w:rFonts w:asciiTheme="majorHAnsi" w:hAnsiTheme="majorHAnsi" w:cstheme="majorHAnsi"/>
          <w:sz w:val="28"/>
          <w:szCs w:val="28"/>
        </w:rPr>
        <w:t>A</w:t>
      </w:r>
      <w:r w:rsidR="00FA16B5" w:rsidRPr="005C5E5A">
        <w:rPr>
          <w:rFonts w:asciiTheme="majorHAnsi" w:hAnsiTheme="majorHAnsi" w:cstheme="majorHAnsi"/>
          <w:sz w:val="28"/>
          <w:szCs w:val="28"/>
        </w:rPr>
        <w:t xml:space="preserve"> </w:t>
      </w:r>
      <w:r w:rsidR="00EF07C3">
        <w:rPr>
          <w:rFonts w:asciiTheme="majorHAnsi" w:hAnsiTheme="majorHAnsi" w:cstheme="majorHAnsi"/>
          <w:sz w:val="28"/>
          <w:szCs w:val="28"/>
        </w:rPr>
        <w:t xml:space="preserve">rigorous literature </w:t>
      </w:r>
      <w:r w:rsidR="00D57F50" w:rsidRPr="005C5E5A">
        <w:rPr>
          <w:rFonts w:asciiTheme="majorHAnsi" w:hAnsiTheme="majorHAnsi" w:cstheme="majorHAnsi"/>
          <w:sz w:val="28"/>
          <w:szCs w:val="28"/>
        </w:rPr>
        <w:t xml:space="preserve">review of research on PSP in developing countries </w:t>
      </w:r>
      <w:r w:rsidR="00FA16B5" w:rsidRPr="005C5E5A">
        <w:rPr>
          <w:rFonts w:asciiTheme="majorHAnsi" w:hAnsiTheme="majorHAnsi" w:cstheme="majorHAnsi"/>
          <w:sz w:val="28"/>
          <w:szCs w:val="28"/>
        </w:rPr>
        <w:t xml:space="preserve">which was conducted in 2014 also </w:t>
      </w:r>
      <w:r w:rsidR="00D57F50" w:rsidRPr="005C5E5A">
        <w:rPr>
          <w:rFonts w:asciiTheme="majorHAnsi" w:hAnsiTheme="majorHAnsi" w:cstheme="majorHAnsi"/>
          <w:sz w:val="28"/>
          <w:szCs w:val="28"/>
        </w:rPr>
        <w:t>conclude</w:t>
      </w:r>
      <w:r w:rsidR="006665C8">
        <w:rPr>
          <w:rFonts w:asciiTheme="majorHAnsi" w:hAnsiTheme="majorHAnsi" w:cstheme="majorHAnsi"/>
          <w:sz w:val="28"/>
          <w:szCs w:val="28"/>
        </w:rPr>
        <w:t>s</w:t>
      </w:r>
      <w:r w:rsidR="00D57F50" w:rsidRPr="005C5E5A">
        <w:rPr>
          <w:rFonts w:asciiTheme="majorHAnsi" w:hAnsiTheme="majorHAnsi" w:cstheme="majorHAnsi"/>
          <w:sz w:val="28"/>
          <w:szCs w:val="28"/>
        </w:rPr>
        <w:t xml:space="preserve"> that ‘arriving at general conclusions is difficult due to the diversity of the private school sector, the significant gaps in the evidence, and the fact that available research is rarely generalizable in itself. .. The majority of the assumptions at the heart of the debate are</w:t>
      </w:r>
      <w:r w:rsidR="00960AF8">
        <w:rPr>
          <w:rFonts w:asciiTheme="majorHAnsi" w:hAnsiTheme="majorHAnsi" w:cstheme="majorHAnsi"/>
          <w:sz w:val="28"/>
          <w:szCs w:val="28"/>
        </w:rPr>
        <w:t>,</w:t>
      </w:r>
      <w:r w:rsidR="00D57F50" w:rsidRPr="005C5E5A">
        <w:rPr>
          <w:rFonts w:asciiTheme="majorHAnsi" w:hAnsiTheme="majorHAnsi" w:cstheme="majorHAnsi"/>
          <w:sz w:val="28"/>
          <w:szCs w:val="28"/>
        </w:rPr>
        <w:t xml:space="preserve"> in f</w:t>
      </w:r>
      <w:r w:rsidR="00F743BC">
        <w:rPr>
          <w:rFonts w:asciiTheme="majorHAnsi" w:hAnsiTheme="majorHAnsi" w:cstheme="majorHAnsi"/>
          <w:sz w:val="28"/>
          <w:szCs w:val="28"/>
        </w:rPr>
        <w:t>act</w:t>
      </w:r>
      <w:r w:rsidR="00960AF8">
        <w:rPr>
          <w:rFonts w:asciiTheme="majorHAnsi" w:hAnsiTheme="majorHAnsi" w:cstheme="majorHAnsi"/>
          <w:sz w:val="28"/>
          <w:szCs w:val="28"/>
        </w:rPr>
        <w:t>,</w:t>
      </w:r>
      <w:r w:rsidR="00F743BC">
        <w:rPr>
          <w:rFonts w:asciiTheme="majorHAnsi" w:hAnsiTheme="majorHAnsi" w:cstheme="majorHAnsi"/>
          <w:sz w:val="28"/>
          <w:szCs w:val="28"/>
        </w:rPr>
        <w:t xml:space="preserve"> weakly evidenced’ (2014:</w:t>
      </w:r>
      <w:r w:rsidR="00D57F50" w:rsidRPr="005C5E5A">
        <w:rPr>
          <w:rFonts w:asciiTheme="majorHAnsi" w:hAnsiTheme="majorHAnsi" w:cstheme="majorHAnsi"/>
          <w:sz w:val="28"/>
          <w:szCs w:val="28"/>
        </w:rPr>
        <w:t xml:space="preserve">50). </w:t>
      </w:r>
    </w:p>
    <w:p w:rsidR="00590374" w:rsidRPr="005C5E5A" w:rsidRDefault="009F75E3" w:rsidP="00590374">
      <w:pPr>
        <w:jc w:val="both"/>
        <w:rPr>
          <w:rFonts w:asciiTheme="majorHAnsi" w:hAnsiTheme="majorHAnsi" w:cstheme="majorHAnsi"/>
          <w:sz w:val="28"/>
          <w:szCs w:val="28"/>
        </w:rPr>
      </w:pPr>
      <w:r w:rsidRPr="005C5E5A">
        <w:rPr>
          <w:rFonts w:asciiTheme="majorHAnsi" w:hAnsiTheme="majorHAnsi" w:cstheme="majorHAnsi"/>
          <w:sz w:val="28"/>
          <w:szCs w:val="28"/>
        </w:rPr>
        <w:lastRenderedPageBreak/>
        <w:t xml:space="preserve">To date, </w:t>
      </w:r>
      <w:r w:rsidR="003B5DA1" w:rsidRPr="005C5E5A">
        <w:rPr>
          <w:rFonts w:asciiTheme="majorHAnsi" w:hAnsiTheme="majorHAnsi" w:cstheme="majorHAnsi"/>
          <w:sz w:val="28"/>
          <w:szCs w:val="28"/>
        </w:rPr>
        <w:t xml:space="preserve">therefore, </w:t>
      </w:r>
      <w:r w:rsidRPr="005C5E5A">
        <w:rPr>
          <w:rFonts w:asciiTheme="majorHAnsi" w:hAnsiTheme="majorHAnsi" w:cstheme="majorHAnsi"/>
          <w:sz w:val="28"/>
          <w:szCs w:val="28"/>
        </w:rPr>
        <w:t xml:space="preserve">no in-depth analysis has been undertaken which seeks to establish the incidence and patterns of PSP </w:t>
      </w:r>
      <w:r w:rsidR="00960AF8">
        <w:rPr>
          <w:rFonts w:asciiTheme="majorHAnsi" w:hAnsiTheme="majorHAnsi" w:cstheme="majorHAnsi"/>
          <w:sz w:val="28"/>
          <w:szCs w:val="28"/>
        </w:rPr>
        <w:t xml:space="preserve">in </w:t>
      </w:r>
      <w:r w:rsidRPr="005C5E5A">
        <w:rPr>
          <w:rFonts w:asciiTheme="majorHAnsi" w:hAnsiTheme="majorHAnsi" w:cstheme="majorHAnsi"/>
          <w:sz w:val="28"/>
          <w:szCs w:val="28"/>
        </w:rPr>
        <w:t>SSA as a whole</w:t>
      </w:r>
      <w:r w:rsidR="006665C8">
        <w:rPr>
          <w:rFonts w:asciiTheme="majorHAnsi" w:hAnsiTheme="majorHAnsi" w:cstheme="majorHAnsi"/>
          <w:sz w:val="28"/>
          <w:szCs w:val="28"/>
        </w:rPr>
        <w:t xml:space="preserve"> and especially in recent years</w:t>
      </w:r>
      <w:r w:rsidRPr="005C5E5A">
        <w:rPr>
          <w:rFonts w:asciiTheme="majorHAnsi" w:hAnsiTheme="majorHAnsi" w:cstheme="majorHAnsi"/>
          <w:sz w:val="28"/>
          <w:szCs w:val="28"/>
        </w:rPr>
        <w:t>.</w:t>
      </w:r>
      <w:r w:rsidR="00590374" w:rsidRPr="005C5E5A">
        <w:rPr>
          <w:rFonts w:asciiTheme="majorHAnsi" w:hAnsiTheme="majorHAnsi" w:cstheme="majorHAnsi"/>
          <w:sz w:val="28"/>
          <w:szCs w:val="28"/>
        </w:rPr>
        <w:t xml:space="preserve">  </w:t>
      </w:r>
      <w:r w:rsidR="00D57F50" w:rsidRPr="005C5E5A">
        <w:rPr>
          <w:rFonts w:asciiTheme="majorHAnsi" w:hAnsiTheme="majorHAnsi" w:cstheme="majorHAnsi"/>
          <w:sz w:val="28"/>
          <w:szCs w:val="28"/>
        </w:rPr>
        <w:t xml:space="preserve">It is only on the basis of this </w:t>
      </w:r>
      <w:r w:rsidR="00F743BC">
        <w:rPr>
          <w:rFonts w:asciiTheme="majorHAnsi" w:hAnsiTheme="majorHAnsi" w:cstheme="majorHAnsi"/>
          <w:sz w:val="28"/>
          <w:szCs w:val="28"/>
        </w:rPr>
        <w:t>kind of analysis i</w:t>
      </w:r>
      <w:r w:rsidR="00D57F50" w:rsidRPr="005C5E5A">
        <w:rPr>
          <w:rFonts w:asciiTheme="majorHAnsi" w:hAnsiTheme="majorHAnsi" w:cstheme="majorHAnsi"/>
          <w:sz w:val="28"/>
          <w:szCs w:val="28"/>
        </w:rPr>
        <w:t xml:space="preserve">s it possible to reach more robust conclusions about the </w:t>
      </w:r>
      <w:r w:rsidR="00F743BC">
        <w:rPr>
          <w:rFonts w:asciiTheme="majorHAnsi" w:hAnsiTheme="majorHAnsi" w:cstheme="majorHAnsi"/>
          <w:sz w:val="28"/>
          <w:szCs w:val="28"/>
        </w:rPr>
        <w:t xml:space="preserve">potential role of </w:t>
      </w:r>
      <w:r w:rsidR="00D57F50" w:rsidRPr="005C5E5A">
        <w:rPr>
          <w:rFonts w:asciiTheme="majorHAnsi" w:hAnsiTheme="majorHAnsi" w:cstheme="majorHAnsi"/>
          <w:sz w:val="28"/>
          <w:szCs w:val="28"/>
        </w:rPr>
        <w:t>PSP in SSA in the future.</w:t>
      </w:r>
      <w:r w:rsidR="00590374" w:rsidRPr="005C5E5A">
        <w:rPr>
          <w:rFonts w:asciiTheme="majorHAnsi" w:hAnsiTheme="majorHAnsi" w:cstheme="majorHAnsi"/>
          <w:sz w:val="28"/>
          <w:szCs w:val="28"/>
        </w:rPr>
        <w:t xml:space="preserve">   </w:t>
      </w:r>
    </w:p>
    <w:p w:rsidR="001210F7" w:rsidRPr="005C5E5A" w:rsidRDefault="00A33A7C" w:rsidP="001210F7">
      <w:pPr>
        <w:jc w:val="both"/>
        <w:rPr>
          <w:rFonts w:asciiTheme="majorHAnsi" w:hAnsiTheme="majorHAnsi" w:cstheme="majorHAnsi"/>
          <w:i/>
          <w:sz w:val="28"/>
          <w:szCs w:val="28"/>
        </w:rPr>
      </w:pPr>
      <w:r w:rsidRPr="005C5E5A">
        <w:rPr>
          <w:rFonts w:asciiTheme="majorHAnsi" w:hAnsiTheme="majorHAnsi" w:cstheme="majorHAnsi"/>
          <w:i/>
          <w:sz w:val="28"/>
          <w:szCs w:val="28"/>
        </w:rPr>
        <w:t xml:space="preserve">1.1 </w:t>
      </w:r>
      <w:r w:rsidR="001210F7" w:rsidRPr="005C5E5A">
        <w:rPr>
          <w:rFonts w:asciiTheme="majorHAnsi" w:hAnsiTheme="majorHAnsi" w:cstheme="majorHAnsi"/>
          <w:i/>
          <w:sz w:val="28"/>
          <w:szCs w:val="28"/>
        </w:rPr>
        <w:t>Key questions</w:t>
      </w:r>
    </w:p>
    <w:p w:rsidR="00670818" w:rsidRPr="005C5E5A" w:rsidRDefault="00FA16B5" w:rsidP="00590374">
      <w:pPr>
        <w:jc w:val="both"/>
        <w:rPr>
          <w:rFonts w:asciiTheme="majorHAnsi" w:hAnsiTheme="majorHAnsi" w:cstheme="majorHAnsi"/>
          <w:sz w:val="28"/>
          <w:szCs w:val="28"/>
        </w:rPr>
      </w:pPr>
      <w:r w:rsidRPr="005C5E5A">
        <w:rPr>
          <w:rFonts w:asciiTheme="majorHAnsi" w:hAnsiTheme="majorHAnsi" w:cstheme="majorHAnsi"/>
          <w:sz w:val="28"/>
          <w:szCs w:val="28"/>
        </w:rPr>
        <w:t xml:space="preserve">The review addresses </w:t>
      </w:r>
      <w:r w:rsidR="00C64283" w:rsidRPr="005C5E5A">
        <w:rPr>
          <w:rFonts w:asciiTheme="majorHAnsi" w:hAnsiTheme="majorHAnsi" w:cstheme="majorHAnsi"/>
          <w:sz w:val="28"/>
          <w:szCs w:val="28"/>
        </w:rPr>
        <w:t>three</w:t>
      </w:r>
      <w:r w:rsidRPr="005C5E5A">
        <w:rPr>
          <w:rFonts w:asciiTheme="majorHAnsi" w:hAnsiTheme="majorHAnsi" w:cstheme="majorHAnsi"/>
          <w:sz w:val="28"/>
          <w:szCs w:val="28"/>
        </w:rPr>
        <w:t xml:space="preserve"> </w:t>
      </w:r>
      <w:r w:rsidR="00F743BC">
        <w:rPr>
          <w:rFonts w:asciiTheme="majorHAnsi" w:hAnsiTheme="majorHAnsi" w:cstheme="majorHAnsi"/>
          <w:sz w:val="28"/>
          <w:szCs w:val="28"/>
        </w:rPr>
        <w:t xml:space="preserve">main </w:t>
      </w:r>
      <w:r w:rsidRPr="005C5E5A">
        <w:rPr>
          <w:rFonts w:asciiTheme="majorHAnsi" w:hAnsiTheme="majorHAnsi" w:cstheme="majorHAnsi"/>
          <w:sz w:val="28"/>
          <w:szCs w:val="28"/>
        </w:rPr>
        <w:t xml:space="preserve">questions, </w:t>
      </w:r>
      <w:r w:rsidR="00C64283" w:rsidRPr="005C5E5A">
        <w:rPr>
          <w:rFonts w:asciiTheme="majorHAnsi" w:hAnsiTheme="majorHAnsi" w:cstheme="majorHAnsi"/>
          <w:sz w:val="28"/>
          <w:szCs w:val="28"/>
        </w:rPr>
        <w:t>namely</w:t>
      </w:r>
      <w:r w:rsidR="004233F8">
        <w:rPr>
          <w:rFonts w:asciiTheme="majorHAnsi" w:hAnsiTheme="majorHAnsi" w:cstheme="majorHAnsi"/>
          <w:sz w:val="28"/>
          <w:szCs w:val="28"/>
        </w:rPr>
        <w:t xml:space="preserve">; (i) </w:t>
      </w:r>
      <w:r w:rsidR="007045E5">
        <w:rPr>
          <w:rFonts w:asciiTheme="majorHAnsi" w:hAnsiTheme="majorHAnsi" w:cstheme="majorHAnsi"/>
          <w:sz w:val="28"/>
          <w:szCs w:val="28"/>
        </w:rPr>
        <w:t>what</w:t>
      </w:r>
      <w:r w:rsidR="00C64283" w:rsidRPr="005C5E5A">
        <w:rPr>
          <w:rFonts w:asciiTheme="majorHAnsi" w:hAnsiTheme="majorHAnsi" w:cstheme="majorHAnsi"/>
          <w:sz w:val="28"/>
          <w:szCs w:val="28"/>
        </w:rPr>
        <w:t xml:space="preserve"> is the overall </w:t>
      </w:r>
      <w:r w:rsidR="00F743BC">
        <w:rPr>
          <w:rFonts w:asciiTheme="majorHAnsi" w:hAnsiTheme="majorHAnsi" w:cstheme="majorHAnsi"/>
          <w:sz w:val="28"/>
          <w:szCs w:val="28"/>
        </w:rPr>
        <w:t xml:space="preserve">country </w:t>
      </w:r>
      <w:r w:rsidR="00C64283" w:rsidRPr="005C5E5A">
        <w:rPr>
          <w:rFonts w:asciiTheme="majorHAnsi" w:hAnsiTheme="majorHAnsi" w:cstheme="majorHAnsi"/>
          <w:sz w:val="28"/>
          <w:szCs w:val="28"/>
        </w:rPr>
        <w:t>incidence of PSP across SSA? (ii) Can any patterns of provision be discerned across the continent as a whole and, if so, what are the likely</w:t>
      </w:r>
      <w:r w:rsidR="00940582">
        <w:rPr>
          <w:rFonts w:asciiTheme="majorHAnsi" w:hAnsiTheme="majorHAnsi" w:cstheme="majorHAnsi"/>
          <w:sz w:val="28"/>
          <w:szCs w:val="28"/>
        </w:rPr>
        <w:t xml:space="preserve"> reasons for this? And</w:t>
      </w:r>
      <w:r w:rsidR="004233F8">
        <w:rPr>
          <w:rFonts w:asciiTheme="majorHAnsi" w:hAnsiTheme="majorHAnsi" w:cstheme="majorHAnsi"/>
          <w:sz w:val="28"/>
          <w:szCs w:val="28"/>
        </w:rPr>
        <w:t>,</w:t>
      </w:r>
      <w:r w:rsidR="00940582">
        <w:rPr>
          <w:rFonts w:asciiTheme="majorHAnsi" w:hAnsiTheme="majorHAnsi" w:cstheme="majorHAnsi"/>
          <w:sz w:val="28"/>
          <w:szCs w:val="28"/>
        </w:rPr>
        <w:t xml:space="preserve"> (iii) </w:t>
      </w:r>
      <w:r w:rsidR="00C64283" w:rsidRPr="005C5E5A">
        <w:rPr>
          <w:rFonts w:asciiTheme="majorHAnsi" w:hAnsiTheme="majorHAnsi" w:cstheme="majorHAnsi"/>
          <w:sz w:val="28"/>
          <w:szCs w:val="28"/>
        </w:rPr>
        <w:t xml:space="preserve">what </w:t>
      </w:r>
      <w:r w:rsidR="003B7CE5" w:rsidRPr="005C5E5A">
        <w:rPr>
          <w:rFonts w:asciiTheme="majorHAnsi" w:hAnsiTheme="majorHAnsi" w:cstheme="majorHAnsi"/>
          <w:sz w:val="28"/>
          <w:szCs w:val="28"/>
        </w:rPr>
        <w:t xml:space="preserve">is </w:t>
      </w:r>
      <w:r w:rsidR="00C64283" w:rsidRPr="005C5E5A">
        <w:rPr>
          <w:rFonts w:asciiTheme="majorHAnsi" w:hAnsiTheme="majorHAnsi" w:cstheme="majorHAnsi"/>
          <w:sz w:val="28"/>
          <w:szCs w:val="28"/>
        </w:rPr>
        <w:t>the potential for the future expansion</w:t>
      </w:r>
      <w:r w:rsidR="00940582">
        <w:rPr>
          <w:rFonts w:asciiTheme="majorHAnsi" w:hAnsiTheme="majorHAnsi" w:cstheme="majorHAnsi"/>
          <w:sz w:val="28"/>
          <w:szCs w:val="28"/>
        </w:rPr>
        <w:t xml:space="preserve"> of PSP</w:t>
      </w:r>
      <w:r w:rsidR="00C64283" w:rsidRPr="005C5E5A">
        <w:rPr>
          <w:rFonts w:asciiTheme="majorHAnsi" w:hAnsiTheme="majorHAnsi" w:cstheme="majorHAnsi"/>
          <w:sz w:val="28"/>
          <w:szCs w:val="28"/>
        </w:rPr>
        <w:t xml:space="preserve"> and, relatedly, to what extent is PSP a ‘viable alternative’ to public schooling</w:t>
      </w:r>
      <w:r w:rsidR="00960AF8">
        <w:rPr>
          <w:rFonts w:asciiTheme="majorHAnsi" w:hAnsiTheme="majorHAnsi" w:cstheme="majorHAnsi"/>
          <w:sz w:val="28"/>
          <w:szCs w:val="28"/>
        </w:rPr>
        <w:t xml:space="preserve"> in SSA</w:t>
      </w:r>
      <w:r w:rsidR="00C64283" w:rsidRPr="005C5E5A">
        <w:rPr>
          <w:rFonts w:asciiTheme="majorHAnsi" w:hAnsiTheme="majorHAnsi" w:cstheme="majorHAnsi"/>
          <w:sz w:val="28"/>
          <w:szCs w:val="28"/>
        </w:rPr>
        <w:t xml:space="preserve">? </w:t>
      </w:r>
    </w:p>
    <w:p w:rsidR="006B6847" w:rsidRPr="005C5E5A" w:rsidRDefault="00C64283" w:rsidP="00B91EF3">
      <w:pPr>
        <w:jc w:val="both"/>
        <w:rPr>
          <w:rFonts w:asciiTheme="majorHAnsi" w:hAnsiTheme="majorHAnsi" w:cstheme="majorHAnsi"/>
          <w:sz w:val="28"/>
          <w:szCs w:val="28"/>
        </w:rPr>
      </w:pPr>
      <w:r w:rsidRPr="005C5E5A">
        <w:rPr>
          <w:rFonts w:asciiTheme="majorHAnsi" w:hAnsiTheme="majorHAnsi" w:cstheme="majorHAnsi"/>
          <w:sz w:val="28"/>
          <w:szCs w:val="28"/>
        </w:rPr>
        <w:t xml:space="preserve">The </w:t>
      </w:r>
      <w:r w:rsidR="00FE1A28" w:rsidRPr="005C5E5A">
        <w:rPr>
          <w:rFonts w:asciiTheme="majorHAnsi" w:hAnsiTheme="majorHAnsi" w:cstheme="majorHAnsi"/>
          <w:sz w:val="28"/>
          <w:szCs w:val="28"/>
        </w:rPr>
        <w:t xml:space="preserve">core </w:t>
      </w:r>
      <w:r w:rsidRPr="005C5E5A">
        <w:rPr>
          <w:rFonts w:asciiTheme="majorHAnsi" w:hAnsiTheme="majorHAnsi" w:cstheme="majorHAnsi"/>
          <w:sz w:val="28"/>
          <w:szCs w:val="28"/>
        </w:rPr>
        <w:t>proposition underpinning this review is that the dominant e</w:t>
      </w:r>
      <w:r w:rsidR="00B91EF3" w:rsidRPr="005C5E5A">
        <w:rPr>
          <w:rFonts w:asciiTheme="majorHAnsi" w:hAnsiTheme="majorHAnsi" w:cstheme="majorHAnsi"/>
          <w:sz w:val="28"/>
          <w:szCs w:val="28"/>
        </w:rPr>
        <w:t xml:space="preserve">xplanation for </w:t>
      </w:r>
      <w:r w:rsidRPr="005C5E5A">
        <w:rPr>
          <w:rFonts w:asciiTheme="majorHAnsi" w:hAnsiTheme="majorHAnsi" w:cstheme="majorHAnsi"/>
          <w:sz w:val="28"/>
          <w:szCs w:val="28"/>
        </w:rPr>
        <w:t xml:space="preserve">the growth of </w:t>
      </w:r>
      <w:r w:rsidR="00B91EF3" w:rsidRPr="005C5E5A">
        <w:rPr>
          <w:rFonts w:asciiTheme="majorHAnsi" w:hAnsiTheme="majorHAnsi" w:cstheme="majorHAnsi"/>
          <w:sz w:val="28"/>
          <w:szCs w:val="28"/>
        </w:rPr>
        <w:t xml:space="preserve">PSP </w:t>
      </w:r>
      <w:r w:rsidR="001775A9" w:rsidRPr="005C5E5A">
        <w:rPr>
          <w:rFonts w:asciiTheme="majorHAnsi" w:hAnsiTheme="majorHAnsi" w:cstheme="majorHAnsi"/>
          <w:sz w:val="28"/>
          <w:szCs w:val="28"/>
        </w:rPr>
        <w:t xml:space="preserve">in SSA </w:t>
      </w:r>
      <w:r w:rsidRPr="005C5E5A">
        <w:rPr>
          <w:rFonts w:asciiTheme="majorHAnsi" w:hAnsiTheme="majorHAnsi" w:cstheme="majorHAnsi"/>
          <w:sz w:val="28"/>
          <w:szCs w:val="28"/>
        </w:rPr>
        <w:t xml:space="preserve">namely that it is driven by the poor and often </w:t>
      </w:r>
      <w:r w:rsidR="00B91EF3" w:rsidRPr="005C5E5A">
        <w:rPr>
          <w:rFonts w:asciiTheme="majorHAnsi" w:hAnsiTheme="majorHAnsi" w:cstheme="majorHAnsi"/>
          <w:sz w:val="28"/>
          <w:szCs w:val="28"/>
        </w:rPr>
        <w:t>declining</w:t>
      </w:r>
      <w:r w:rsidRPr="005C5E5A">
        <w:rPr>
          <w:rFonts w:asciiTheme="majorHAnsi" w:hAnsiTheme="majorHAnsi" w:cstheme="majorHAnsi"/>
          <w:sz w:val="28"/>
          <w:szCs w:val="28"/>
        </w:rPr>
        <w:t xml:space="preserve"> </w:t>
      </w:r>
      <w:r w:rsidR="00B91EF3" w:rsidRPr="005C5E5A">
        <w:rPr>
          <w:rFonts w:asciiTheme="majorHAnsi" w:hAnsiTheme="majorHAnsi" w:cstheme="majorHAnsi"/>
          <w:sz w:val="28"/>
          <w:szCs w:val="28"/>
        </w:rPr>
        <w:t xml:space="preserve">quality of public schooling </w:t>
      </w:r>
      <w:r w:rsidR="001775A9" w:rsidRPr="005C5E5A">
        <w:rPr>
          <w:rFonts w:asciiTheme="majorHAnsi" w:hAnsiTheme="majorHAnsi" w:cstheme="majorHAnsi"/>
          <w:sz w:val="28"/>
          <w:szCs w:val="28"/>
        </w:rPr>
        <w:t xml:space="preserve">is overly simplistic since, more often than not, </w:t>
      </w:r>
      <w:r w:rsidR="00385ED7">
        <w:rPr>
          <w:rFonts w:asciiTheme="majorHAnsi" w:hAnsiTheme="majorHAnsi" w:cstheme="majorHAnsi"/>
          <w:sz w:val="28"/>
          <w:szCs w:val="28"/>
        </w:rPr>
        <w:t xml:space="preserve">it is the </w:t>
      </w:r>
      <w:r w:rsidR="00940582">
        <w:rPr>
          <w:rFonts w:asciiTheme="majorHAnsi" w:hAnsiTheme="majorHAnsi" w:cstheme="majorHAnsi"/>
          <w:sz w:val="28"/>
          <w:szCs w:val="28"/>
        </w:rPr>
        <w:t xml:space="preserve">limited </w:t>
      </w:r>
      <w:r w:rsidR="001775A9" w:rsidRPr="005C5E5A">
        <w:rPr>
          <w:rFonts w:asciiTheme="majorHAnsi" w:hAnsiTheme="majorHAnsi" w:cstheme="majorHAnsi"/>
          <w:sz w:val="28"/>
          <w:szCs w:val="28"/>
        </w:rPr>
        <w:t>availability of schooling as a whole, especially in rural areas that is the key issue</w:t>
      </w:r>
      <w:r w:rsidR="00B91EF3" w:rsidRPr="005C5E5A">
        <w:rPr>
          <w:rFonts w:asciiTheme="majorHAnsi" w:hAnsiTheme="majorHAnsi" w:cstheme="majorHAnsi"/>
          <w:sz w:val="28"/>
          <w:szCs w:val="28"/>
        </w:rPr>
        <w:t xml:space="preserve">. </w:t>
      </w:r>
    </w:p>
    <w:p w:rsidR="00590374" w:rsidRPr="005C5E5A" w:rsidRDefault="00A33A7C" w:rsidP="00590374">
      <w:pPr>
        <w:jc w:val="both"/>
        <w:rPr>
          <w:rFonts w:asciiTheme="majorHAnsi" w:hAnsiTheme="majorHAnsi" w:cstheme="majorHAnsi"/>
          <w:i/>
          <w:sz w:val="28"/>
          <w:szCs w:val="28"/>
        </w:rPr>
      </w:pPr>
      <w:r w:rsidRPr="005C5E5A">
        <w:rPr>
          <w:rFonts w:asciiTheme="majorHAnsi" w:hAnsiTheme="majorHAnsi" w:cstheme="majorHAnsi"/>
          <w:i/>
          <w:sz w:val="28"/>
          <w:szCs w:val="28"/>
        </w:rPr>
        <w:t xml:space="preserve">1.2 </w:t>
      </w:r>
      <w:r w:rsidR="00054836">
        <w:rPr>
          <w:rFonts w:asciiTheme="majorHAnsi" w:hAnsiTheme="majorHAnsi" w:cstheme="majorHAnsi"/>
          <w:i/>
          <w:sz w:val="28"/>
          <w:szCs w:val="28"/>
        </w:rPr>
        <w:t xml:space="preserve">Discussion </w:t>
      </w:r>
      <w:r w:rsidR="00670818" w:rsidRPr="005C5E5A">
        <w:rPr>
          <w:rFonts w:asciiTheme="majorHAnsi" w:hAnsiTheme="majorHAnsi" w:cstheme="majorHAnsi"/>
          <w:i/>
          <w:sz w:val="28"/>
          <w:szCs w:val="28"/>
        </w:rPr>
        <w:t>organisation</w:t>
      </w:r>
    </w:p>
    <w:p w:rsidR="00FE1A28" w:rsidRPr="005C5E5A" w:rsidRDefault="00670818" w:rsidP="00FE1A28">
      <w:pPr>
        <w:jc w:val="both"/>
        <w:rPr>
          <w:rFonts w:asciiTheme="majorHAnsi" w:hAnsiTheme="majorHAnsi" w:cstheme="majorHAnsi"/>
          <w:sz w:val="28"/>
          <w:szCs w:val="28"/>
        </w:rPr>
      </w:pPr>
      <w:r w:rsidRPr="005C5E5A">
        <w:rPr>
          <w:rFonts w:asciiTheme="majorHAnsi" w:hAnsiTheme="majorHAnsi" w:cstheme="majorHAnsi"/>
          <w:sz w:val="28"/>
          <w:szCs w:val="28"/>
        </w:rPr>
        <w:t xml:space="preserve">Section 2 describes the review methodology and, in particular, the main data sources which have been drawn on. Based on a </w:t>
      </w:r>
      <w:r w:rsidR="00552117">
        <w:rPr>
          <w:rFonts w:asciiTheme="majorHAnsi" w:hAnsiTheme="majorHAnsi" w:cstheme="majorHAnsi"/>
          <w:sz w:val="28"/>
          <w:szCs w:val="28"/>
        </w:rPr>
        <w:t xml:space="preserve">brief </w:t>
      </w:r>
      <w:r w:rsidRPr="005C5E5A">
        <w:rPr>
          <w:rFonts w:asciiTheme="majorHAnsi" w:hAnsiTheme="majorHAnsi" w:cstheme="majorHAnsi"/>
          <w:sz w:val="28"/>
          <w:szCs w:val="28"/>
        </w:rPr>
        <w:t>review of the existing literature,</w:t>
      </w:r>
      <w:r w:rsidR="00385ED7">
        <w:rPr>
          <w:rFonts w:asciiTheme="majorHAnsi" w:hAnsiTheme="majorHAnsi" w:cstheme="majorHAnsi"/>
          <w:sz w:val="28"/>
          <w:szCs w:val="28"/>
        </w:rPr>
        <w:t xml:space="preserve"> section 3 identifies the main shortcomings of the PSP research </w:t>
      </w:r>
      <w:r w:rsidR="00960AF8">
        <w:rPr>
          <w:rFonts w:asciiTheme="majorHAnsi" w:hAnsiTheme="majorHAnsi" w:cstheme="majorHAnsi"/>
          <w:sz w:val="28"/>
          <w:szCs w:val="28"/>
        </w:rPr>
        <w:t xml:space="preserve">in SSA </w:t>
      </w:r>
      <w:r w:rsidR="00385ED7">
        <w:rPr>
          <w:rFonts w:asciiTheme="majorHAnsi" w:hAnsiTheme="majorHAnsi" w:cstheme="majorHAnsi"/>
          <w:sz w:val="28"/>
          <w:szCs w:val="28"/>
        </w:rPr>
        <w:t>that has been conducted to date</w:t>
      </w:r>
      <w:r w:rsidRPr="005C5E5A">
        <w:rPr>
          <w:rFonts w:asciiTheme="majorHAnsi" w:hAnsiTheme="majorHAnsi" w:cstheme="majorHAnsi"/>
          <w:sz w:val="28"/>
          <w:szCs w:val="28"/>
        </w:rPr>
        <w:t xml:space="preserve">.  Section 4 then presents the </w:t>
      </w:r>
      <w:r w:rsidR="00385ED7">
        <w:rPr>
          <w:rFonts w:asciiTheme="majorHAnsi" w:hAnsiTheme="majorHAnsi" w:cstheme="majorHAnsi"/>
          <w:sz w:val="28"/>
          <w:szCs w:val="28"/>
        </w:rPr>
        <w:t xml:space="preserve">key </w:t>
      </w:r>
      <w:r w:rsidRPr="005C5E5A">
        <w:rPr>
          <w:rFonts w:asciiTheme="majorHAnsi" w:hAnsiTheme="majorHAnsi" w:cstheme="majorHAnsi"/>
          <w:sz w:val="28"/>
          <w:szCs w:val="28"/>
        </w:rPr>
        <w:t>features of PSP in SSA as a whole focusing in particular on incidence by country, regions and other geographical groupings</w:t>
      </w:r>
      <w:r w:rsidR="00D57F50" w:rsidRPr="005C5E5A">
        <w:rPr>
          <w:rFonts w:asciiTheme="majorHAnsi" w:hAnsiTheme="majorHAnsi" w:cstheme="majorHAnsi"/>
          <w:sz w:val="28"/>
          <w:szCs w:val="28"/>
        </w:rPr>
        <w:t xml:space="preserve"> and, at the subnational level, by gender, locational and socio-economic status. Section 5 </w:t>
      </w:r>
      <w:r w:rsidR="00FE1A28" w:rsidRPr="005C5E5A">
        <w:rPr>
          <w:rFonts w:asciiTheme="majorHAnsi" w:hAnsiTheme="majorHAnsi" w:cstheme="majorHAnsi"/>
          <w:sz w:val="28"/>
          <w:szCs w:val="28"/>
        </w:rPr>
        <w:t xml:space="preserve">draws together the main </w:t>
      </w:r>
      <w:r w:rsidR="00D57F50" w:rsidRPr="005C5E5A">
        <w:rPr>
          <w:rFonts w:asciiTheme="majorHAnsi" w:hAnsiTheme="majorHAnsi" w:cstheme="majorHAnsi"/>
          <w:sz w:val="28"/>
          <w:szCs w:val="28"/>
        </w:rPr>
        <w:t>conclu</w:t>
      </w:r>
      <w:r w:rsidR="00385ED7">
        <w:rPr>
          <w:rFonts w:asciiTheme="majorHAnsi" w:hAnsiTheme="majorHAnsi" w:cstheme="majorHAnsi"/>
          <w:sz w:val="28"/>
          <w:szCs w:val="28"/>
        </w:rPr>
        <w:t>sions of the review</w:t>
      </w:r>
      <w:r w:rsidR="00FE1A28" w:rsidRPr="005C5E5A">
        <w:rPr>
          <w:rFonts w:asciiTheme="majorHAnsi" w:hAnsiTheme="majorHAnsi" w:cstheme="majorHAnsi"/>
          <w:sz w:val="28"/>
          <w:szCs w:val="28"/>
        </w:rPr>
        <w:t xml:space="preserve"> and provides a set of recommendations for future research in this area. </w:t>
      </w:r>
      <w:r w:rsidR="00D57F50" w:rsidRPr="005C5E5A">
        <w:rPr>
          <w:rFonts w:asciiTheme="majorHAnsi" w:hAnsiTheme="majorHAnsi" w:cstheme="majorHAnsi"/>
          <w:sz w:val="28"/>
          <w:szCs w:val="28"/>
        </w:rPr>
        <w:t xml:space="preserve"> </w:t>
      </w:r>
      <w:r w:rsidRPr="005C5E5A">
        <w:rPr>
          <w:rFonts w:asciiTheme="majorHAnsi" w:hAnsiTheme="majorHAnsi" w:cstheme="majorHAnsi"/>
          <w:sz w:val="28"/>
          <w:szCs w:val="28"/>
        </w:rPr>
        <w:t xml:space="preserve"> </w:t>
      </w:r>
    </w:p>
    <w:p w:rsidR="00345170" w:rsidRPr="005C5E5A" w:rsidRDefault="00FE40AF" w:rsidP="00A33A7C">
      <w:pPr>
        <w:pStyle w:val="ListParagraph"/>
        <w:numPr>
          <w:ilvl w:val="0"/>
          <w:numId w:val="1"/>
        </w:numPr>
        <w:jc w:val="both"/>
        <w:rPr>
          <w:rFonts w:asciiTheme="majorHAnsi" w:hAnsiTheme="majorHAnsi" w:cstheme="majorHAnsi"/>
          <w:b/>
          <w:sz w:val="28"/>
          <w:szCs w:val="28"/>
        </w:rPr>
      </w:pPr>
      <w:r w:rsidRPr="005C5E5A">
        <w:rPr>
          <w:rFonts w:asciiTheme="majorHAnsi" w:hAnsiTheme="majorHAnsi" w:cstheme="majorHAnsi"/>
          <w:b/>
          <w:sz w:val="28"/>
          <w:szCs w:val="28"/>
        </w:rPr>
        <w:t>Review methodology</w:t>
      </w:r>
    </w:p>
    <w:p w:rsidR="00EC107A" w:rsidRPr="005C5E5A" w:rsidRDefault="00A33A7C" w:rsidP="00EC107A">
      <w:pPr>
        <w:ind w:left="72"/>
        <w:jc w:val="both"/>
        <w:rPr>
          <w:rFonts w:asciiTheme="majorHAnsi" w:hAnsiTheme="majorHAnsi" w:cstheme="majorHAnsi"/>
          <w:sz w:val="28"/>
          <w:szCs w:val="28"/>
        </w:rPr>
      </w:pPr>
      <w:r w:rsidRPr="005C5E5A">
        <w:rPr>
          <w:rFonts w:asciiTheme="majorHAnsi" w:hAnsiTheme="majorHAnsi" w:cstheme="majorHAnsi"/>
          <w:sz w:val="28"/>
          <w:szCs w:val="28"/>
        </w:rPr>
        <w:t>2</w:t>
      </w:r>
      <w:r w:rsidR="004610C8" w:rsidRPr="005C5E5A">
        <w:rPr>
          <w:rFonts w:asciiTheme="majorHAnsi" w:hAnsiTheme="majorHAnsi" w:cstheme="majorHAnsi"/>
          <w:sz w:val="28"/>
          <w:szCs w:val="28"/>
        </w:rPr>
        <w:t xml:space="preserve">.1 </w:t>
      </w:r>
      <w:r w:rsidR="00EC107A" w:rsidRPr="005C5E5A">
        <w:rPr>
          <w:rFonts w:asciiTheme="majorHAnsi" w:hAnsiTheme="majorHAnsi" w:cstheme="majorHAnsi"/>
          <w:sz w:val="28"/>
          <w:szCs w:val="28"/>
        </w:rPr>
        <w:t>Definitional issues</w:t>
      </w:r>
    </w:p>
    <w:p w:rsidR="00EC107A" w:rsidRPr="005C5E5A" w:rsidRDefault="00FE40AF" w:rsidP="00EC107A">
      <w:pPr>
        <w:ind w:left="72"/>
        <w:jc w:val="both"/>
        <w:rPr>
          <w:rFonts w:asciiTheme="majorHAnsi" w:hAnsiTheme="majorHAnsi" w:cstheme="majorHAnsi"/>
          <w:sz w:val="28"/>
          <w:szCs w:val="28"/>
        </w:rPr>
      </w:pPr>
      <w:r w:rsidRPr="005C5E5A">
        <w:rPr>
          <w:rFonts w:asciiTheme="majorHAnsi" w:hAnsiTheme="majorHAnsi" w:cstheme="majorHAnsi"/>
          <w:sz w:val="28"/>
          <w:szCs w:val="28"/>
        </w:rPr>
        <w:t xml:space="preserve">The </w:t>
      </w:r>
      <w:r w:rsidR="00FE1A28" w:rsidRPr="005C5E5A">
        <w:rPr>
          <w:rFonts w:asciiTheme="majorHAnsi" w:hAnsiTheme="majorHAnsi" w:cstheme="majorHAnsi"/>
          <w:sz w:val="28"/>
          <w:szCs w:val="28"/>
        </w:rPr>
        <w:t xml:space="preserve">most common </w:t>
      </w:r>
      <w:r w:rsidRPr="005C5E5A">
        <w:rPr>
          <w:rFonts w:asciiTheme="majorHAnsi" w:hAnsiTheme="majorHAnsi" w:cstheme="majorHAnsi"/>
          <w:sz w:val="28"/>
          <w:szCs w:val="28"/>
        </w:rPr>
        <w:t>definition of p</w:t>
      </w:r>
      <w:r w:rsidR="00EC107A" w:rsidRPr="005C5E5A">
        <w:rPr>
          <w:rFonts w:asciiTheme="majorHAnsi" w:hAnsiTheme="majorHAnsi" w:cstheme="majorHAnsi"/>
          <w:sz w:val="28"/>
          <w:szCs w:val="28"/>
        </w:rPr>
        <w:t>rivate school</w:t>
      </w:r>
      <w:r w:rsidR="00FE1A28" w:rsidRPr="005C5E5A">
        <w:rPr>
          <w:rFonts w:asciiTheme="majorHAnsi" w:hAnsiTheme="majorHAnsi" w:cstheme="majorHAnsi"/>
          <w:sz w:val="28"/>
          <w:szCs w:val="28"/>
        </w:rPr>
        <w:t>ing is based on funding source rather than school organisation and management. Acc</w:t>
      </w:r>
      <w:r w:rsidR="000473CA" w:rsidRPr="005C5E5A">
        <w:rPr>
          <w:rFonts w:asciiTheme="majorHAnsi" w:hAnsiTheme="majorHAnsi" w:cstheme="majorHAnsi"/>
          <w:sz w:val="28"/>
          <w:szCs w:val="28"/>
        </w:rPr>
        <w:t>o</w:t>
      </w:r>
      <w:r w:rsidR="00FE1A28" w:rsidRPr="005C5E5A">
        <w:rPr>
          <w:rFonts w:asciiTheme="majorHAnsi" w:hAnsiTheme="majorHAnsi" w:cstheme="majorHAnsi"/>
          <w:sz w:val="28"/>
          <w:szCs w:val="28"/>
        </w:rPr>
        <w:t>rding to the f</w:t>
      </w:r>
      <w:r w:rsidR="003B5DA1" w:rsidRPr="005C5E5A">
        <w:rPr>
          <w:rFonts w:asciiTheme="majorHAnsi" w:hAnsiTheme="majorHAnsi" w:cstheme="majorHAnsi"/>
          <w:sz w:val="28"/>
          <w:szCs w:val="28"/>
        </w:rPr>
        <w:t xml:space="preserve">unding </w:t>
      </w:r>
      <w:r w:rsidR="00FE1A28" w:rsidRPr="005C5E5A">
        <w:rPr>
          <w:rFonts w:asciiTheme="majorHAnsi" w:hAnsiTheme="majorHAnsi" w:cstheme="majorHAnsi"/>
          <w:sz w:val="28"/>
          <w:szCs w:val="28"/>
        </w:rPr>
        <w:t xml:space="preserve">definition, a private school </w:t>
      </w:r>
      <w:r w:rsidR="00EC107A" w:rsidRPr="005C5E5A">
        <w:rPr>
          <w:rFonts w:asciiTheme="majorHAnsi" w:hAnsiTheme="majorHAnsi" w:cstheme="majorHAnsi"/>
          <w:sz w:val="28"/>
          <w:szCs w:val="28"/>
        </w:rPr>
        <w:t>depend</w:t>
      </w:r>
      <w:r w:rsidR="00FE1A28" w:rsidRPr="005C5E5A">
        <w:rPr>
          <w:rFonts w:asciiTheme="majorHAnsi" w:hAnsiTheme="majorHAnsi" w:cstheme="majorHAnsi"/>
          <w:sz w:val="28"/>
          <w:szCs w:val="28"/>
        </w:rPr>
        <w:t>s</w:t>
      </w:r>
      <w:r w:rsidR="00EC107A" w:rsidRPr="005C5E5A">
        <w:rPr>
          <w:rFonts w:asciiTheme="majorHAnsi" w:hAnsiTheme="majorHAnsi" w:cstheme="majorHAnsi"/>
          <w:sz w:val="28"/>
          <w:szCs w:val="28"/>
        </w:rPr>
        <w:t xml:space="preserve"> on user fees or other sources of private funding to cover </w:t>
      </w:r>
      <w:r w:rsidR="000473CA" w:rsidRPr="005C5E5A">
        <w:rPr>
          <w:rFonts w:asciiTheme="majorHAnsi" w:hAnsiTheme="majorHAnsi" w:cstheme="majorHAnsi"/>
          <w:sz w:val="28"/>
          <w:szCs w:val="28"/>
        </w:rPr>
        <w:t xml:space="preserve">its </w:t>
      </w:r>
      <w:r w:rsidR="00EC107A" w:rsidRPr="005C5E5A">
        <w:rPr>
          <w:rFonts w:asciiTheme="majorHAnsi" w:hAnsiTheme="majorHAnsi" w:cstheme="majorHAnsi"/>
          <w:sz w:val="28"/>
          <w:szCs w:val="28"/>
        </w:rPr>
        <w:t xml:space="preserve">operational and development costs and </w:t>
      </w:r>
      <w:r w:rsidR="000473CA" w:rsidRPr="005C5E5A">
        <w:rPr>
          <w:rFonts w:asciiTheme="majorHAnsi" w:hAnsiTheme="majorHAnsi" w:cstheme="majorHAnsi"/>
          <w:sz w:val="28"/>
          <w:szCs w:val="28"/>
        </w:rPr>
        <w:t xml:space="preserve">it </w:t>
      </w:r>
      <w:r w:rsidR="00EC107A" w:rsidRPr="005C5E5A">
        <w:rPr>
          <w:rFonts w:asciiTheme="majorHAnsi" w:hAnsiTheme="majorHAnsi" w:cstheme="majorHAnsi"/>
          <w:sz w:val="28"/>
          <w:szCs w:val="28"/>
        </w:rPr>
        <w:t>do</w:t>
      </w:r>
      <w:r w:rsidR="000473CA" w:rsidRPr="005C5E5A">
        <w:rPr>
          <w:rFonts w:asciiTheme="majorHAnsi" w:hAnsiTheme="majorHAnsi" w:cstheme="majorHAnsi"/>
          <w:sz w:val="28"/>
          <w:szCs w:val="28"/>
        </w:rPr>
        <w:t>es</w:t>
      </w:r>
      <w:r w:rsidR="00EC107A" w:rsidRPr="005C5E5A">
        <w:rPr>
          <w:rFonts w:asciiTheme="majorHAnsi" w:hAnsiTheme="majorHAnsi" w:cstheme="majorHAnsi"/>
          <w:sz w:val="28"/>
          <w:szCs w:val="28"/>
        </w:rPr>
        <w:t xml:space="preserve"> not receive, therefore, any financial support from national or local government.</w:t>
      </w:r>
      <w:r w:rsidRPr="005C5E5A">
        <w:rPr>
          <w:rFonts w:asciiTheme="majorHAnsi" w:hAnsiTheme="majorHAnsi" w:cstheme="majorHAnsi"/>
          <w:sz w:val="28"/>
          <w:szCs w:val="28"/>
        </w:rPr>
        <w:t xml:space="preserve"> There are two types of </w:t>
      </w:r>
      <w:r w:rsidR="00EC107A" w:rsidRPr="005C5E5A">
        <w:rPr>
          <w:rFonts w:asciiTheme="majorHAnsi" w:hAnsiTheme="majorHAnsi" w:cstheme="majorHAnsi"/>
          <w:sz w:val="28"/>
          <w:szCs w:val="28"/>
        </w:rPr>
        <w:t>private school</w:t>
      </w:r>
      <w:r w:rsidRPr="005C5E5A">
        <w:rPr>
          <w:rFonts w:asciiTheme="majorHAnsi" w:hAnsiTheme="majorHAnsi" w:cstheme="majorHAnsi"/>
          <w:sz w:val="28"/>
          <w:szCs w:val="28"/>
        </w:rPr>
        <w:t>s</w:t>
      </w:r>
      <w:r w:rsidR="00EC107A" w:rsidRPr="005C5E5A">
        <w:rPr>
          <w:rFonts w:asciiTheme="majorHAnsi" w:hAnsiTheme="majorHAnsi" w:cstheme="majorHAnsi"/>
          <w:sz w:val="28"/>
          <w:szCs w:val="28"/>
        </w:rPr>
        <w:t xml:space="preserve"> namely for-profit and not-for-profit.</w:t>
      </w:r>
      <w:r w:rsidR="000473CA" w:rsidRPr="005C5E5A">
        <w:rPr>
          <w:rFonts w:asciiTheme="majorHAnsi" w:hAnsiTheme="majorHAnsi" w:cstheme="majorHAnsi"/>
          <w:sz w:val="28"/>
          <w:szCs w:val="28"/>
        </w:rPr>
        <w:t xml:space="preserve"> The latter include faith</w:t>
      </w:r>
      <w:r w:rsidR="00960AF8">
        <w:rPr>
          <w:rFonts w:asciiTheme="majorHAnsi" w:hAnsiTheme="majorHAnsi" w:cstheme="majorHAnsi"/>
          <w:sz w:val="28"/>
          <w:szCs w:val="28"/>
        </w:rPr>
        <w:t>-based</w:t>
      </w:r>
      <w:r w:rsidR="000473CA" w:rsidRPr="005C5E5A">
        <w:rPr>
          <w:rFonts w:asciiTheme="majorHAnsi" w:hAnsiTheme="majorHAnsi" w:cstheme="majorHAnsi"/>
          <w:sz w:val="28"/>
          <w:szCs w:val="28"/>
        </w:rPr>
        <w:t>/religious schools (which are common in some countries in SSA</w:t>
      </w:r>
      <w:r w:rsidR="00EC107A" w:rsidRPr="005C5E5A">
        <w:rPr>
          <w:rFonts w:asciiTheme="majorHAnsi" w:hAnsiTheme="majorHAnsi" w:cstheme="majorHAnsi"/>
          <w:sz w:val="28"/>
          <w:szCs w:val="28"/>
        </w:rPr>
        <w:t xml:space="preserve"> </w:t>
      </w:r>
      <w:r w:rsidR="000473CA" w:rsidRPr="005C5E5A">
        <w:rPr>
          <w:rFonts w:asciiTheme="majorHAnsi" w:hAnsiTheme="majorHAnsi" w:cstheme="majorHAnsi"/>
          <w:sz w:val="28"/>
          <w:szCs w:val="28"/>
        </w:rPr>
        <w:t xml:space="preserve">most notably DRC, Lesotho, Sierra Leone, Uganda and some Francophone </w:t>
      </w:r>
      <w:r w:rsidR="000473CA" w:rsidRPr="005C5E5A">
        <w:rPr>
          <w:rFonts w:asciiTheme="majorHAnsi" w:hAnsiTheme="majorHAnsi" w:cstheme="majorHAnsi"/>
          <w:sz w:val="28"/>
          <w:szCs w:val="28"/>
        </w:rPr>
        <w:lastRenderedPageBreak/>
        <w:t xml:space="preserve">countries in West Africa) and secular non-governmental organisations and individuals. </w:t>
      </w:r>
    </w:p>
    <w:p w:rsidR="00EC107A" w:rsidRPr="005C5E5A" w:rsidRDefault="00A33A7C" w:rsidP="00EC107A">
      <w:pPr>
        <w:ind w:left="72"/>
        <w:jc w:val="both"/>
        <w:rPr>
          <w:rFonts w:asciiTheme="majorHAnsi" w:hAnsiTheme="majorHAnsi" w:cstheme="majorHAnsi"/>
          <w:i/>
          <w:sz w:val="28"/>
          <w:szCs w:val="28"/>
        </w:rPr>
      </w:pPr>
      <w:r w:rsidRPr="005C5E5A">
        <w:rPr>
          <w:rFonts w:asciiTheme="majorHAnsi" w:hAnsiTheme="majorHAnsi" w:cstheme="majorHAnsi"/>
          <w:i/>
          <w:sz w:val="28"/>
          <w:szCs w:val="28"/>
        </w:rPr>
        <w:t>2</w:t>
      </w:r>
      <w:r w:rsidR="004610C8" w:rsidRPr="005C5E5A">
        <w:rPr>
          <w:rFonts w:asciiTheme="majorHAnsi" w:hAnsiTheme="majorHAnsi" w:cstheme="majorHAnsi"/>
          <w:i/>
          <w:sz w:val="28"/>
          <w:szCs w:val="28"/>
        </w:rPr>
        <w:t xml:space="preserve">.2 </w:t>
      </w:r>
      <w:r w:rsidR="00EC107A" w:rsidRPr="005C5E5A">
        <w:rPr>
          <w:rFonts w:asciiTheme="majorHAnsi" w:hAnsiTheme="majorHAnsi" w:cstheme="majorHAnsi"/>
          <w:i/>
          <w:sz w:val="28"/>
          <w:szCs w:val="28"/>
        </w:rPr>
        <w:t>Data sources</w:t>
      </w:r>
    </w:p>
    <w:p w:rsidR="00EC107A" w:rsidRPr="005C5E5A" w:rsidRDefault="00EC107A" w:rsidP="00EC107A">
      <w:pPr>
        <w:ind w:left="72"/>
        <w:jc w:val="both"/>
        <w:rPr>
          <w:rFonts w:asciiTheme="majorHAnsi" w:hAnsiTheme="majorHAnsi" w:cstheme="majorHAnsi"/>
          <w:sz w:val="28"/>
          <w:szCs w:val="28"/>
        </w:rPr>
      </w:pPr>
      <w:r w:rsidRPr="005C5E5A">
        <w:rPr>
          <w:rFonts w:asciiTheme="majorHAnsi" w:hAnsiTheme="majorHAnsi" w:cstheme="majorHAnsi"/>
          <w:sz w:val="28"/>
          <w:szCs w:val="28"/>
        </w:rPr>
        <w:t xml:space="preserve">Two main </w:t>
      </w:r>
      <w:r w:rsidR="003B5DA1" w:rsidRPr="005C5E5A">
        <w:rPr>
          <w:rFonts w:asciiTheme="majorHAnsi" w:hAnsiTheme="majorHAnsi" w:cstheme="majorHAnsi"/>
          <w:sz w:val="28"/>
          <w:szCs w:val="28"/>
        </w:rPr>
        <w:t xml:space="preserve">statistical </w:t>
      </w:r>
      <w:r w:rsidRPr="005C5E5A">
        <w:rPr>
          <w:rFonts w:asciiTheme="majorHAnsi" w:hAnsiTheme="majorHAnsi" w:cstheme="majorHAnsi"/>
          <w:sz w:val="28"/>
          <w:szCs w:val="28"/>
        </w:rPr>
        <w:t>data sources have been utilised for this review</w:t>
      </w:r>
      <w:r w:rsidR="00295DA6">
        <w:rPr>
          <w:rFonts w:asciiTheme="majorHAnsi" w:hAnsiTheme="majorHAnsi" w:cstheme="majorHAnsi"/>
          <w:sz w:val="28"/>
          <w:szCs w:val="28"/>
        </w:rPr>
        <w:t>,</w:t>
      </w:r>
      <w:r w:rsidRPr="005C5E5A">
        <w:rPr>
          <w:rFonts w:asciiTheme="majorHAnsi" w:hAnsiTheme="majorHAnsi" w:cstheme="majorHAnsi"/>
          <w:sz w:val="28"/>
          <w:szCs w:val="28"/>
        </w:rPr>
        <w:t xml:space="preserve"> namely UNESCO</w:t>
      </w:r>
      <w:r w:rsidR="000473CA" w:rsidRPr="005C5E5A">
        <w:rPr>
          <w:rFonts w:asciiTheme="majorHAnsi" w:hAnsiTheme="majorHAnsi" w:cstheme="majorHAnsi"/>
          <w:sz w:val="28"/>
          <w:szCs w:val="28"/>
        </w:rPr>
        <w:t>’s</w:t>
      </w:r>
      <w:r w:rsidRPr="005C5E5A">
        <w:rPr>
          <w:rFonts w:asciiTheme="majorHAnsi" w:hAnsiTheme="majorHAnsi" w:cstheme="majorHAnsi"/>
          <w:sz w:val="28"/>
          <w:szCs w:val="28"/>
        </w:rPr>
        <w:t xml:space="preserve"> Institute of Statistics</w:t>
      </w:r>
      <w:r w:rsidR="004610C8" w:rsidRPr="005C5E5A">
        <w:rPr>
          <w:rFonts w:asciiTheme="majorHAnsi" w:hAnsiTheme="majorHAnsi" w:cstheme="majorHAnsi"/>
          <w:sz w:val="28"/>
          <w:szCs w:val="28"/>
        </w:rPr>
        <w:t xml:space="preserve"> (UIS)</w:t>
      </w:r>
      <w:r w:rsidRPr="005C5E5A">
        <w:rPr>
          <w:rFonts w:asciiTheme="majorHAnsi" w:hAnsiTheme="majorHAnsi" w:cstheme="majorHAnsi"/>
          <w:sz w:val="28"/>
          <w:szCs w:val="28"/>
        </w:rPr>
        <w:t xml:space="preserve"> and </w:t>
      </w:r>
      <w:r w:rsidR="000473CA" w:rsidRPr="005C5E5A">
        <w:rPr>
          <w:rFonts w:asciiTheme="majorHAnsi" w:hAnsiTheme="majorHAnsi" w:cstheme="majorHAnsi"/>
          <w:sz w:val="28"/>
          <w:szCs w:val="28"/>
        </w:rPr>
        <w:t>UNICEF’s Multi-</w:t>
      </w:r>
      <w:r w:rsidR="004610C8" w:rsidRPr="005C5E5A">
        <w:rPr>
          <w:rFonts w:asciiTheme="majorHAnsi" w:hAnsiTheme="majorHAnsi" w:cstheme="majorHAnsi"/>
          <w:sz w:val="28"/>
          <w:szCs w:val="28"/>
        </w:rPr>
        <w:t>Indicator Cluster Surveys (</w:t>
      </w:r>
      <w:r w:rsidRPr="005C5E5A">
        <w:rPr>
          <w:rFonts w:asciiTheme="majorHAnsi" w:hAnsiTheme="majorHAnsi" w:cstheme="majorHAnsi"/>
          <w:sz w:val="28"/>
          <w:szCs w:val="28"/>
        </w:rPr>
        <w:t>MICS</w:t>
      </w:r>
      <w:r w:rsidR="004610C8" w:rsidRPr="005C5E5A">
        <w:rPr>
          <w:rFonts w:asciiTheme="majorHAnsi" w:hAnsiTheme="majorHAnsi" w:cstheme="majorHAnsi"/>
          <w:sz w:val="28"/>
          <w:szCs w:val="28"/>
        </w:rPr>
        <w:t>).</w:t>
      </w:r>
      <w:r w:rsidRPr="005C5E5A">
        <w:rPr>
          <w:rFonts w:asciiTheme="majorHAnsi" w:hAnsiTheme="majorHAnsi" w:cstheme="majorHAnsi"/>
          <w:sz w:val="28"/>
          <w:szCs w:val="28"/>
        </w:rPr>
        <w:t xml:space="preserve"> </w:t>
      </w:r>
    </w:p>
    <w:p w:rsidR="000B60C4" w:rsidRPr="005C5E5A" w:rsidRDefault="000B60C4" w:rsidP="00EC107A">
      <w:pPr>
        <w:ind w:left="72"/>
        <w:jc w:val="both"/>
        <w:rPr>
          <w:rFonts w:asciiTheme="majorHAnsi" w:hAnsiTheme="majorHAnsi" w:cstheme="majorHAnsi"/>
          <w:i/>
          <w:sz w:val="28"/>
          <w:szCs w:val="28"/>
        </w:rPr>
      </w:pPr>
      <w:r w:rsidRPr="005C5E5A">
        <w:rPr>
          <w:rFonts w:asciiTheme="majorHAnsi" w:hAnsiTheme="majorHAnsi" w:cstheme="majorHAnsi"/>
          <w:i/>
          <w:sz w:val="28"/>
          <w:szCs w:val="28"/>
        </w:rPr>
        <w:t>UNESCO UIS</w:t>
      </w:r>
    </w:p>
    <w:p w:rsidR="00EC107A" w:rsidRPr="005C5E5A" w:rsidRDefault="000473CA" w:rsidP="00EC107A">
      <w:pPr>
        <w:ind w:left="72"/>
        <w:jc w:val="both"/>
        <w:rPr>
          <w:rFonts w:asciiTheme="majorHAnsi" w:hAnsiTheme="majorHAnsi" w:cstheme="majorHAnsi"/>
          <w:sz w:val="28"/>
          <w:szCs w:val="28"/>
        </w:rPr>
      </w:pPr>
      <w:r w:rsidRPr="005C5E5A">
        <w:rPr>
          <w:rFonts w:asciiTheme="majorHAnsi" w:hAnsiTheme="majorHAnsi" w:cstheme="majorHAnsi"/>
          <w:sz w:val="28"/>
          <w:szCs w:val="28"/>
        </w:rPr>
        <w:t xml:space="preserve">The </w:t>
      </w:r>
      <w:r w:rsidR="00EC107A" w:rsidRPr="005C5E5A">
        <w:rPr>
          <w:rFonts w:asciiTheme="majorHAnsi" w:hAnsiTheme="majorHAnsi" w:cstheme="majorHAnsi"/>
          <w:sz w:val="28"/>
          <w:szCs w:val="28"/>
        </w:rPr>
        <w:t>U</w:t>
      </w:r>
      <w:r w:rsidR="004610C8" w:rsidRPr="005C5E5A">
        <w:rPr>
          <w:rFonts w:asciiTheme="majorHAnsi" w:hAnsiTheme="majorHAnsi" w:cstheme="majorHAnsi"/>
          <w:sz w:val="28"/>
          <w:szCs w:val="28"/>
        </w:rPr>
        <w:t xml:space="preserve">IS </w:t>
      </w:r>
      <w:r w:rsidR="000B60C4" w:rsidRPr="005C5E5A">
        <w:rPr>
          <w:rFonts w:asciiTheme="majorHAnsi" w:hAnsiTheme="majorHAnsi" w:cstheme="majorHAnsi"/>
          <w:sz w:val="28"/>
          <w:szCs w:val="28"/>
        </w:rPr>
        <w:t xml:space="preserve">data </w:t>
      </w:r>
      <w:r w:rsidR="003B5DA1" w:rsidRPr="005C5E5A">
        <w:rPr>
          <w:rFonts w:asciiTheme="majorHAnsi" w:hAnsiTheme="majorHAnsi" w:cstheme="majorHAnsi"/>
          <w:sz w:val="28"/>
          <w:szCs w:val="28"/>
        </w:rPr>
        <w:t>on private</w:t>
      </w:r>
      <w:r w:rsidR="00EC107A" w:rsidRPr="005C5E5A">
        <w:rPr>
          <w:rFonts w:asciiTheme="majorHAnsi" w:hAnsiTheme="majorHAnsi" w:cstheme="majorHAnsi"/>
          <w:sz w:val="28"/>
          <w:szCs w:val="28"/>
        </w:rPr>
        <w:t xml:space="preserve"> education is limited to annual </w:t>
      </w:r>
      <w:r w:rsidR="004610C8" w:rsidRPr="005C5E5A">
        <w:rPr>
          <w:rFonts w:asciiTheme="majorHAnsi" w:hAnsiTheme="majorHAnsi" w:cstheme="majorHAnsi"/>
          <w:sz w:val="28"/>
          <w:szCs w:val="28"/>
        </w:rPr>
        <w:t xml:space="preserve">aggregate </w:t>
      </w:r>
      <w:r w:rsidR="00EC107A" w:rsidRPr="005C5E5A">
        <w:rPr>
          <w:rFonts w:asciiTheme="majorHAnsi" w:hAnsiTheme="majorHAnsi" w:cstheme="majorHAnsi"/>
          <w:sz w:val="28"/>
          <w:szCs w:val="28"/>
        </w:rPr>
        <w:t xml:space="preserve">figures of </w:t>
      </w:r>
      <w:r w:rsidRPr="005C5E5A">
        <w:rPr>
          <w:rFonts w:asciiTheme="majorHAnsi" w:hAnsiTheme="majorHAnsi" w:cstheme="majorHAnsi"/>
          <w:sz w:val="28"/>
          <w:szCs w:val="28"/>
        </w:rPr>
        <w:t xml:space="preserve">national </w:t>
      </w:r>
      <w:r w:rsidR="00EC107A" w:rsidRPr="005C5E5A">
        <w:rPr>
          <w:rFonts w:asciiTheme="majorHAnsi" w:hAnsiTheme="majorHAnsi" w:cstheme="majorHAnsi"/>
          <w:sz w:val="28"/>
          <w:szCs w:val="28"/>
        </w:rPr>
        <w:t xml:space="preserve">primary and secondary school enrolments </w:t>
      </w:r>
      <w:r w:rsidRPr="005C5E5A">
        <w:rPr>
          <w:rFonts w:asciiTheme="majorHAnsi" w:hAnsiTheme="majorHAnsi" w:cstheme="majorHAnsi"/>
          <w:sz w:val="28"/>
          <w:szCs w:val="28"/>
        </w:rPr>
        <w:t xml:space="preserve">which are available for most countries </w:t>
      </w:r>
      <w:r w:rsidR="003B5DA1" w:rsidRPr="005C5E5A">
        <w:rPr>
          <w:rFonts w:asciiTheme="majorHAnsi" w:hAnsiTheme="majorHAnsi" w:cstheme="majorHAnsi"/>
          <w:sz w:val="28"/>
          <w:szCs w:val="28"/>
        </w:rPr>
        <w:t xml:space="preserve">in SSA up until 2016/17. This </w:t>
      </w:r>
      <w:r w:rsidR="00EC107A" w:rsidRPr="005C5E5A">
        <w:rPr>
          <w:rFonts w:asciiTheme="majorHAnsi" w:hAnsiTheme="majorHAnsi" w:cstheme="majorHAnsi"/>
          <w:sz w:val="28"/>
          <w:szCs w:val="28"/>
        </w:rPr>
        <w:t>data is furnished by national Ministries of E</w:t>
      </w:r>
      <w:r w:rsidRPr="005C5E5A">
        <w:rPr>
          <w:rFonts w:asciiTheme="majorHAnsi" w:hAnsiTheme="majorHAnsi" w:cstheme="majorHAnsi"/>
          <w:sz w:val="28"/>
          <w:szCs w:val="28"/>
        </w:rPr>
        <w:t xml:space="preserve">ducation and is based on school census </w:t>
      </w:r>
      <w:r w:rsidR="00EC107A" w:rsidRPr="005C5E5A">
        <w:rPr>
          <w:rFonts w:asciiTheme="majorHAnsi" w:hAnsiTheme="majorHAnsi" w:cstheme="majorHAnsi"/>
          <w:sz w:val="28"/>
          <w:szCs w:val="28"/>
        </w:rPr>
        <w:t xml:space="preserve">questionnaires which are expected to be completed </w:t>
      </w:r>
      <w:r w:rsidRPr="005C5E5A">
        <w:rPr>
          <w:rFonts w:asciiTheme="majorHAnsi" w:hAnsiTheme="majorHAnsi" w:cstheme="majorHAnsi"/>
          <w:sz w:val="28"/>
          <w:szCs w:val="28"/>
        </w:rPr>
        <w:t xml:space="preserve">at least annually </w:t>
      </w:r>
      <w:r w:rsidR="00EC107A" w:rsidRPr="005C5E5A">
        <w:rPr>
          <w:rFonts w:asciiTheme="majorHAnsi" w:hAnsiTheme="majorHAnsi" w:cstheme="majorHAnsi"/>
          <w:sz w:val="28"/>
          <w:szCs w:val="28"/>
        </w:rPr>
        <w:t xml:space="preserve">by all registered schools. </w:t>
      </w:r>
      <w:r w:rsidR="000B60C4" w:rsidRPr="005C5E5A">
        <w:rPr>
          <w:rFonts w:asciiTheme="majorHAnsi" w:hAnsiTheme="majorHAnsi" w:cstheme="majorHAnsi"/>
          <w:sz w:val="28"/>
          <w:szCs w:val="28"/>
        </w:rPr>
        <w:t>As a result of a c</w:t>
      </w:r>
      <w:r w:rsidR="00EC107A" w:rsidRPr="005C5E5A">
        <w:rPr>
          <w:rFonts w:asciiTheme="majorHAnsi" w:hAnsiTheme="majorHAnsi" w:cstheme="majorHAnsi"/>
          <w:sz w:val="28"/>
          <w:szCs w:val="28"/>
        </w:rPr>
        <w:t>ombination of non-returns, poor or incomplete data and omission of non-registered private schools</w:t>
      </w:r>
      <w:r w:rsidR="000B60C4" w:rsidRPr="005C5E5A">
        <w:rPr>
          <w:rFonts w:asciiTheme="majorHAnsi" w:hAnsiTheme="majorHAnsi" w:cstheme="majorHAnsi"/>
          <w:sz w:val="28"/>
          <w:szCs w:val="28"/>
        </w:rPr>
        <w:t>, it</w:t>
      </w:r>
      <w:r w:rsidR="00EC107A" w:rsidRPr="005C5E5A">
        <w:rPr>
          <w:rFonts w:asciiTheme="majorHAnsi" w:hAnsiTheme="majorHAnsi" w:cstheme="majorHAnsi"/>
          <w:sz w:val="28"/>
          <w:szCs w:val="28"/>
        </w:rPr>
        <w:t xml:space="preserve"> has</w:t>
      </w:r>
      <w:r w:rsidR="00F16F4A" w:rsidRPr="005C5E5A">
        <w:rPr>
          <w:rFonts w:asciiTheme="majorHAnsi" w:hAnsiTheme="majorHAnsi" w:cstheme="majorHAnsi"/>
          <w:sz w:val="28"/>
          <w:szCs w:val="28"/>
        </w:rPr>
        <w:t xml:space="preserve"> been suggested that UIS </w:t>
      </w:r>
      <w:r w:rsidR="003B5DA1" w:rsidRPr="005C5E5A">
        <w:rPr>
          <w:rFonts w:asciiTheme="majorHAnsi" w:hAnsiTheme="majorHAnsi" w:cstheme="majorHAnsi"/>
          <w:sz w:val="28"/>
          <w:szCs w:val="28"/>
        </w:rPr>
        <w:t xml:space="preserve">data generally </w:t>
      </w:r>
      <w:r w:rsidR="00F16F4A" w:rsidRPr="005C5E5A">
        <w:rPr>
          <w:rFonts w:asciiTheme="majorHAnsi" w:hAnsiTheme="majorHAnsi" w:cstheme="majorHAnsi"/>
          <w:sz w:val="28"/>
          <w:szCs w:val="28"/>
        </w:rPr>
        <w:t>u</w:t>
      </w:r>
      <w:r w:rsidR="00EC107A" w:rsidRPr="005C5E5A">
        <w:rPr>
          <w:rFonts w:asciiTheme="majorHAnsi" w:hAnsiTheme="majorHAnsi" w:cstheme="majorHAnsi"/>
          <w:sz w:val="28"/>
          <w:szCs w:val="28"/>
        </w:rPr>
        <w:t xml:space="preserve">nder-estimates the overall incidence of private education. </w:t>
      </w:r>
      <w:r w:rsidR="00F16F4A" w:rsidRPr="005C5E5A">
        <w:rPr>
          <w:rFonts w:asciiTheme="majorHAnsi" w:hAnsiTheme="majorHAnsi" w:cstheme="majorHAnsi"/>
          <w:sz w:val="28"/>
          <w:szCs w:val="28"/>
        </w:rPr>
        <w:t>A</w:t>
      </w:r>
      <w:r w:rsidR="000B60C4" w:rsidRPr="005C5E5A">
        <w:rPr>
          <w:rFonts w:asciiTheme="majorHAnsi" w:hAnsiTheme="majorHAnsi" w:cstheme="majorHAnsi"/>
          <w:sz w:val="28"/>
          <w:szCs w:val="28"/>
        </w:rPr>
        <w:t xml:space="preserve"> </w:t>
      </w:r>
      <w:r w:rsidR="00EC107A" w:rsidRPr="005C5E5A">
        <w:rPr>
          <w:rFonts w:asciiTheme="majorHAnsi" w:hAnsiTheme="majorHAnsi" w:cstheme="majorHAnsi"/>
          <w:sz w:val="28"/>
          <w:szCs w:val="28"/>
        </w:rPr>
        <w:t xml:space="preserve">comparison of </w:t>
      </w:r>
      <w:r w:rsidR="000B60C4" w:rsidRPr="005C5E5A">
        <w:rPr>
          <w:rFonts w:asciiTheme="majorHAnsi" w:hAnsiTheme="majorHAnsi" w:cstheme="majorHAnsi"/>
          <w:sz w:val="28"/>
          <w:szCs w:val="28"/>
        </w:rPr>
        <w:t xml:space="preserve">UIS estimates with </w:t>
      </w:r>
      <w:r w:rsidR="00EC107A" w:rsidRPr="005C5E5A">
        <w:rPr>
          <w:rFonts w:asciiTheme="majorHAnsi" w:hAnsiTheme="majorHAnsi" w:cstheme="majorHAnsi"/>
          <w:sz w:val="28"/>
          <w:szCs w:val="28"/>
        </w:rPr>
        <w:t>private primary and secondary school enrolment rate</w:t>
      </w:r>
      <w:r w:rsidR="003B5DA1" w:rsidRPr="005C5E5A">
        <w:rPr>
          <w:rFonts w:asciiTheme="majorHAnsi" w:hAnsiTheme="majorHAnsi" w:cstheme="majorHAnsi"/>
          <w:sz w:val="28"/>
          <w:szCs w:val="28"/>
        </w:rPr>
        <w:t xml:space="preserve">s derived </w:t>
      </w:r>
      <w:r w:rsidR="00EC107A" w:rsidRPr="005C5E5A">
        <w:rPr>
          <w:rFonts w:asciiTheme="majorHAnsi" w:hAnsiTheme="majorHAnsi" w:cstheme="majorHAnsi"/>
          <w:sz w:val="28"/>
          <w:szCs w:val="28"/>
        </w:rPr>
        <w:t xml:space="preserve">from </w:t>
      </w:r>
      <w:r w:rsidR="009116E9" w:rsidRPr="005C5E5A">
        <w:rPr>
          <w:rFonts w:asciiTheme="majorHAnsi" w:hAnsiTheme="majorHAnsi" w:cstheme="majorHAnsi"/>
          <w:sz w:val="28"/>
          <w:szCs w:val="28"/>
        </w:rPr>
        <w:t>s</w:t>
      </w:r>
      <w:r w:rsidR="003B5DA1" w:rsidRPr="005C5E5A">
        <w:rPr>
          <w:rFonts w:asciiTheme="majorHAnsi" w:hAnsiTheme="majorHAnsi" w:cstheme="majorHAnsi"/>
          <w:sz w:val="28"/>
          <w:szCs w:val="28"/>
        </w:rPr>
        <w:t xml:space="preserve">even </w:t>
      </w:r>
      <w:r w:rsidR="000B60C4" w:rsidRPr="005C5E5A">
        <w:rPr>
          <w:rFonts w:asciiTheme="majorHAnsi" w:hAnsiTheme="majorHAnsi" w:cstheme="majorHAnsi"/>
          <w:sz w:val="28"/>
          <w:szCs w:val="28"/>
        </w:rPr>
        <w:t xml:space="preserve">MICS </w:t>
      </w:r>
      <w:r w:rsidRPr="005C5E5A">
        <w:rPr>
          <w:rFonts w:asciiTheme="majorHAnsi" w:hAnsiTheme="majorHAnsi" w:cstheme="majorHAnsi"/>
          <w:sz w:val="28"/>
          <w:szCs w:val="28"/>
        </w:rPr>
        <w:t xml:space="preserve">surveys </w:t>
      </w:r>
      <w:r w:rsidR="000B60C4" w:rsidRPr="005C5E5A">
        <w:rPr>
          <w:rFonts w:asciiTheme="majorHAnsi" w:hAnsiTheme="majorHAnsi" w:cstheme="majorHAnsi"/>
          <w:sz w:val="28"/>
          <w:szCs w:val="28"/>
        </w:rPr>
        <w:t>a</w:t>
      </w:r>
      <w:r w:rsidRPr="005C5E5A">
        <w:rPr>
          <w:rFonts w:asciiTheme="majorHAnsi" w:hAnsiTheme="majorHAnsi" w:cstheme="majorHAnsi"/>
          <w:sz w:val="28"/>
          <w:szCs w:val="28"/>
        </w:rPr>
        <w:t xml:space="preserve">s well as </w:t>
      </w:r>
      <w:r w:rsidR="00F16F4A" w:rsidRPr="005C5E5A">
        <w:rPr>
          <w:rFonts w:asciiTheme="majorHAnsi" w:hAnsiTheme="majorHAnsi" w:cstheme="majorHAnsi"/>
          <w:sz w:val="28"/>
          <w:szCs w:val="28"/>
        </w:rPr>
        <w:t xml:space="preserve">those from </w:t>
      </w:r>
      <w:r w:rsidRPr="005C5E5A">
        <w:rPr>
          <w:rFonts w:asciiTheme="majorHAnsi" w:hAnsiTheme="majorHAnsi" w:cstheme="majorHAnsi"/>
          <w:sz w:val="28"/>
          <w:szCs w:val="28"/>
        </w:rPr>
        <w:t>a similar survey</w:t>
      </w:r>
      <w:r w:rsidR="00F16F4A" w:rsidRPr="005C5E5A">
        <w:rPr>
          <w:rStyle w:val="FootnoteReference"/>
          <w:rFonts w:asciiTheme="majorHAnsi" w:hAnsiTheme="majorHAnsi" w:cstheme="majorHAnsi"/>
          <w:sz w:val="28"/>
          <w:szCs w:val="28"/>
        </w:rPr>
        <w:footnoteReference w:id="2"/>
      </w:r>
      <w:r w:rsidRPr="005C5E5A">
        <w:rPr>
          <w:rFonts w:asciiTheme="majorHAnsi" w:hAnsiTheme="majorHAnsi" w:cstheme="majorHAnsi"/>
          <w:sz w:val="28"/>
          <w:szCs w:val="28"/>
        </w:rPr>
        <w:t xml:space="preserve"> </w:t>
      </w:r>
      <w:r w:rsidR="003B5DA1" w:rsidRPr="005C5E5A">
        <w:rPr>
          <w:rFonts w:asciiTheme="majorHAnsi" w:hAnsiTheme="majorHAnsi" w:cstheme="majorHAnsi"/>
          <w:sz w:val="28"/>
          <w:szCs w:val="28"/>
        </w:rPr>
        <w:t xml:space="preserve">conducted </w:t>
      </w:r>
      <w:r w:rsidRPr="005C5E5A">
        <w:rPr>
          <w:rFonts w:asciiTheme="majorHAnsi" w:hAnsiTheme="majorHAnsi" w:cstheme="majorHAnsi"/>
          <w:sz w:val="28"/>
          <w:szCs w:val="28"/>
        </w:rPr>
        <w:t xml:space="preserve">in </w:t>
      </w:r>
      <w:r w:rsidR="00F16F4A" w:rsidRPr="005C5E5A">
        <w:rPr>
          <w:rFonts w:asciiTheme="majorHAnsi" w:hAnsiTheme="majorHAnsi" w:cstheme="majorHAnsi"/>
          <w:sz w:val="28"/>
          <w:szCs w:val="28"/>
        </w:rPr>
        <w:t xml:space="preserve">nine </w:t>
      </w:r>
      <w:r w:rsidR="000B60C4" w:rsidRPr="005C5E5A">
        <w:rPr>
          <w:rFonts w:asciiTheme="majorHAnsi" w:hAnsiTheme="majorHAnsi" w:cstheme="majorHAnsi"/>
          <w:sz w:val="28"/>
          <w:szCs w:val="28"/>
        </w:rPr>
        <w:t>Francophone countries</w:t>
      </w:r>
      <w:r w:rsidR="00F16F4A" w:rsidRPr="005C5E5A">
        <w:rPr>
          <w:rFonts w:asciiTheme="majorHAnsi" w:hAnsiTheme="majorHAnsi" w:cstheme="majorHAnsi"/>
          <w:sz w:val="28"/>
          <w:szCs w:val="28"/>
        </w:rPr>
        <w:t xml:space="preserve"> does </w:t>
      </w:r>
      <w:r w:rsidR="00EC107A" w:rsidRPr="005C5E5A">
        <w:rPr>
          <w:rFonts w:asciiTheme="majorHAnsi" w:hAnsiTheme="majorHAnsi" w:cstheme="majorHAnsi"/>
          <w:sz w:val="28"/>
          <w:szCs w:val="28"/>
        </w:rPr>
        <w:t>indicate that</w:t>
      </w:r>
      <w:r w:rsidR="00F16F4A" w:rsidRPr="005C5E5A">
        <w:rPr>
          <w:rFonts w:asciiTheme="majorHAnsi" w:hAnsiTheme="majorHAnsi" w:cstheme="majorHAnsi"/>
          <w:sz w:val="28"/>
          <w:szCs w:val="28"/>
        </w:rPr>
        <w:t xml:space="preserve"> </w:t>
      </w:r>
      <w:r w:rsidR="009116E9" w:rsidRPr="005C5E5A">
        <w:rPr>
          <w:rFonts w:asciiTheme="majorHAnsi" w:hAnsiTheme="majorHAnsi" w:cstheme="majorHAnsi"/>
          <w:sz w:val="28"/>
          <w:szCs w:val="28"/>
        </w:rPr>
        <w:t>this is an issue</w:t>
      </w:r>
      <w:r w:rsidR="000A135D" w:rsidRPr="005C5E5A">
        <w:rPr>
          <w:rStyle w:val="FootnoteReference"/>
          <w:rFonts w:asciiTheme="majorHAnsi" w:hAnsiTheme="majorHAnsi" w:cstheme="majorHAnsi"/>
          <w:sz w:val="28"/>
          <w:szCs w:val="28"/>
        </w:rPr>
        <w:footnoteReference w:id="3"/>
      </w:r>
      <w:r w:rsidR="009116E9" w:rsidRPr="005C5E5A">
        <w:rPr>
          <w:rFonts w:asciiTheme="majorHAnsi" w:hAnsiTheme="majorHAnsi" w:cstheme="majorHAnsi"/>
          <w:sz w:val="28"/>
          <w:szCs w:val="28"/>
        </w:rPr>
        <w:t xml:space="preserve"> for both primary and secondary schooling in around one-third of these countries which </w:t>
      </w:r>
      <w:r w:rsidR="003B5DA1" w:rsidRPr="005C5E5A">
        <w:rPr>
          <w:rFonts w:asciiTheme="majorHAnsi" w:hAnsiTheme="majorHAnsi" w:cstheme="majorHAnsi"/>
          <w:sz w:val="28"/>
          <w:szCs w:val="28"/>
        </w:rPr>
        <w:t xml:space="preserve">does indicate </w:t>
      </w:r>
      <w:r w:rsidR="009116E9" w:rsidRPr="005C5E5A">
        <w:rPr>
          <w:rFonts w:asciiTheme="majorHAnsi" w:hAnsiTheme="majorHAnsi" w:cstheme="majorHAnsi"/>
          <w:sz w:val="28"/>
          <w:szCs w:val="28"/>
        </w:rPr>
        <w:t xml:space="preserve">that sizeable numbers of non-registered </w:t>
      </w:r>
      <w:r w:rsidR="003B5DA1" w:rsidRPr="005C5E5A">
        <w:rPr>
          <w:rFonts w:asciiTheme="majorHAnsi" w:hAnsiTheme="majorHAnsi" w:cstheme="majorHAnsi"/>
          <w:sz w:val="28"/>
          <w:szCs w:val="28"/>
        </w:rPr>
        <w:t>‘</w:t>
      </w:r>
      <w:r w:rsidR="009116E9" w:rsidRPr="005C5E5A">
        <w:rPr>
          <w:rFonts w:asciiTheme="majorHAnsi" w:hAnsiTheme="majorHAnsi" w:cstheme="majorHAnsi"/>
          <w:sz w:val="28"/>
          <w:szCs w:val="28"/>
        </w:rPr>
        <w:t>ghost</w:t>
      </w:r>
      <w:r w:rsidR="003B5DA1" w:rsidRPr="005C5E5A">
        <w:rPr>
          <w:rFonts w:asciiTheme="majorHAnsi" w:hAnsiTheme="majorHAnsi" w:cstheme="majorHAnsi"/>
          <w:sz w:val="28"/>
          <w:szCs w:val="28"/>
        </w:rPr>
        <w:t xml:space="preserve">’ private </w:t>
      </w:r>
      <w:r w:rsidR="009116E9" w:rsidRPr="005C5E5A">
        <w:rPr>
          <w:rFonts w:asciiTheme="majorHAnsi" w:hAnsiTheme="majorHAnsi" w:cstheme="majorHAnsi"/>
          <w:sz w:val="28"/>
          <w:szCs w:val="28"/>
        </w:rPr>
        <w:t>schools are not being reported in official statistics. For this reason, household survey data on private schools has been used wherever possible</w:t>
      </w:r>
      <w:r w:rsidR="003B5DA1" w:rsidRPr="005C5E5A">
        <w:rPr>
          <w:rFonts w:asciiTheme="majorHAnsi" w:hAnsiTheme="majorHAnsi" w:cstheme="majorHAnsi"/>
          <w:sz w:val="28"/>
          <w:szCs w:val="28"/>
        </w:rPr>
        <w:t xml:space="preserve"> for this review</w:t>
      </w:r>
      <w:r w:rsidR="009116E9" w:rsidRPr="005C5E5A">
        <w:rPr>
          <w:rFonts w:asciiTheme="majorHAnsi" w:hAnsiTheme="majorHAnsi" w:cstheme="majorHAnsi"/>
          <w:sz w:val="28"/>
          <w:szCs w:val="28"/>
        </w:rPr>
        <w:t xml:space="preserve">. </w:t>
      </w:r>
    </w:p>
    <w:p w:rsidR="00EC107A" w:rsidRPr="005C5E5A" w:rsidRDefault="00B821B0" w:rsidP="00EC107A">
      <w:pPr>
        <w:ind w:left="72"/>
        <w:jc w:val="both"/>
        <w:rPr>
          <w:rFonts w:asciiTheme="majorHAnsi" w:hAnsiTheme="majorHAnsi" w:cstheme="majorHAnsi"/>
          <w:i/>
          <w:sz w:val="28"/>
          <w:szCs w:val="28"/>
        </w:rPr>
      </w:pPr>
      <w:r w:rsidRPr="005C5E5A">
        <w:rPr>
          <w:rFonts w:asciiTheme="majorHAnsi" w:hAnsiTheme="majorHAnsi" w:cstheme="majorHAnsi"/>
          <w:i/>
          <w:sz w:val="28"/>
          <w:szCs w:val="28"/>
        </w:rPr>
        <w:t xml:space="preserve">UNICEF </w:t>
      </w:r>
      <w:r w:rsidR="000B60C4" w:rsidRPr="005C5E5A">
        <w:rPr>
          <w:rFonts w:asciiTheme="majorHAnsi" w:hAnsiTheme="majorHAnsi" w:cstheme="majorHAnsi"/>
          <w:i/>
          <w:sz w:val="28"/>
          <w:szCs w:val="28"/>
        </w:rPr>
        <w:t>MICS</w:t>
      </w:r>
    </w:p>
    <w:p w:rsidR="00B821B0" w:rsidRPr="005C5E5A" w:rsidRDefault="003B5DA1" w:rsidP="00B821B0">
      <w:pPr>
        <w:ind w:left="72"/>
        <w:jc w:val="both"/>
        <w:rPr>
          <w:rFonts w:asciiTheme="majorHAnsi" w:hAnsiTheme="majorHAnsi" w:cstheme="majorHAnsi"/>
          <w:sz w:val="28"/>
          <w:szCs w:val="28"/>
        </w:rPr>
      </w:pPr>
      <w:r w:rsidRPr="005C5E5A">
        <w:rPr>
          <w:rFonts w:asciiTheme="majorHAnsi" w:hAnsiTheme="majorHAnsi" w:cstheme="majorHAnsi"/>
          <w:sz w:val="28"/>
          <w:szCs w:val="28"/>
        </w:rPr>
        <w:t xml:space="preserve">This review </w:t>
      </w:r>
      <w:r w:rsidR="000B60C4" w:rsidRPr="005C5E5A">
        <w:rPr>
          <w:rFonts w:asciiTheme="majorHAnsi" w:hAnsiTheme="majorHAnsi" w:cstheme="majorHAnsi"/>
          <w:sz w:val="28"/>
          <w:szCs w:val="28"/>
        </w:rPr>
        <w:t xml:space="preserve">draws in particular on data from national Multi-Indicator Cluster Surveys </w:t>
      </w:r>
      <w:r w:rsidRPr="005C5E5A">
        <w:rPr>
          <w:rFonts w:asciiTheme="majorHAnsi" w:hAnsiTheme="majorHAnsi" w:cstheme="majorHAnsi"/>
          <w:sz w:val="28"/>
          <w:szCs w:val="28"/>
        </w:rPr>
        <w:t xml:space="preserve">(MICS) </w:t>
      </w:r>
      <w:r w:rsidR="000B60C4" w:rsidRPr="005C5E5A">
        <w:rPr>
          <w:rFonts w:asciiTheme="majorHAnsi" w:hAnsiTheme="majorHAnsi" w:cstheme="majorHAnsi"/>
          <w:sz w:val="28"/>
          <w:szCs w:val="28"/>
        </w:rPr>
        <w:t xml:space="preserve">which have been sponsored and managed by UNICEF working in collaboration with national statistical agencies in over 70 countries during the last 30 years. </w:t>
      </w:r>
      <w:r w:rsidR="00B821B0" w:rsidRPr="005C5E5A">
        <w:rPr>
          <w:rFonts w:asciiTheme="majorHAnsi" w:hAnsiTheme="majorHAnsi" w:cstheme="majorHAnsi"/>
          <w:sz w:val="28"/>
          <w:szCs w:val="28"/>
        </w:rPr>
        <w:t>MICS surveys are well designed with well-established population-based nation</w:t>
      </w:r>
      <w:r w:rsidRPr="005C5E5A">
        <w:rPr>
          <w:rFonts w:asciiTheme="majorHAnsi" w:hAnsiTheme="majorHAnsi" w:cstheme="majorHAnsi"/>
          <w:sz w:val="28"/>
          <w:szCs w:val="28"/>
        </w:rPr>
        <w:t xml:space="preserve">al sampling frameworks and </w:t>
      </w:r>
      <w:r w:rsidR="00B821B0" w:rsidRPr="005C5E5A">
        <w:rPr>
          <w:rFonts w:asciiTheme="majorHAnsi" w:hAnsiTheme="majorHAnsi" w:cstheme="majorHAnsi"/>
          <w:sz w:val="28"/>
          <w:szCs w:val="28"/>
        </w:rPr>
        <w:t xml:space="preserve">large </w:t>
      </w:r>
      <w:r w:rsidRPr="005C5E5A">
        <w:rPr>
          <w:rFonts w:asciiTheme="majorHAnsi" w:hAnsiTheme="majorHAnsi" w:cstheme="majorHAnsi"/>
          <w:sz w:val="28"/>
          <w:szCs w:val="28"/>
        </w:rPr>
        <w:t>household samples</w:t>
      </w:r>
      <w:r w:rsidR="009D5CEF">
        <w:rPr>
          <w:rFonts w:asciiTheme="majorHAnsi" w:hAnsiTheme="majorHAnsi" w:cstheme="majorHAnsi"/>
          <w:sz w:val="28"/>
          <w:szCs w:val="28"/>
        </w:rPr>
        <w:t xml:space="preserve"> (see table 1)</w:t>
      </w:r>
      <w:r w:rsidR="00B821B0" w:rsidRPr="005C5E5A">
        <w:rPr>
          <w:rFonts w:asciiTheme="majorHAnsi" w:hAnsiTheme="majorHAnsi" w:cstheme="majorHAnsi"/>
          <w:sz w:val="28"/>
          <w:szCs w:val="28"/>
        </w:rPr>
        <w:t xml:space="preserve">. They are </w:t>
      </w:r>
      <w:r w:rsidR="00DE7193" w:rsidRPr="005C5E5A">
        <w:rPr>
          <w:rFonts w:asciiTheme="majorHAnsi" w:hAnsiTheme="majorHAnsi" w:cstheme="majorHAnsi"/>
          <w:sz w:val="28"/>
          <w:szCs w:val="28"/>
        </w:rPr>
        <w:t>p</w:t>
      </w:r>
      <w:r w:rsidR="00B821B0" w:rsidRPr="005C5E5A">
        <w:rPr>
          <w:rFonts w:asciiTheme="majorHAnsi" w:hAnsiTheme="majorHAnsi" w:cstheme="majorHAnsi"/>
          <w:sz w:val="28"/>
          <w:szCs w:val="28"/>
        </w:rPr>
        <w:t xml:space="preserve">rofessionally executed with well-trained enumerators. </w:t>
      </w:r>
    </w:p>
    <w:p w:rsidR="00EC107A" w:rsidRDefault="000B60C4" w:rsidP="00EC107A">
      <w:pPr>
        <w:ind w:left="72"/>
        <w:jc w:val="both"/>
        <w:rPr>
          <w:rFonts w:asciiTheme="majorHAnsi" w:hAnsiTheme="majorHAnsi" w:cstheme="majorHAnsi"/>
          <w:sz w:val="28"/>
          <w:szCs w:val="28"/>
        </w:rPr>
      </w:pPr>
      <w:r w:rsidRPr="005C5E5A">
        <w:rPr>
          <w:rFonts w:asciiTheme="majorHAnsi" w:hAnsiTheme="majorHAnsi" w:cstheme="majorHAnsi"/>
          <w:sz w:val="28"/>
          <w:szCs w:val="28"/>
        </w:rPr>
        <w:t xml:space="preserve">For the first time, the latest five-year survey round (MICS6) includes </w:t>
      </w:r>
      <w:r w:rsidR="00552117">
        <w:rPr>
          <w:rFonts w:asciiTheme="majorHAnsi" w:hAnsiTheme="majorHAnsi" w:cstheme="majorHAnsi"/>
          <w:sz w:val="28"/>
          <w:szCs w:val="28"/>
        </w:rPr>
        <w:t xml:space="preserve">a </w:t>
      </w:r>
      <w:r w:rsidRPr="005C5E5A">
        <w:rPr>
          <w:rFonts w:asciiTheme="majorHAnsi" w:hAnsiTheme="majorHAnsi" w:cstheme="majorHAnsi"/>
          <w:sz w:val="28"/>
          <w:szCs w:val="28"/>
        </w:rPr>
        <w:t>question on school ownership type. By late 2020, survey data had been released for seven c</w:t>
      </w:r>
      <w:r w:rsidR="00552117">
        <w:rPr>
          <w:rFonts w:asciiTheme="majorHAnsi" w:hAnsiTheme="majorHAnsi" w:cstheme="majorHAnsi"/>
          <w:sz w:val="28"/>
          <w:szCs w:val="28"/>
        </w:rPr>
        <w:t>ountries in SSA</w:t>
      </w:r>
      <w:r w:rsidRPr="005C5E5A">
        <w:rPr>
          <w:rFonts w:asciiTheme="majorHAnsi" w:hAnsiTheme="majorHAnsi" w:cstheme="majorHAnsi"/>
          <w:sz w:val="28"/>
          <w:szCs w:val="28"/>
        </w:rPr>
        <w:t>.</w:t>
      </w:r>
      <w:r w:rsidR="00B821B0" w:rsidRPr="005C5E5A">
        <w:rPr>
          <w:rFonts w:asciiTheme="majorHAnsi" w:hAnsiTheme="majorHAnsi" w:cstheme="majorHAnsi"/>
          <w:sz w:val="28"/>
          <w:szCs w:val="28"/>
        </w:rPr>
        <w:t xml:space="preserve"> Although these are </w:t>
      </w:r>
      <w:r w:rsidR="00EC107A" w:rsidRPr="005C5E5A">
        <w:rPr>
          <w:rFonts w:asciiTheme="majorHAnsi" w:hAnsiTheme="majorHAnsi" w:cstheme="majorHAnsi"/>
          <w:sz w:val="28"/>
          <w:szCs w:val="28"/>
        </w:rPr>
        <w:t xml:space="preserve">not a </w:t>
      </w:r>
      <w:r w:rsidR="00B821B0" w:rsidRPr="005C5E5A">
        <w:rPr>
          <w:rFonts w:asciiTheme="majorHAnsi" w:hAnsiTheme="majorHAnsi" w:cstheme="majorHAnsi"/>
          <w:sz w:val="28"/>
          <w:szCs w:val="28"/>
        </w:rPr>
        <w:t xml:space="preserve">fully </w:t>
      </w:r>
      <w:r w:rsidR="00EC107A" w:rsidRPr="005C5E5A">
        <w:rPr>
          <w:rFonts w:asciiTheme="majorHAnsi" w:hAnsiTheme="majorHAnsi" w:cstheme="majorHAnsi"/>
          <w:sz w:val="28"/>
          <w:szCs w:val="28"/>
        </w:rPr>
        <w:t xml:space="preserve">representative sample of </w:t>
      </w:r>
      <w:r w:rsidR="00552117">
        <w:rPr>
          <w:rFonts w:asciiTheme="majorHAnsi" w:hAnsiTheme="majorHAnsi" w:cstheme="majorHAnsi"/>
          <w:sz w:val="28"/>
          <w:szCs w:val="28"/>
        </w:rPr>
        <w:t xml:space="preserve">all 50 </w:t>
      </w:r>
      <w:r w:rsidR="00EC107A" w:rsidRPr="005C5E5A">
        <w:rPr>
          <w:rFonts w:asciiTheme="majorHAnsi" w:hAnsiTheme="majorHAnsi" w:cstheme="majorHAnsi"/>
          <w:sz w:val="28"/>
          <w:szCs w:val="28"/>
        </w:rPr>
        <w:t>countries</w:t>
      </w:r>
      <w:r w:rsidR="00B821B0" w:rsidRPr="005C5E5A">
        <w:rPr>
          <w:rFonts w:asciiTheme="majorHAnsi" w:hAnsiTheme="majorHAnsi" w:cstheme="majorHAnsi"/>
          <w:sz w:val="28"/>
          <w:szCs w:val="28"/>
        </w:rPr>
        <w:t xml:space="preserve"> in SSA, </w:t>
      </w:r>
      <w:r w:rsidR="004233F8">
        <w:rPr>
          <w:rFonts w:asciiTheme="majorHAnsi" w:hAnsiTheme="majorHAnsi" w:cstheme="majorHAnsi"/>
          <w:sz w:val="28"/>
          <w:szCs w:val="28"/>
        </w:rPr>
        <w:t>they</w:t>
      </w:r>
      <w:r w:rsidR="00552117">
        <w:rPr>
          <w:rFonts w:asciiTheme="majorHAnsi" w:hAnsiTheme="majorHAnsi" w:cstheme="majorHAnsi"/>
          <w:sz w:val="28"/>
          <w:szCs w:val="28"/>
        </w:rPr>
        <w:t xml:space="preserve"> are </w:t>
      </w:r>
      <w:r w:rsidR="00B821B0" w:rsidRPr="005C5E5A">
        <w:rPr>
          <w:rFonts w:asciiTheme="majorHAnsi" w:hAnsiTheme="majorHAnsi" w:cstheme="majorHAnsi"/>
          <w:sz w:val="28"/>
          <w:szCs w:val="28"/>
        </w:rPr>
        <w:t xml:space="preserve">a </w:t>
      </w:r>
      <w:r w:rsidR="00552117">
        <w:rPr>
          <w:rFonts w:asciiTheme="majorHAnsi" w:hAnsiTheme="majorHAnsi" w:cstheme="majorHAnsi"/>
          <w:sz w:val="28"/>
          <w:szCs w:val="28"/>
        </w:rPr>
        <w:t>good</w:t>
      </w:r>
      <w:r w:rsidR="00EC107A" w:rsidRPr="005C5E5A">
        <w:rPr>
          <w:rFonts w:asciiTheme="majorHAnsi" w:hAnsiTheme="majorHAnsi" w:cstheme="majorHAnsi"/>
          <w:sz w:val="28"/>
          <w:szCs w:val="28"/>
        </w:rPr>
        <w:t xml:space="preserve"> cross-section of countries with respect to populatio</w:t>
      </w:r>
      <w:r w:rsidR="00B821B0" w:rsidRPr="005C5E5A">
        <w:rPr>
          <w:rFonts w:asciiTheme="majorHAnsi" w:hAnsiTheme="majorHAnsi" w:cstheme="majorHAnsi"/>
          <w:sz w:val="28"/>
          <w:szCs w:val="28"/>
        </w:rPr>
        <w:t>n size and level</w:t>
      </w:r>
      <w:r w:rsidR="009D5CEF">
        <w:rPr>
          <w:rFonts w:asciiTheme="majorHAnsi" w:hAnsiTheme="majorHAnsi" w:cstheme="majorHAnsi"/>
          <w:sz w:val="28"/>
          <w:szCs w:val="28"/>
        </w:rPr>
        <w:t>s</w:t>
      </w:r>
      <w:r w:rsidR="00B821B0" w:rsidRPr="005C5E5A">
        <w:rPr>
          <w:rFonts w:asciiTheme="majorHAnsi" w:hAnsiTheme="majorHAnsi" w:cstheme="majorHAnsi"/>
          <w:sz w:val="28"/>
          <w:szCs w:val="28"/>
        </w:rPr>
        <w:t xml:space="preserve"> of </w:t>
      </w:r>
      <w:r w:rsidR="009D5CEF">
        <w:rPr>
          <w:rFonts w:asciiTheme="majorHAnsi" w:hAnsiTheme="majorHAnsi" w:cstheme="majorHAnsi"/>
          <w:sz w:val="28"/>
          <w:szCs w:val="28"/>
        </w:rPr>
        <w:t xml:space="preserve">economic and educational </w:t>
      </w:r>
      <w:r w:rsidR="00B821B0" w:rsidRPr="005C5E5A">
        <w:rPr>
          <w:rFonts w:asciiTheme="majorHAnsi" w:hAnsiTheme="majorHAnsi" w:cstheme="majorHAnsi"/>
          <w:sz w:val="28"/>
          <w:szCs w:val="28"/>
        </w:rPr>
        <w:t>development</w:t>
      </w:r>
      <w:r w:rsidR="00597F88">
        <w:rPr>
          <w:rFonts w:asciiTheme="majorHAnsi" w:hAnsiTheme="majorHAnsi" w:cstheme="majorHAnsi"/>
          <w:sz w:val="28"/>
          <w:szCs w:val="28"/>
        </w:rPr>
        <w:t xml:space="preserve"> (see table 1)</w:t>
      </w:r>
      <w:r w:rsidR="00EC107A" w:rsidRPr="005C5E5A">
        <w:rPr>
          <w:rFonts w:asciiTheme="majorHAnsi" w:hAnsiTheme="majorHAnsi" w:cstheme="majorHAnsi"/>
          <w:sz w:val="28"/>
          <w:szCs w:val="28"/>
        </w:rPr>
        <w:t xml:space="preserve">. As the </w:t>
      </w:r>
      <w:r w:rsidR="00552117">
        <w:rPr>
          <w:rFonts w:asciiTheme="majorHAnsi" w:hAnsiTheme="majorHAnsi" w:cstheme="majorHAnsi"/>
          <w:sz w:val="28"/>
          <w:szCs w:val="28"/>
        </w:rPr>
        <w:t xml:space="preserve">MICS6 </w:t>
      </w:r>
      <w:r w:rsidR="00EC107A" w:rsidRPr="005C5E5A">
        <w:rPr>
          <w:rFonts w:asciiTheme="majorHAnsi" w:hAnsiTheme="majorHAnsi" w:cstheme="majorHAnsi"/>
          <w:sz w:val="28"/>
          <w:szCs w:val="28"/>
        </w:rPr>
        <w:t xml:space="preserve">data from more countries </w:t>
      </w:r>
      <w:r w:rsidR="0034507B" w:rsidRPr="005C5E5A">
        <w:rPr>
          <w:rFonts w:asciiTheme="majorHAnsi" w:hAnsiTheme="majorHAnsi" w:cstheme="majorHAnsi"/>
          <w:sz w:val="28"/>
          <w:szCs w:val="28"/>
        </w:rPr>
        <w:t xml:space="preserve">in SSA </w:t>
      </w:r>
      <w:r w:rsidR="00EC107A" w:rsidRPr="005C5E5A">
        <w:rPr>
          <w:rFonts w:asciiTheme="majorHAnsi" w:hAnsiTheme="majorHAnsi" w:cstheme="majorHAnsi"/>
          <w:sz w:val="28"/>
          <w:szCs w:val="28"/>
        </w:rPr>
        <w:t>becomes available during the next two years, this will enable a more accurate analysis of the incidence</w:t>
      </w:r>
      <w:r w:rsidR="00DE7193" w:rsidRPr="005C5E5A">
        <w:rPr>
          <w:rFonts w:asciiTheme="majorHAnsi" w:hAnsiTheme="majorHAnsi" w:cstheme="majorHAnsi"/>
          <w:sz w:val="28"/>
          <w:szCs w:val="28"/>
        </w:rPr>
        <w:t xml:space="preserve"> and patterns</w:t>
      </w:r>
      <w:r w:rsidR="00EC107A" w:rsidRPr="005C5E5A">
        <w:rPr>
          <w:rFonts w:asciiTheme="majorHAnsi" w:hAnsiTheme="majorHAnsi" w:cstheme="majorHAnsi"/>
          <w:sz w:val="28"/>
          <w:szCs w:val="28"/>
        </w:rPr>
        <w:t xml:space="preserve"> </w:t>
      </w:r>
      <w:r w:rsidR="00B821B0" w:rsidRPr="005C5E5A">
        <w:rPr>
          <w:rFonts w:asciiTheme="majorHAnsi" w:hAnsiTheme="majorHAnsi" w:cstheme="majorHAnsi"/>
          <w:sz w:val="28"/>
          <w:szCs w:val="28"/>
        </w:rPr>
        <w:t xml:space="preserve">of </w:t>
      </w:r>
      <w:r w:rsidR="00EC107A" w:rsidRPr="005C5E5A">
        <w:rPr>
          <w:rFonts w:asciiTheme="majorHAnsi" w:hAnsiTheme="majorHAnsi" w:cstheme="majorHAnsi"/>
          <w:sz w:val="28"/>
          <w:szCs w:val="28"/>
        </w:rPr>
        <w:t xml:space="preserve">private schooling to be undertaken. </w:t>
      </w:r>
    </w:p>
    <w:p w:rsidR="004E50C0" w:rsidRPr="005C5E5A" w:rsidRDefault="004E50C0" w:rsidP="00EC107A">
      <w:pPr>
        <w:ind w:left="72"/>
        <w:jc w:val="both"/>
        <w:rPr>
          <w:rFonts w:asciiTheme="majorHAnsi" w:hAnsiTheme="majorHAnsi" w:cstheme="majorHAnsi"/>
          <w:sz w:val="28"/>
          <w:szCs w:val="28"/>
        </w:rPr>
      </w:pPr>
      <w:r w:rsidRPr="005C5E5A">
        <w:rPr>
          <w:rFonts w:asciiTheme="majorHAnsi" w:hAnsiTheme="majorHAnsi" w:cstheme="majorHAnsi"/>
          <w:sz w:val="28"/>
          <w:szCs w:val="28"/>
        </w:rPr>
        <w:t>2.3 Other issues</w:t>
      </w:r>
    </w:p>
    <w:p w:rsidR="004E50C0" w:rsidRPr="005C5E5A" w:rsidRDefault="004E50C0" w:rsidP="004E50C0">
      <w:pPr>
        <w:jc w:val="both"/>
        <w:rPr>
          <w:rFonts w:asciiTheme="majorHAnsi" w:hAnsiTheme="majorHAnsi" w:cstheme="majorHAnsi"/>
          <w:sz w:val="28"/>
          <w:szCs w:val="28"/>
        </w:rPr>
      </w:pPr>
      <w:r w:rsidRPr="005C5E5A">
        <w:rPr>
          <w:rFonts w:asciiTheme="majorHAnsi" w:hAnsiTheme="majorHAnsi" w:cstheme="majorHAnsi"/>
          <w:sz w:val="28"/>
          <w:szCs w:val="28"/>
        </w:rPr>
        <w:t xml:space="preserve">The focus of the </w:t>
      </w:r>
      <w:r w:rsidR="00DE7193" w:rsidRPr="005C5E5A">
        <w:rPr>
          <w:rFonts w:asciiTheme="majorHAnsi" w:hAnsiTheme="majorHAnsi" w:cstheme="majorHAnsi"/>
          <w:sz w:val="28"/>
          <w:szCs w:val="28"/>
        </w:rPr>
        <w:t xml:space="preserve">review </w:t>
      </w:r>
      <w:r w:rsidRPr="005C5E5A">
        <w:rPr>
          <w:rFonts w:asciiTheme="majorHAnsi" w:hAnsiTheme="majorHAnsi" w:cstheme="majorHAnsi"/>
          <w:sz w:val="28"/>
          <w:szCs w:val="28"/>
        </w:rPr>
        <w:t>is solely on access and equity rather quality and cost-effectiveness issues</w:t>
      </w:r>
      <w:r w:rsidR="009D5CEF">
        <w:rPr>
          <w:rFonts w:asciiTheme="majorHAnsi" w:hAnsiTheme="majorHAnsi" w:cstheme="majorHAnsi"/>
          <w:sz w:val="28"/>
          <w:szCs w:val="28"/>
        </w:rPr>
        <w:t xml:space="preserve">. </w:t>
      </w:r>
      <w:r w:rsidRPr="005C5E5A">
        <w:rPr>
          <w:rFonts w:asciiTheme="majorHAnsi" w:hAnsiTheme="majorHAnsi" w:cstheme="majorHAnsi"/>
          <w:sz w:val="28"/>
          <w:szCs w:val="28"/>
        </w:rPr>
        <w:t xml:space="preserve">  </w:t>
      </w:r>
    </w:p>
    <w:p w:rsidR="00FE1A28" w:rsidRPr="005C5E5A" w:rsidRDefault="00FE1A28" w:rsidP="00FE1A28">
      <w:pPr>
        <w:ind w:left="72"/>
        <w:jc w:val="both"/>
        <w:rPr>
          <w:rFonts w:asciiTheme="majorHAnsi" w:hAnsiTheme="majorHAnsi" w:cstheme="majorHAnsi"/>
          <w:sz w:val="28"/>
          <w:szCs w:val="28"/>
        </w:rPr>
      </w:pPr>
      <w:r w:rsidRPr="005C5E5A">
        <w:rPr>
          <w:rFonts w:asciiTheme="majorHAnsi" w:hAnsiTheme="majorHAnsi" w:cstheme="majorHAnsi"/>
          <w:sz w:val="28"/>
          <w:szCs w:val="28"/>
        </w:rPr>
        <w:t xml:space="preserve">The presentation of the main findings of the review relies on descriptive statistics derived from </w:t>
      </w:r>
      <w:r w:rsidR="004E50C0" w:rsidRPr="005C5E5A">
        <w:rPr>
          <w:rFonts w:asciiTheme="majorHAnsi" w:hAnsiTheme="majorHAnsi" w:cstheme="majorHAnsi"/>
          <w:sz w:val="28"/>
          <w:szCs w:val="28"/>
        </w:rPr>
        <w:t xml:space="preserve">UIS data and the </w:t>
      </w:r>
      <w:r w:rsidRPr="005C5E5A">
        <w:rPr>
          <w:rFonts w:asciiTheme="majorHAnsi" w:hAnsiTheme="majorHAnsi" w:cstheme="majorHAnsi"/>
          <w:sz w:val="28"/>
          <w:szCs w:val="28"/>
        </w:rPr>
        <w:t xml:space="preserve">MICS6 </w:t>
      </w:r>
      <w:r w:rsidR="004E50C0" w:rsidRPr="005C5E5A">
        <w:rPr>
          <w:rFonts w:asciiTheme="majorHAnsi" w:hAnsiTheme="majorHAnsi" w:cstheme="majorHAnsi"/>
          <w:sz w:val="28"/>
          <w:szCs w:val="28"/>
        </w:rPr>
        <w:t xml:space="preserve">country </w:t>
      </w:r>
      <w:r w:rsidRPr="005C5E5A">
        <w:rPr>
          <w:rFonts w:asciiTheme="majorHAnsi" w:hAnsiTheme="majorHAnsi" w:cstheme="majorHAnsi"/>
          <w:sz w:val="28"/>
          <w:szCs w:val="28"/>
        </w:rPr>
        <w:t xml:space="preserve">surveys. A subsequent article will present </w:t>
      </w:r>
      <w:r w:rsidR="004E50C0" w:rsidRPr="005C5E5A">
        <w:rPr>
          <w:rFonts w:asciiTheme="majorHAnsi" w:hAnsiTheme="majorHAnsi" w:cstheme="majorHAnsi"/>
          <w:sz w:val="28"/>
          <w:szCs w:val="28"/>
        </w:rPr>
        <w:t xml:space="preserve">the </w:t>
      </w:r>
      <w:r w:rsidRPr="005C5E5A">
        <w:rPr>
          <w:rFonts w:asciiTheme="majorHAnsi" w:hAnsiTheme="majorHAnsi" w:cstheme="majorHAnsi"/>
          <w:sz w:val="28"/>
          <w:szCs w:val="28"/>
        </w:rPr>
        <w:t>results of econometric modelling including probit analysis in order to explore the key determinants of P</w:t>
      </w:r>
      <w:r w:rsidR="00DE7193" w:rsidRPr="005C5E5A">
        <w:rPr>
          <w:rFonts w:asciiTheme="majorHAnsi" w:hAnsiTheme="majorHAnsi" w:cstheme="majorHAnsi"/>
          <w:sz w:val="28"/>
          <w:szCs w:val="28"/>
        </w:rPr>
        <w:t xml:space="preserve">SP country </w:t>
      </w:r>
      <w:r w:rsidRPr="005C5E5A">
        <w:rPr>
          <w:rFonts w:asciiTheme="majorHAnsi" w:hAnsiTheme="majorHAnsi" w:cstheme="majorHAnsi"/>
          <w:sz w:val="28"/>
          <w:szCs w:val="28"/>
        </w:rPr>
        <w:t>incidence.</w:t>
      </w:r>
    </w:p>
    <w:p w:rsidR="00FE1A28" w:rsidRPr="005C5E5A" w:rsidRDefault="00FE1A28" w:rsidP="00FE1A28">
      <w:pPr>
        <w:jc w:val="both"/>
        <w:rPr>
          <w:rFonts w:asciiTheme="majorHAnsi" w:hAnsiTheme="majorHAnsi" w:cstheme="majorHAnsi"/>
          <w:b/>
          <w:sz w:val="28"/>
          <w:szCs w:val="28"/>
        </w:rPr>
      </w:pPr>
      <w:r w:rsidRPr="005C5E5A">
        <w:rPr>
          <w:rFonts w:asciiTheme="majorHAnsi" w:hAnsiTheme="majorHAnsi" w:cstheme="majorHAnsi"/>
          <w:b/>
          <w:sz w:val="28"/>
          <w:szCs w:val="28"/>
        </w:rPr>
        <w:t xml:space="preserve">3. </w:t>
      </w:r>
      <w:r w:rsidRPr="005C5E5A">
        <w:rPr>
          <w:rFonts w:asciiTheme="majorHAnsi" w:hAnsiTheme="majorHAnsi" w:cstheme="majorHAnsi"/>
          <w:b/>
          <w:i/>
          <w:sz w:val="28"/>
          <w:szCs w:val="28"/>
        </w:rPr>
        <w:t>The current evidence base</w:t>
      </w:r>
    </w:p>
    <w:p w:rsidR="00FE1A28" w:rsidRPr="005C5E5A" w:rsidRDefault="00FE1A28" w:rsidP="00FE1A28">
      <w:pPr>
        <w:ind w:left="72"/>
        <w:jc w:val="both"/>
        <w:rPr>
          <w:rFonts w:asciiTheme="majorHAnsi" w:hAnsiTheme="majorHAnsi" w:cstheme="majorHAnsi"/>
          <w:i/>
          <w:sz w:val="28"/>
          <w:szCs w:val="28"/>
        </w:rPr>
      </w:pPr>
      <w:r w:rsidRPr="005C5E5A">
        <w:rPr>
          <w:rFonts w:asciiTheme="majorHAnsi" w:hAnsiTheme="majorHAnsi" w:cstheme="majorHAnsi"/>
          <w:i/>
          <w:sz w:val="28"/>
          <w:szCs w:val="28"/>
        </w:rPr>
        <w:t>3.1 Overview</w:t>
      </w:r>
    </w:p>
    <w:p w:rsidR="00FE1A28" w:rsidRPr="005C5E5A" w:rsidRDefault="00FE1A28" w:rsidP="00FE1A28">
      <w:pPr>
        <w:ind w:left="72"/>
        <w:jc w:val="both"/>
        <w:rPr>
          <w:rFonts w:asciiTheme="majorHAnsi" w:hAnsiTheme="majorHAnsi" w:cstheme="majorHAnsi"/>
          <w:sz w:val="28"/>
          <w:szCs w:val="28"/>
        </w:rPr>
      </w:pPr>
      <w:r w:rsidRPr="005C5E5A">
        <w:rPr>
          <w:rFonts w:asciiTheme="majorHAnsi" w:hAnsiTheme="majorHAnsi" w:cstheme="majorHAnsi"/>
          <w:sz w:val="28"/>
          <w:szCs w:val="28"/>
        </w:rPr>
        <w:t>For-profit schools</w:t>
      </w:r>
    </w:p>
    <w:p w:rsidR="00FE1A28" w:rsidRPr="005C5E5A" w:rsidRDefault="00FE1A28" w:rsidP="00FE1A28">
      <w:pPr>
        <w:ind w:left="72"/>
        <w:jc w:val="both"/>
        <w:rPr>
          <w:rFonts w:asciiTheme="majorHAnsi" w:hAnsiTheme="majorHAnsi" w:cstheme="majorHAnsi"/>
          <w:sz w:val="28"/>
          <w:szCs w:val="28"/>
        </w:rPr>
      </w:pPr>
      <w:r w:rsidRPr="005C5E5A">
        <w:rPr>
          <w:rFonts w:asciiTheme="majorHAnsi" w:hAnsiTheme="majorHAnsi" w:cstheme="majorHAnsi"/>
          <w:sz w:val="28"/>
          <w:szCs w:val="28"/>
        </w:rPr>
        <w:t xml:space="preserve">The rapid growth of </w:t>
      </w:r>
      <w:r w:rsidR="005C1365" w:rsidRPr="005C5E5A">
        <w:rPr>
          <w:rFonts w:asciiTheme="majorHAnsi" w:hAnsiTheme="majorHAnsi" w:cstheme="majorHAnsi"/>
          <w:sz w:val="28"/>
          <w:szCs w:val="28"/>
        </w:rPr>
        <w:t xml:space="preserve">for-profit </w:t>
      </w:r>
      <w:r w:rsidR="00DE7193" w:rsidRPr="005C5E5A">
        <w:rPr>
          <w:rFonts w:asciiTheme="majorHAnsi" w:hAnsiTheme="majorHAnsi" w:cstheme="majorHAnsi"/>
          <w:sz w:val="28"/>
          <w:szCs w:val="28"/>
        </w:rPr>
        <w:t>PSP i</w:t>
      </w:r>
      <w:r w:rsidRPr="005C5E5A">
        <w:rPr>
          <w:rFonts w:asciiTheme="majorHAnsi" w:hAnsiTheme="majorHAnsi" w:cstheme="majorHAnsi"/>
          <w:sz w:val="28"/>
          <w:szCs w:val="28"/>
        </w:rPr>
        <w:t xml:space="preserve">n low and middle income developing countries, particularly in sub-Saharan and South Asia, has been consistently identified as being one the most important education developments during the last three decades. In some countries, enrolments at these schools now account for large shares of total enrolments in primary and secondary schools, particularly in urban areas. </w:t>
      </w:r>
    </w:p>
    <w:p w:rsidR="00FE1A28" w:rsidRPr="005C5E5A" w:rsidRDefault="00FE1A28" w:rsidP="00FE1A28">
      <w:pPr>
        <w:jc w:val="both"/>
        <w:rPr>
          <w:rFonts w:asciiTheme="majorHAnsi" w:hAnsiTheme="majorHAnsi" w:cstheme="majorHAnsi"/>
          <w:sz w:val="28"/>
          <w:szCs w:val="28"/>
        </w:rPr>
      </w:pPr>
      <w:r w:rsidRPr="005C5E5A">
        <w:rPr>
          <w:rFonts w:asciiTheme="majorHAnsi" w:hAnsiTheme="majorHAnsi" w:cstheme="majorHAnsi"/>
          <w:sz w:val="28"/>
          <w:szCs w:val="28"/>
        </w:rPr>
        <w:t>This emergence of sizeable for-profit PSP in SSA</w:t>
      </w:r>
      <w:r w:rsidR="00DE7193" w:rsidRPr="005C5E5A">
        <w:rPr>
          <w:rFonts w:asciiTheme="majorHAnsi" w:hAnsiTheme="majorHAnsi" w:cstheme="majorHAnsi"/>
          <w:sz w:val="28"/>
          <w:szCs w:val="28"/>
        </w:rPr>
        <w:t xml:space="preserve"> and elsewhere</w:t>
      </w:r>
      <w:r w:rsidRPr="005C5E5A">
        <w:rPr>
          <w:rFonts w:asciiTheme="majorHAnsi" w:hAnsiTheme="majorHAnsi" w:cstheme="majorHAnsi"/>
          <w:sz w:val="28"/>
          <w:szCs w:val="28"/>
        </w:rPr>
        <w:t xml:space="preserve"> has generated a lively and, at times, acrimonious and polarised debate about the overall significance and desirability of private schooling especially among the poor in developing countries. James Tooley and Pauline Dixon have become the leading </w:t>
      </w:r>
      <w:r w:rsidR="00552117">
        <w:rPr>
          <w:rFonts w:asciiTheme="majorHAnsi" w:hAnsiTheme="majorHAnsi" w:cstheme="majorHAnsi"/>
          <w:sz w:val="28"/>
          <w:szCs w:val="28"/>
        </w:rPr>
        <w:t xml:space="preserve">advocates </w:t>
      </w:r>
      <w:r w:rsidRPr="005C5E5A">
        <w:rPr>
          <w:rFonts w:asciiTheme="majorHAnsi" w:hAnsiTheme="majorHAnsi" w:cstheme="majorHAnsi"/>
          <w:sz w:val="28"/>
          <w:szCs w:val="28"/>
        </w:rPr>
        <w:t>of ‘low-cost private school</w:t>
      </w:r>
      <w:r w:rsidR="00DE7193" w:rsidRPr="005C5E5A">
        <w:rPr>
          <w:rFonts w:asciiTheme="majorHAnsi" w:hAnsiTheme="majorHAnsi" w:cstheme="majorHAnsi"/>
          <w:sz w:val="28"/>
          <w:szCs w:val="28"/>
        </w:rPr>
        <w:t>s</w:t>
      </w:r>
      <w:r w:rsidRPr="005C5E5A">
        <w:rPr>
          <w:rFonts w:asciiTheme="majorHAnsi" w:hAnsiTheme="majorHAnsi" w:cstheme="majorHAnsi"/>
          <w:sz w:val="28"/>
          <w:szCs w:val="28"/>
        </w:rPr>
        <w:t>’ for the poor during the last two decades. The</w:t>
      </w:r>
      <w:r w:rsidR="00286A2C" w:rsidRPr="005C5E5A">
        <w:rPr>
          <w:rFonts w:asciiTheme="majorHAnsi" w:hAnsiTheme="majorHAnsi" w:cstheme="majorHAnsi"/>
          <w:sz w:val="28"/>
          <w:szCs w:val="28"/>
        </w:rPr>
        <w:t xml:space="preserve">ir research </w:t>
      </w:r>
      <w:r w:rsidR="00DE7193" w:rsidRPr="005C5E5A">
        <w:rPr>
          <w:rFonts w:asciiTheme="majorHAnsi" w:hAnsiTheme="majorHAnsi" w:cstheme="majorHAnsi"/>
          <w:sz w:val="28"/>
          <w:szCs w:val="28"/>
        </w:rPr>
        <w:t xml:space="preserve">evidence comes mainly from school and household </w:t>
      </w:r>
      <w:r w:rsidRPr="005C5E5A">
        <w:rPr>
          <w:rFonts w:asciiTheme="majorHAnsi" w:hAnsiTheme="majorHAnsi" w:cstheme="majorHAnsi"/>
          <w:sz w:val="28"/>
          <w:szCs w:val="28"/>
        </w:rPr>
        <w:t xml:space="preserve">surveys of PSP in ‘different African and Indian (sic) settings’ </w:t>
      </w:r>
      <w:r w:rsidR="004233F8">
        <w:rPr>
          <w:rFonts w:asciiTheme="majorHAnsi" w:hAnsiTheme="majorHAnsi" w:cstheme="majorHAnsi"/>
          <w:sz w:val="28"/>
          <w:szCs w:val="28"/>
        </w:rPr>
        <w:t>(Tooley</w:t>
      </w:r>
      <w:r w:rsidR="00DE7193" w:rsidRPr="005C5E5A">
        <w:rPr>
          <w:rFonts w:asciiTheme="majorHAnsi" w:hAnsiTheme="majorHAnsi" w:cstheme="majorHAnsi"/>
          <w:sz w:val="28"/>
          <w:szCs w:val="28"/>
        </w:rPr>
        <w:t xml:space="preserve">, 2005: i) which were mainly undertaken </w:t>
      </w:r>
      <w:r w:rsidRPr="005C5E5A">
        <w:rPr>
          <w:rFonts w:asciiTheme="majorHAnsi" w:hAnsiTheme="majorHAnsi" w:cstheme="majorHAnsi"/>
          <w:sz w:val="28"/>
          <w:szCs w:val="28"/>
        </w:rPr>
        <w:t>during the 2000s. The findings of the</w:t>
      </w:r>
      <w:r w:rsidR="005C1365" w:rsidRPr="005C5E5A">
        <w:rPr>
          <w:rFonts w:asciiTheme="majorHAnsi" w:hAnsiTheme="majorHAnsi" w:cstheme="majorHAnsi"/>
          <w:sz w:val="28"/>
          <w:szCs w:val="28"/>
        </w:rPr>
        <w:t xml:space="preserve"> initial </w:t>
      </w:r>
      <w:r w:rsidRPr="005C5E5A">
        <w:rPr>
          <w:rFonts w:asciiTheme="majorHAnsi" w:hAnsiTheme="majorHAnsi" w:cstheme="majorHAnsi"/>
          <w:sz w:val="28"/>
          <w:szCs w:val="28"/>
        </w:rPr>
        <w:t xml:space="preserve">surveys were summarised </w:t>
      </w:r>
      <w:r w:rsidR="002D41F7" w:rsidRPr="005C5E5A">
        <w:rPr>
          <w:rFonts w:asciiTheme="majorHAnsi" w:hAnsiTheme="majorHAnsi" w:cstheme="majorHAnsi"/>
          <w:sz w:val="28"/>
          <w:szCs w:val="28"/>
        </w:rPr>
        <w:t xml:space="preserve">in 2005 </w:t>
      </w:r>
      <w:r w:rsidRPr="005C5E5A">
        <w:rPr>
          <w:rFonts w:asciiTheme="majorHAnsi" w:hAnsiTheme="majorHAnsi" w:cstheme="majorHAnsi"/>
          <w:sz w:val="28"/>
          <w:szCs w:val="28"/>
        </w:rPr>
        <w:t>in a report entitled ‘Is private educa</w:t>
      </w:r>
      <w:r w:rsidR="002D41F7" w:rsidRPr="005C5E5A">
        <w:rPr>
          <w:rFonts w:asciiTheme="majorHAnsi" w:hAnsiTheme="majorHAnsi" w:cstheme="majorHAnsi"/>
          <w:sz w:val="28"/>
          <w:szCs w:val="28"/>
        </w:rPr>
        <w:t xml:space="preserve">tion good for the poor?’ </w:t>
      </w:r>
      <w:r w:rsidRPr="005C5E5A">
        <w:rPr>
          <w:rFonts w:asciiTheme="majorHAnsi" w:hAnsiTheme="majorHAnsi" w:cstheme="majorHAnsi"/>
          <w:sz w:val="28"/>
          <w:szCs w:val="28"/>
        </w:rPr>
        <w:t xml:space="preserve"> The</w:t>
      </w:r>
      <w:r w:rsidR="002D41F7" w:rsidRPr="005C5E5A">
        <w:rPr>
          <w:rFonts w:asciiTheme="majorHAnsi" w:hAnsiTheme="majorHAnsi" w:cstheme="majorHAnsi"/>
          <w:sz w:val="28"/>
          <w:szCs w:val="28"/>
        </w:rPr>
        <w:t>ir</w:t>
      </w:r>
      <w:r w:rsidRPr="005C5E5A">
        <w:rPr>
          <w:rFonts w:asciiTheme="majorHAnsi" w:hAnsiTheme="majorHAnsi" w:cstheme="majorHAnsi"/>
          <w:sz w:val="28"/>
          <w:szCs w:val="28"/>
        </w:rPr>
        <w:t xml:space="preserve"> main conclusion was that ‘in each (of these settings), we can say that the majority of poor school children attend private unaided schools, which generally perform better than government schools, at between half and a quarter of the cost’ (ibid: i). </w:t>
      </w:r>
      <w:r w:rsidR="00286A2C" w:rsidRPr="005C5E5A">
        <w:rPr>
          <w:rFonts w:asciiTheme="majorHAnsi" w:hAnsiTheme="majorHAnsi" w:cstheme="majorHAnsi"/>
          <w:sz w:val="28"/>
          <w:szCs w:val="28"/>
        </w:rPr>
        <w:t xml:space="preserve">By </w:t>
      </w:r>
      <w:r w:rsidR="0034507B" w:rsidRPr="005C5E5A">
        <w:rPr>
          <w:rFonts w:asciiTheme="majorHAnsi" w:hAnsiTheme="majorHAnsi" w:cstheme="majorHAnsi"/>
          <w:sz w:val="28"/>
          <w:szCs w:val="28"/>
        </w:rPr>
        <w:t xml:space="preserve">the mid-2010s, they were sufficiently confident to </w:t>
      </w:r>
      <w:r w:rsidR="00286A2C" w:rsidRPr="005C5E5A">
        <w:rPr>
          <w:rFonts w:asciiTheme="majorHAnsi" w:hAnsiTheme="majorHAnsi" w:cstheme="majorHAnsi"/>
          <w:sz w:val="28"/>
          <w:szCs w:val="28"/>
        </w:rPr>
        <w:t xml:space="preserve">assert that, such was the strength of the evidence in support for low-cost schooling for the poor, </w:t>
      </w:r>
      <w:r w:rsidRPr="005C5E5A">
        <w:rPr>
          <w:rFonts w:asciiTheme="majorHAnsi" w:hAnsiTheme="majorHAnsi" w:cstheme="majorHAnsi"/>
          <w:sz w:val="28"/>
          <w:szCs w:val="28"/>
        </w:rPr>
        <w:t>the</w:t>
      </w:r>
      <w:r w:rsidR="00286A2C" w:rsidRPr="005C5E5A">
        <w:rPr>
          <w:rFonts w:asciiTheme="majorHAnsi" w:hAnsiTheme="majorHAnsi" w:cstheme="majorHAnsi"/>
          <w:sz w:val="28"/>
          <w:szCs w:val="28"/>
        </w:rPr>
        <w:t>ir</w:t>
      </w:r>
      <w:r w:rsidRPr="005C5E5A">
        <w:rPr>
          <w:rFonts w:asciiTheme="majorHAnsi" w:hAnsiTheme="majorHAnsi" w:cstheme="majorHAnsi"/>
          <w:sz w:val="28"/>
          <w:szCs w:val="28"/>
        </w:rPr>
        <w:t xml:space="preserve"> protagonists </w:t>
      </w:r>
      <w:r w:rsidR="0034507B" w:rsidRPr="005C5E5A">
        <w:rPr>
          <w:rFonts w:asciiTheme="majorHAnsi" w:hAnsiTheme="majorHAnsi" w:cstheme="majorHAnsi"/>
          <w:sz w:val="28"/>
          <w:szCs w:val="28"/>
        </w:rPr>
        <w:t xml:space="preserve">must be </w:t>
      </w:r>
      <w:r w:rsidRPr="005C5E5A">
        <w:rPr>
          <w:rFonts w:asciiTheme="majorHAnsi" w:hAnsiTheme="majorHAnsi" w:cstheme="majorHAnsi"/>
          <w:sz w:val="28"/>
          <w:szCs w:val="28"/>
        </w:rPr>
        <w:t xml:space="preserve">in </w:t>
      </w:r>
      <w:r w:rsidR="00286A2C" w:rsidRPr="005C5E5A">
        <w:rPr>
          <w:rFonts w:asciiTheme="majorHAnsi" w:hAnsiTheme="majorHAnsi" w:cstheme="majorHAnsi"/>
          <w:sz w:val="28"/>
          <w:szCs w:val="28"/>
        </w:rPr>
        <w:t xml:space="preserve">a </w:t>
      </w:r>
      <w:r w:rsidRPr="005C5E5A">
        <w:rPr>
          <w:rFonts w:asciiTheme="majorHAnsi" w:hAnsiTheme="majorHAnsi" w:cstheme="majorHAnsi"/>
          <w:sz w:val="28"/>
          <w:szCs w:val="28"/>
        </w:rPr>
        <w:t xml:space="preserve">state of </w:t>
      </w:r>
      <w:r w:rsidR="00286A2C" w:rsidRPr="005C5E5A">
        <w:rPr>
          <w:rFonts w:asciiTheme="majorHAnsi" w:hAnsiTheme="majorHAnsi" w:cstheme="majorHAnsi"/>
          <w:sz w:val="28"/>
          <w:szCs w:val="28"/>
        </w:rPr>
        <w:t>‘</w:t>
      </w:r>
      <w:r w:rsidRPr="005C5E5A">
        <w:rPr>
          <w:rFonts w:asciiTheme="majorHAnsi" w:hAnsiTheme="majorHAnsi" w:cstheme="majorHAnsi"/>
          <w:sz w:val="28"/>
          <w:szCs w:val="28"/>
        </w:rPr>
        <w:t>denial</w:t>
      </w:r>
      <w:r w:rsidR="0034507B" w:rsidRPr="005C5E5A">
        <w:rPr>
          <w:rFonts w:asciiTheme="majorHAnsi" w:hAnsiTheme="majorHAnsi" w:cstheme="majorHAnsi"/>
          <w:sz w:val="28"/>
          <w:szCs w:val="28"/>
        </w:rPr>
        <w:t>.</w:t>
      </w:r>
      <w:r w:rsidRPr="005C5E5A">
        <w:rPr>
          <w:rFonts w:asciiTheme="majorHAnsi" w:hAnsiTheme="majorHAnsi" w:cstheme="majorHAnsi"/>
          <w:sz w:val="28"/>
          <w:szCs w:val="28"/>
        </w:rPr>
        <w:t>’ (Dixon, 2013:1).</w:t>
      </w:r>
    </w:p>
    <w:p w:rsidR="00FE1A28" w:rsidRPr="005C5E5A" w:rsidRDefault="0034507B" w:rsidP="00FE1A28">
      <w:pPr>
        <w:jc w:val="both"/>
        <w:rPr>
          <w:rFonts w:asciiTheme="majorHAnsi" w:hAnsiTheme="majorHAnsi" w:cstheme="majorHAnsi"/>
          <w:sz w:val="28"/>
          <w:szCs w:val="28"/>
        </w:rPr>
      </w:pPr>
      <w:r w:rsidRPr="005C5E5A">
        <w:rPr>
          <w:rFonts w:asciiTheme="majorHAnsi" w:hAnsiTheme="majorHAnsi" w:cstheme="majorHAnsi"/>
          <w:sz w:val="28"/>
          <w:szCs w:val="28"/>
        </w:rPr>
        <w:t>T</w:t>
      </w:r>
      <w:r w:rsidR="005C1365" w:rsidRPr="005C5E5A">
        <w:rPr>
          <w:rFonts w:asciiTheme="majorHAnsi" w:hAnsiTheme="majorHAnsi" w:cstheme="majorHAnsi"/>
          <w:sz w:val="28"/>
          <w:szCs w:val="28"/>
        </w:rPr>
        <w:t xml:space="preserve">hree </w:t>
      </w:r>
      <w:r w:rsidR="00286A2C" w:rsidRPr="005C5E5A">
        <w:rPr>
          <w:rFonts w:asciiTheme="majorHAnsi" w:hAnsiTheme="majorHAnsi" w:cstheme="majorHAnsi"/>
          <w:sz w:val="28"/>
          <w:szCs w:val="28"/>
        </w:rPr>
        <w:t xml:space="preserve">main arguments </w:t>
      </w:r>
      <w:r w:rsidR="0061336C" w:rsidRPr="005C5E5A">
        <w:rPr>
          <w:rFonts w:asciiTheme="majorHAnsi" w:hAnsiTheme="majorHAnsi" w:cstheme="majorHAnsi"/>
          <w:sz w:val="28"/>
          <w:szCs w:val="28"/>
        </w:rPr>
        <w:t xml:space="preserve">have been advanced </w:t>
      </w:r>
      <w:r w:rsidR="00286A2C" w:rsidRPr="005C5E5A">
        <w:rPr>
          <w:rFonts w:asciiTheme="majorHAnsi" w:hAnsiTheme="majorHAnsi" w:cstheme="majorHAnsi"/>
          <w:sz w:val="28"/>
          <w:szCs w:val="28"/>
        </w:rPr>
        <w:t xml:space="preserve">against </w:t>
      </w:r>
      <w:r w:rsidRPr="005C5E5A">
        <w:rPr>
          <w:rFonts w:asciiTheme="majorHAnsi" w:hAnsiTheme="majorHAnsi" w:cstheme="majorHAnsi"/>
          <w:sz w:val="28"/>
          <w:szCs w:val="28"/>
        </w:rPr>
        <w:t xml:space="preserve">for-profit </w:t>
      </w:r>
      <w:r w:rsidR="00286A2C" w:rsidRPr="005C5E5A">
        <w:rPr>
          <w:rFonts w:asciiTheme="majorHAnsi" w:hAnsiTheme="majorHAnsi" w:cstheme="majorHAnsi"/>
          <w:sz w:val="28"/>
          <w:szCs w:val="28"/>
        </w:rPr>
        <w:t>PSP</w:t>
      </w:r>
      <w:r w:rsidRPr="005C5E5A">
        <w:rPr>
          <w:rFonts w:asciiTheme="majorHAnsi" w:hAnsiTheme="majorHAnsi" w:cstheme="majorHAnsi"/>
          <w:sz w:val="28"/>
          <w:szCs w:val="28"/>
        </w:rPr>
        <w:t xml:space="preserve">. Firstly, as </w:t>
      </w:r>
      <w:r w:rsidR="005C1365" w:rsidRPr="005C5E5A">
        <w:rPr>
          <w:rFonts w:asciiTheme="majorHAnsi" w:hAnsiTheme="majorHAnsi" w:cstheme="majorHAnsi"/>
          <w:sz w:val="28"/>
          <w:szCs w:val="28"/>
        </w:rPr>
        <w:t>a basic human right</w:t>
      </w:r>
      <w:r w:rsidRPr="005C5E5A">
        <w:rPr>
          <w:rFonts w:asciiTheme="majorHAnsi" w:hAnsiTheme="majorHAnsi" w:cstheme="majorHAnsi"/>
          <w:sz w:val="28"/>
          <w:szCs w:val="28"/>
        </w:rPr>
        <w:t xml:space="preserve">, education should be free for all. Secondly, </w:t>
      </w:r>
      <w:r w:rsidR="005C1365" w:rsidRPr="005C5E5A">
        <w:rPr>
          <w:rFonts w:asciiTheme="majorHAnsi" w:hAnsiTheme="majorHAnsi" w:cstheme="majorHAnsi"/>
          <w:sz w:val="28"/>
          <w:szCs w:val="28"/>
        </w:rPr>
        <w:t xml:space="preserve">getting the poorest members of society to pay for their own </w:t>
      </w:r>
      <w:r w:rsidRPr="005C5E5A">
        <w:rPr>
          <w:rFonts w:asciiTheme="majorHAnsi" w:hAnsiTheme="majorHAnsi" w:cstheme="majorHAnsi"/>
          <w:sz w:val="28"/>
          <w:szCs w:val="28"/>
        </w:rPr>
        <w:t xml:space="preserve">education is highly inequitable. And thirdly, </w:t>
      </w:r>
      <w:r w:rsidR="008500D1" w:rsidRPr="005C5E5A">
        <w:rPr>
          <w:rFonts w:asciiTheme="majorHAnsi" w:hAnsiTheme="majorHAnsi" w:cstheme="majorHAnsi"/>
          <w:sz w:val="28"/>
          <w:szCs w:val="28"/>
        </w:rPr>
        <w:t xml:space="preserve">most of the poor cannot afford to send their children to ‘low-cost private schools’ and </w:t>
      </w:r>
      <w:r w:rsidR="005C1365" w:rsidRPr="005C5E5A">
        <w:rPr>
          <w:rFonts w:asciiTheme="majorHAnsi" w:hAnsiTheme="majorHAnsi" w:cstheme="majorHAnsi"/>
          <w:sz w:val="28"/>
          <w:szCs w:val="28"/>
        </w:rPr>
        <w:t>this will</w:t>
      </w:r>
      <w:r w:rsidR="008500D1" w:rsidRPr="005C5E5A">
        <w:rPr>
          <w:rFonts w:asciiTheme="majorHAnsi" w:hAnsiTheme="majorHAnsi" w:cstheme="majorHAnsi"/>
          <w:sz w:val="28"/>
          <w:szCs w:val="28"/>
        </w:rPr>
        <w:t>, therefore,</w:t>
      </w:r>
      <w:r w:rsidR="005C1365" w:rsidRPr="005C5E5A">
        <w:rPr>
          <w:rFonts w:asciiTheme="majorHAnsi" w:hAnsiTheme="majorHAnsi" w:cstheme="majorHAnsi"/>
          <w:sz w:val="28"/>
          <w:szCs w:val="28"/>
        </w:rPr>
        <w:t xml:space="preserve"> </w:t>
      </w:r>
      <w:r w:rsidR="008500D1" w:rsidRPr="005C5E5A">
        <w:rPr>
          <w:rFonts w:asciiTheme="majorHAnsi" w:hAnsiTheme="majorHAnsi" w:cstheme="majorHAnsi"/>
          <w:sz w:val="28"/>
          <w:szCs w:val="28"/>
        </w:rPr>
        <w:t xml:space="preserve">fundamentally </w:t>
      </w:r>
      <w:r w:rsidR="005C1365" w:rsidRPr="005C5E5A">
        <w:rPr>
          <w:rFonts w:asciiTheme="majorHAnsi" w:hAnsiTheme="majorHAnsi" w:cstheme="majorHAnsi"/>
          <w:sz w:val="28"/>
          <w:szCs w:val="28"/>
        </w:rPr>
        <w:t xml:space="preserve">constrain </w:t>
      </w:r>
      <w:r w:rsidR="008500D1" w:rsidRPr="005C5E5A">
        <w:rPr>
          <w:rFonts w:asciiTheme="majorHAnsi" w:hAnsiTheme="majorHAnsi" w:cstheme="majorHAnsi"/>
          <w:sz w:val="28"/>
          <w:szCs w:val="28"/>
        </w:rPr>
        <w:t>PSP</w:t>
      </w:r>
      <w:r w:rsidR="005C1365" w:rsidRPr="005C5E5A">
        <w:rPr>
          <w:rFonts w:asciiTheme="majorHAnsi" w:hAnsiTheme="majorHAnsi" w:cstheme="majorHAnsi"/>
          <w:sz w:val="28"/>
          <w:szCs w:val="28"/>
        </w:rPr>
        <w:t xml:space="preserve"> growth in the medium-longer term. In short, </w:t>
      </w:r>
      <w:r w:rsidR="00FE1A28" w:rsidRPr="005C5E5A">
        <w:rPr>
          <w:rFonts w:asciiTheme="majorHAnsi" w:hAnsiTheme="majorHAnsi" w:cstheme="majorHAnsi"/>
          <w:sz w:val="28"/>
          <w:szCs w:val="28"/>
        </w:rPr>
        <w:t>‘</w:t>
      </w:r>
      <w:r w:rsidR="005C1365" w:rsidRPr="005C5E5A">
        <w:rPr>
          <w:rFonts w:asciiTheme="majorHAnsi" w:hAnsiTheme="majorHAnsi" w:cstheme="majorHAnsi"/>
          <w:sz w:val="28"/>
          <w:szCs w:val="28"/>
        </w:rPr>
        <w:t>d</w:t>
      </w:r>
      <w:r w:rsidR="00FE1A28" w:rsidRPr="005C5E5A">
        <w:rPr>
          <w:rFonts w:asciiTheme="majorHAnsi" w:hAnsiTheme="majorHAnsi" w:cstheme="majorHAnsi"/>
          <w:sz w:val="28"/>
          <w:szCs w:val="28"/>
        </w:rPr>
        <w:t xml:space="preserve">epending on non-government providers to achieve Education for All or Millennium Development Goal targets is a flawed proposition’ (Lewin, </w:t>
      </w:r>
      <w:r w:rsidR="009D5CEF">
        <w:rPr>
          <w:rFonts w:asciiTheme="majorHAnsi" w:hAnsiTheme="majorHAnsi" w:cstheme="majorHAnsi"/>
          <w:sz w:val="28"/>
          <w:szCs w:val="28"/>
        </w:rPr>
        <w:t>2007:42</w:t>
      </w:r>
      <w:r w:rsidR="00FE1A28" w:rsidRPr="005C5E5A">
        <w:rPr>
          <w:rFonts w:asciiTheme="majorHAnsi" w:hAnsiTheme="majorHAnsi" w:cstheme="majorHAnsi"/>
          <w:sz w:val="28"/>
          <w:szCs w:val="28"/>
        </w:rPr>
        <w:t>).</w:t>
      </w:r>
    </w:p>
    <w:p w:rsidR="00FE1A28" w:rsidRPr="005C5E5A" w:rsidRDefault="00FE1A28" w:rsidP="00FE1A28">
      <w:pPr>
        <w:jc w:val="both"/>
        <w:rPr>
          <w:rFonts w:asciiTheme="majorHAnsi" w:hAnsiTheme="majorHAnsi" w:cstheme="majorHAnsi"/>
          <w:sz w:val="28"/>
          <w:szCs w:val="28"/>
        </w:rPr>
      </w:pPr>
      <w:r w:rsidRPr="005C5E5A">
        <w:rPr>
          <w:rFonts w:asciiTheme="majorHAnsi" w:hAnsiTheme="majorHAnsi" w:cstheme="majorHAnsi"/>
          <w:i/>
          <w:sz w:val="28"/>
          <w:szCs w:val="28"/>
        </w:rPr>
        <w:t>Not-for-profit schools</w:t>
      </w:r>
    </w:p>
    <w:p w:rsidR="00FE1A28" w:rsidRPr="005C5E5A" w:rsidRDefault="00FE1A28" w:rsidP="00FE1A28">
      <w:pPr>
        <w:jc w:val="both"/>
        <w:rPr>
          <w:rFonts w:asciiTheme="majorHAnsi" w:hAnsiTheme="majorHAnsi" w:cstheme="majorHAnsi"/>
          <w:sz w:val="28"/>
          <w:szCs w:val="28"/>
        </w:rPr>
      </w:pPr>
      <w:r w:rsidRPr="005C5E5A">
        <w:rPr>
          <w:rFonts w:asciiTheme="majorHAnsi" w:hAnsiTheme="majorHAnsi" w:cstheme="majorHAnsi"/>
          <w:sz w:val="28"/>
          <w:szCs w:val="28"/>
        </w:rPr>
        <w:t xml:space="preserve">The growing involvement of large, secular non-state, not-for-profit institutions (NGOs) in establishing and running primary and, to a lesser extent, secondary schools has been particularly </w:t>
      </w:r>
      <w:r w:rsidR="008500D1" w:rsidRPr="005C5E5A">
        <w:rPr>
          <w:rFonts w:asciiTheme="majorHAnsi" w:hAnsiTheme="majorHAnsi" w:cstheme="majorHAnsi"/>
          <w:sz w:val="28"/>
          <w:szCs w:val="28"/>
        </w:rPr>
        <w:t xml:space="preserve">noticeable </w:t>
      </w:r>
      <w:r w:rsidRPr="005C5E5A">
        <w:rPr>
          <w:rFonts w:asciiTheme="majorHAnsi" w:hAnsiTheme="majorHAnsi" w:cstheme="majorHAnsi"/>
          <w:sz w:val="28"/>
          <w:szCs w:val="28"/>
        </w:rPr>
        <w:t xml:space="preserve">in South Asia, and especially in Bangladesh where BRAC has established a large network of primary schools. By contrast, in SSA, the role of these types of national NGOs in direct schooling provision has been limited. What is significant though is the </w:t>
      </w:r>
      <w:r w:rsidR="0061336C" w:rsidRPr="005C5E5A">
        <w:rPr>
          <w:rFonts w:asciiTheme="majorHAnsi" w:hAnsiTheme="majorHAnsi" w:cstheme="majorHAnsi"/>
          <w:sz w:val="28"/>
          <w:szCs w:val="28"/>
        </w:rPr>
        <w:t xml:space="preserve">longstanding </w:t>
      </w:r>
      <w:r w:rsidR="008500D1" w:rsidRPr="005C5E5A">
        <w:rPr>
          <w:rFonts w:asciiTheme="majorHAnsi" w:hAnsiTheme="majorHAnsi" w:cstheme="majorHAnsi"/>
          <w:sz w:val="28"/>
          <w:szCs w:val="28"/>
        </w:rPr>
        <w:t xml:space="preserve">involvement </w:t>
      </w:r>
      <w:r w:rsidRPr="005C5E5A">
        <w:rPr>
          <w:rFonts w:asciiTheme="majorHAnsi" w:hAnsiTheme="majorHAnsi" w:cstheme="majorHAnsi"/>
          <w:sz w:val="28"/>
          <w:szCs w:val="28"/>
        </w:rPr>
        <w:t>of faith/religious-based organisations (FBOs) as well as local communities themselves as non-state</w:t>
      </w:r>
      <w:r w:rsidR="0061336C" w:rsidRPr="005C5E5A">
        <w:rPr>
          <w:rFonts w:asciiTheme="majorHAnsi" w:hAnsiTheme="majorHAnsi" w:cstheme="majorHAnsi"/>
          <w:sz w:val="28"/>
          <w:szCs w:val="28"/>
        </w:rPr>
        <w:t xml:space="preserve"> aided school providers in many </w:t>
      </w:r>
      <w:r w:rsidRPr="005C5E5A">
        <w:rPr>
          <w:rFonts w:asciiTheme="majorHAnsi" w:hAnsiTheme="majorHAnsi" w:cstheme="majorHAnsi"/>
          <w:sz w:val="28"/>
          <w:szCs w:val="28"/>
        </w:rPr>
        <w:t xml:space="preserve">countries in SSA. Historically, most schools during the colonial period were established by churches as part of their missionary efforts and were largely non-state aided. Since Independence, governments have either ‘nationalised’ church school systems or taken increasing responsibility for the funding of these schools. Nevertheless, in some countries, significant numbers of FBOs remain fully or partially unsupported and still own the physical infrastructure of the schools themselves. As such, most church authorities continue to </w:t>
      </w:r>
      <w:r w:rsidR="008500D1" w:rsidRPr="005C5E5A">
        <w:rPr>
          <w:rFonts w:asciiTheme="majorHAnsi" w:hAnsiTheme="majorHAnsi" w:cstheme="majorHAnsi"/>
          <w:sz w:val="28"/>
          <w:szCs w:val="28"/>
        </w:rPr>
        <w:t xml:space="preserve">insist that these remain ‘our </w:t>
      </w:r>
      <w:r w:rsidRPr="005C5E5A">
        <w:rPr>
          <w:rFonts w:asciiTheme="majorHAnsi" w:hAnsiTheme="majorHAnsi" w:cstheme="majorHAnsi"/>
          <w:sz w:val="28"/>
          <w:szCs w:val="28"/>
        </w:rPr>
        <w:t xml:space="preserve">schools’.    </w:t>
      </w:r>
    </w:p>
    <w:p w:rsidR="0061336C" w:rsidRPr="005C5E5A" w:rsidRDefault="00C14C7E" w:rsidP="00FE1A28">
      <w:pPr>
        <w:jc w:val="both"/>
        <w:rPr>
          <w:rFonts w:asciiTheme="majorHAnsi" w:hAnsiTheme="majorHAnsi" w:cstheme="majorHAnsi"/>
          <w:sz w:val="28"/>
          <w:szCs w:val="28"/>
        </w:rPr>
      </w:pPr>
      <w:r w:rsidRPr="005C5E5A">
        <w:rPr>
          <w:rFonts w:asciiTheme="majorHAnsi" w:hAnsiTheme="majorHAnsi" w:cstheme="majorHAnsi"/>
          <w:sz w:val="28"/>
          <w:szCs w:val="28"/>
        </w:rPr>
        <w:t>N</w:t>
      </w:r>
      <w:r w:rsidR="0061336C" w:rsidRPr="005C5E5A">
        <w:rPr>
          <w:rFonts w:asciiTheme="majorHAnsi" w:hAnsiTheme="majorHAnsi" w:cstheme="majorHAnsi"/>
          <w:sz w:val="28"/>
          <w:szCs w:val="28"/>
        </w:rPr>
        <w:t xml:space="preserve">ational networks of </w:t>
      </w:r>
      <w:r w:rsidR="00FE1A28" w:rsidRPr="005C5E5A">
        <w:rPr>
          <w:rFonts w:asciiTheme="majorHAnsi" w:hAnsiTheme="majorHAnsi" w:cstheme="majorHAnsi"/>
          <w:sz w:val="28"/>
          <w:szCs w:val="28"/>
        </w:rPr>
        <w:t xml:space="preserve">‘community schools’ have </w:t>
      </w:r>
      <w:r w:rsidRPr="005C5E5A">
        <w:rPr>
          <w:rFonts w:asciiTheme="majorHAnsi" w:hAnsiTheme="majorHAnsi" w:cstheme="majorHAnsi"/>
          <w:sz w:val="28"/>
          <w:szCs w:val="28"/>
        </w:rPr>
        <w:t xml:space="preserve">also </w:t>
      </w:r>
      <w:r w:rsidR="00FE1A28" w:rsidRPr="005C5E5A">
        <w:rPr>
          <w:rFonts w:asciiTheme="majorHAnsi" w:hAnsiTheme="majorHAnsi" w:cstheme="majorHAnsi"/>
          <w:sz w:val="28"/>
          <w:szCs w:val="28"/>
        </w:rPr>
        <w:t xml:space="preserve">been </w:t>
      </w:r>
      <w:r w:rsidR="0061336C" w:rsidRPr="005C5E5A">
        <w:rPr>
          <w:rFonts w:asciiTheme="majorHAnsi" w:hAnsiTheme="majorHAnsi" w:cstheme="majorHAnsi"/>
          <w:sz w:val="28"/>
          <w:szCs w:val="28"/>
        </w:rPr>
        <w:t xml:space="preserve">established </w:t>
      </w:r>
      <w:r w:rsidR="00FE1A28" w:rsidRPr="005C5E5A">
        <w:rPr>
          <w:rFonts w:asciiTheme="majorHAnsi" w:hAnsiTheme="majorHAnsi" w:cstheme="majorHAnsi"/>
          <w:sz w:val="28"/>
          <w:szCs w:val="28"/>
        </w:rPr>
        <w:t xml:space="preserve">where the state lacks the resources to establish government schools particularly in rural areas as well more widely in ‘fragile and conflict affected’ </w:t>
      </w:r>
      <w:r w:rsidRPr="005C5E5A">
        <w:rPr>
          <w:rFonts w:asciiTheme="majorHAnsi" w:hAnsiTheme="majorHAnsi" w:cstheme="majorHAnsi"/>
          <w:sz w:val="28"/>
          <w:szCs w:val="28"/>
        </w:rPr>
        <w:t xml:space="preserve">(FCAS) </w:t>
      </w:r>
      <w:r w:rsidR="00FE1A28" w:rsidRPr="005C5E5A">
        <w:rPr>
          <w:rFonts w:asciiTheme="majorHAnsi" w:hAnsiTheme="majorHAnsi" w:cstheme="majorHAnsi"/>
          <w:sz w:val="28"/>
          <w:szCs w:val="28"/>
        </w:rPr>
        <w:t>states. The expectation is that governments will eventually take over these schools once resources become available.</w:t>
      </w:r>
      <w:r w:rsidRPr="005C5E5A">
        <w:rPr>
          <w:rFonts w:asciiTheme="majorHAnsi" w:hAnsiTheme="majorHAnsi" w:cstheme="majorHAnsi"/>
          <w:sz w:val="28"/>
          <w:szCs w:val="28"/>
        </w:rPr>
        <w:t xml:space="preserve"> This has happened in countries such as Uganda but in many FCAS countries, non-state schooling provision remains widespread.</w:t>
      </w:r>
    </w:p>
    <w:p w:rsidR="0061336C" w:rsidRPr="005C5E5A" w:rsidRDefault="00A34524" w:rsidP="00FE1A28">
      <w:pPr>
        <w:jc w:val="both"/>
        <w:rPr>
          <w:rFonts w:asciiTheme="majorHAnsi" w:hAnsiTheme="majorHAnsi" w:cstheme="majorHAnsi"/>
          <w:sz w:val="28"/>
          <w:szCs w:val="28"/>
        </w:rPr>
      </w:pPr>
      <w:r w:rsidRPr="005C5E5A">
        <w:rPr>
          <w:rFonts w:asciiTheme="majorHAnsi" w:hAnsiTheme="majorHAnsi" w:cstheme="majorHAnsi"/>
          <w:sz w:val="28"/>
          <w:szCs w:val="28"/>
        </w:rPr>
        <w:t>It is also important to recognise that</w:t>
      </w:r>
      <w:r w:rsidR="00C14C7E" w:rsidRPr="005C5E5A">
        <w:rPr>
          <w:rFonts w:asciiTheme="majorHAnsi" w:hAnsiTheme="majorHAnsi" w:cstheme="majorHAnsi"/>
          <w:sz w:val="28"/>
          <w:szCs w:val="28"/>
        </w:rPr>
        <w:t>,</w:t>
      </w:r>
      <w:r w:rsidRPr="005C5E5A">
        <w:rPr>
          <w:rFonts w:asciiTheme="majorHAnsi" w:hAnsiTheme="majorHAnsi" w:cstheme="majorHAnsi"/>
          <w:sz w:val="28"/>
          <w:szCs w:val="28"/>
        </w:rPr>
        <w:t xml:space="preserve"> </w:t>
      </w:r>
      <w:r w:rsidR="0061336C" w:rsidRPr="005C5E5A">
        <w:rPr>
          <w:rFonts w:asciiTheme="majorHAnsi" w:hAnsiTheme="majorHAnsi" w:cstheme="majorHAnsi"/>
          <w:sz w:val="28"/>
          <w:szCs w:val="28"/>
        </w:rPr>
        <w:t>until the advent of UPE</w:t>
      </w:r>
      <w:r w:rsidRPr="005C5E5A">
        <w:rPr>
          <w:rFonts w:asciiTheme="majorHAnsi" w:hAnsiTheme="majorHAnsi" w:cstheme="majorHAnsi"/>
          <w:sz w:val="28"/>
          <w:szCs w:val="28"/>
        </w:rPr>
        <w:t xml:space="preserve"> in the mid-1990s</w:t>
      </w:r>
      <w:r w:rsidR="0061336C" w:rsidRPr="005C5E5A">
        <w:rPr>
          <w:rFonts w:asciiTheme="majorHAnsi" w:hAnsiTheme="majorHAnsi" w:cstheme="majorHAnsi"/>
          <w:sz w:val="28"/>
          <w:szCs w:val="28"/>
        </w:rPr>
        <w:t xml:space="preserve">, parents </w:t>
      </w:r>
      <w:r w:rsidRPr="005C5E5A">
        <w:rPr>
          <w:rFonts w:asciiTheme="majorHAnsi" w:hAnsiTheme="majorHAnsi" w:cstheme="majorHAnsi"/>
          <w:sz w:val="28"/>
          <w:szCs w:val="28"/>
        </w:rPr>
        <w:t xml:space="preserve">in most of </w:t>
      </w:r>
      <w:r w:rsidR="00C14C7E" w:rsidRPr="005C5E5A">
        <w:rPr>
          <w:rFonts w:asciiTheme="majorHAnsi" w:hAnsiTheme="majorHAnsi" w:cstheme="majorHAnsi"/>
          <w:sz w:val="28"/>
          <w:szCs w:val="28"/>
        </w:rPr>
        <w:t>SSA</w:t>
      </w:r>
      <w:r w:rsidRPr="005C5E5A">
        <w:rPr>
          <w:rFonts w:asciiTheme="majorHAnsi" w:hAnsiTheme="majorHAnsi" w:cstheme="majorHAnsi"/>
          <w:sz w:val="28"/>
          <w:szCs w:val="28"/>
        </w:rPr>
        <w:t xml:space="preserve"> </w:t>
      </w:r>
      <w:r w:rsidR="0061336C" w:rsidRPr="005C5E5A">
        <w:rPr>
          <w:rFonts w:asciiTheme="majorHAnsi" w:hAnsiTheme="majorHAnsi" w:cstheme="majorHAnsi"/>
          <w:sz w:val="28"/>
          <w:szCs w:val="28"/>
        </w:rPr>
        <w:t xml:space="preserve">were </w:t>
      </w:r>
      <w:r w:rsidRPr="005C5E5A">
        <w:rPr>
          <w:rFonts w:asciiTheme="majorHAnsi" w:hAnsiTheme="majorHAnsi" w:cstheme="majorHAnsi"/>
          <w:sz w:val="28"/>
          <w:szCs w:val="28"/>
        </w:rPr>
        <w:t xml:space="preserve">required </w:t>
      </w:r>
      <w:r w:rsidR="0061336C" w:rsidRPr="005C5E5A">
        <w:rPr>
          <w:rFonts w:asciiTheme="majorHAnsi" w:hAnsiTheme="majorHAnsi" w:cstheme="majorHAnsi"/>
          <w:sz w:val="28"/>
          <w:szCs w:val="28"/>
        </w:rPr>
        <w:t xml:space="preserve">to pay </w:t>
      </w:r>
      <w:r w:rsidRPr="005C5E5A">
        <w:rPr>
          <w:rFonts w:asciiTheme="majorHAnsi" w:hAnsiTheme="majorHAnsi" w:cstheme="majorHAnsi"/>
          <w:sz w:val="28"/>
          <w:szCs w:val="28"/>
        </w:rPr>
        <w:t xml:space="preserve">burdensome </w:t>
      </w:r>
      <w:r w:rsidR="0061336C" w:rsidRPr="005C5E5A">
        <w:rPr>
          <w:rFonts w:asciiTheme="majorHAnsi" w:hAnsiTheme="majorHAnsi" w:cstheme="majorHAnsi"/>
          <w:sz w:val="28"/>
          <w:szCs w:val="28"/>
        </w:rPr>
        <w:t xml:space="preserve">tuition fees for both </w:t>
      </w:r>
      <w:r w:rsidRPr="005C5E5A">
        <w:rPr>
          <w:rFonts w:asciiTheme="majorHAnsi" w:hAnsiTheme="majorHAnsi" w:cstheme="majorHAnsi"/>
          <w:sz w:val="28"/>
          <w:szCs w:val="28"/>
        </w:rPr>
        <w:t xml:space="preserve">the </w:t>
      </w:r>
      <w:r w:rsidR="0061336C" w:rsidRPr="005C5E5A">
        <w:rPr>
          <w:rFonts w:asciiTheme="majorHAnsi" w:hAnsiTheme="majorHAnsi" w:cstheme="majorHAnsi"/>
          <w:sz w:val="28"/>
          <w:szCs w:val="28"/>
        </w:rPr>
        <w:t xml:space="preserve">primary and secondary </w:t>
      </w:r>
      <w:r w:rsidRPr="005C5E5A">
        <w:rPr>
          <w:rFonts w:asciiTheme="majorHAnsi" w:hAnsiTheme="majorHAnsi" w:cstheme="majorHAnsi"/>
          <w:sz w:val="28"/>
          <w:szCs w:val="28"/>
        </w:rPr>
        <w:t>schooling of their children. Coupled with a high degree of schooling provision by FBOs and community schools of various kinds, national education systems remained highly privatised until well after Independence in most counties in SSA.</w:t>
      </w:r>
    </w:p>
    <w:p w:rsidR="00FE1A28" w:rsidRPr="005C5E5A" w:rsidRDefault="00FE1A28" w:rsidP="00FE1A28">
      <w:pPr>
        <w:jc w:val="both"/>
        <w:rPr>
          <w:rFonts w:asciiTheme="majorHAnsi" w:hAnsiTheme="majorHAnsi" w:cstheme="majorHAnsi"/>
          <w:i/>
          <w:sz w:val="28"/>
          <w:szCs w:val="28"/>
        </w:rPr>
      </w:pPr>
      <w:r w:rsidRPr="005C5E5A">
        <w:rPr>
          <w:rFonts w:asciiTheme="majorHAnsi" w:hAnsiTheme="majorHAnsi" w:cstheme="majorHAnsi"/>
          <w:i/>
          <w:sz w:val="28"/>
          <w:szCs w:val="28"/>
        </w:rPr>
        <w:t xml:space="preserve"> 2.2 Evidence shortcomings</w:t>
      </w:r>
    </w:p>
    <w:p w:rsidR="007555FE" w:rsidRPr="005C5E5A" w:rsidRDefault="00FE1A28" w:rsidP="007555FE">
      <w:pPr>
        <w:jc w:val="both"/>
        <w:rPr>
          <w:rFonts w:asciiTheme="majorHAnsi" w:hAnsiTheme="majorHAnsi" w:cstheme="majorHAnsi"/>
          <w:sz w:val="28"/>
          <w:szCs w:val="28"/>
        </w:rPr>
      </w:pPr>
      <w:r w:rsidRPr="005C5E5A">
        <w:rPr>
          <w:rFonts w:asciiTheme="majorHAnsi" w:hAnsiTheme="majorHAnsi" w:cstheme="majorHAnsi"/>
          <w:sz w:val="28"/>
          <w:szCs w:val="28"/>
        </w:rPr>
        <w:t xml:space="preserve">The main shortcomings of the evidence advanced by the proponents of PSP can be grouped into </w:t>
      </w:r>
      <w:r w:rsidR="000B4FEC" w:rsidRPr="005C5E5A">
        <w:rPr>
          <w:rFonts w:asciiTheme="majorHAnsi" w:hAnsiTheme="majorHAnsi" w:cstheme="majorHAnsi"/>
          <w:sz w:val="28"/>
          <w:szCs w:val="28"/>
        </w:rPr>
        <w:t xml:space="preserve">four </w:t>
      </w:r>
      <w:r w:rsidRPr="005C5E5A">
        <w:rPr>
          <w:rFonts w:asciiTheme="majorHAnsi" w:hAnsiTheme="majorHAnsi" w:cstheme="majorHAnsi"/>
          <w:sz w:val="28"/>
          <w:szCs w:val="28"/>
        </w:rPr>
        <w:t xml:space="preserve">broad areas. Firstly, </w:t>
      </w:r>
      <w:r w:rsidR="00A34524" w:rsidRPr="005C5E5A">
        <w:rPr>
          <w:rFonts w:asciiTheme="majorHAnsi" w:hAnsiTheme="majorHAnsi" w:cstheme="majorHAnsi"/>
          <w:sz w:val="28"/>
          <w:szCs w:val="28"/>
        </w:rPr>
        <w:t xml:space="preserve">as </w:t>
      </w:r>
      <w:r w:rsidR="007325E1" w:rsidRPr="005C5E5A">
        <w:rPr>
          <w:rFonts w:asciiTheme="majorHAnsi" w:hAnsiTheme="majorHAnsi" w:cstheme="majorHAnsi"/>
          <w:sz w:val="28"/>
          <w:szCs w:val="28"/>
        </w:rPr>
        <w:t>noted earlier,</w:t>
      </w:r>
      <w:r w:rsidR="00A34524" w:rsidRPr="005C5E5A">
        <w:rPr>
          <w:rFonts w:asciiTheme="majorHAnsi" w:hAnsiTheme="majorHAnsi" w:cstheme="majorHAnsi"/>
          <w:sz w:val="28"/>
          <w:szCs w:val="28"/>
        </w:rPr>
        <w:t xml:space="preserve"> there has been excessive reliance on a limited number of </w:t>
      </w:r>
      <w:r w:rsidR="004325A9" w:rsidRPr="005C5E5A">
        <w:rPr>
          <w:rFonts w:asciiTheme="majorHAnsi" w:hAnsiTheme="majorHAnsi" w:cstheme="majorHAnsi"/>
          <w:sz w:val="28"/>
          <w:szCs w:val="28"/>
        </w:rPr>
        <w:t xml:space="preserve">one-off </w:t>
      </w:r>
      <w:r w:rsidR="00A34524" w:rsidRPr="005C5E5A">
        <w:rPr>
          <w:rFonts w:asciiTheme="majorHAnsi" w:hAnsiTheme="majorHAnsi" w:cstheme="majorHAnsi"/>
          <w:sz w:val="28"/>
          <w:szCs w:val="28"/>
        </w:rPr>
        <w:t>surveys in mainly slum settlements in four Anglophone countries</w:t>
      </w:r>
      <w:r w:rsidR="007325E1" w:rsidRPr="005C5E5A">
        <w:rPr>
          <w:rStyle w:val="FootnoteReference"/>
          <w:rFonts w:asciiTheme="majorHAnsi" w:hAnsiTheme="majorHAnsi" w:cstheme="majorHAnsi"/>
          <w:sz w:val="28"/>
          <w:szCs w:val="28"/>
        </w:rPr>
        <w:footnoteReference w:id="4"/>
      </w:r>
      <w:r w:rsidR="00A34524" w:rsidRPr="005C5E5A">
        <w:rPr>
          <w:rFonts w:asciiTheme="majorHAnsi" w:hAnsiTheme="majorHAnsi" w:cstheme="majorHAnsi"/>
          <w:sz w:val="28"/>
          <w:szCs w:val="28"/>
        </w:rPr>
        <w:t>.</w:t>
      </w:r>
      <w:r w:rsidR="004325A9" w:rsidRPr="005C5E5A">
        <w:rPr>
          <w:rFonts w:asciiTheme="majorHAnsi" w:hAnsiTheme="majorHAnsi" w:cstheme="majorHAnsi"/>
          <w:sz w:val="28"/>
          <w:szCs w:val="28"/>
        </w:rPr>
        <w:t xml:space="preserve"> The great majority of the population who live in non-slum urban settlements and rural areas are not covered nor is there any comparable, longitudinal or time-series data which could be used to identify trends over time. Surprisingly, other relevant data has not been drawn </w:t>
      </w:r>
      <w:r w:rsidR="00916E6D">
        <w:rPr>
          <w:rFonts w:asciiTheme="majorHAnsi" w:hAnsiTheme="majorHAnsi" w:cstheme="majorHAnsi"/>
          <w:sz w:val="28"/>
          <w:szCs w:val="28"/>
        </w:rPr>
        <w:t xml:space="preserve">on </w:t>
      </w:r>
      <w:r w:rsidR="004325A9" w:rsidRPr="005C5E5A">
        <w:rPr>
          <w:rFonts w:asciiTheme="majorHAnsi" w:hAnsiTheme="majorHAnsi" w:cstheme="majorHAnsi"/>
          <w:sz w:val="28"/>
          <w:szCs w:val="28"/>
        </w:rPr>
        <w:t>to any significant degree especially national enrolment and examination results statistics and relevant data from household surveys of various kinds</w:t>
      </w:r>
      <w:r w:rsidR="004325A9" w:rsidRPr="005C5E5A">
        <w:rPr>
          <w:rStyle w:val="FootnoteReference"/>
          <w:rFonts w:asciiTheme="majorHAnsi" w:hAnsiTheme="majorHAnsi" w:cstheme="majorHAnsi"/>
          <w:sz w:val="28"/>
          <w:szCs w:val="28"/>
        </w:rPr>
        <w:footnoteReference w:id="5"/>
      </w:r>
      <w:r w:rsidR="004325A9" w:rsidRPr="005C5E5A">
        <w:rPr>
          <w:rFonts w:asciiTheme="majorHAnsi" w:hAnsiTheme="majorHAnsi" w:cstheme="majorHAnsi"/>
          <w:sz w:val="28"/>
          <w:szCs w:val="28"/>
        </w:rPr>
        <w:t>.</w:t>
      </w:r>
      <w:r w:rsidR="007555FE" w:rsidRPr="005C5E5A">
        <w:rPr>
          <w:rFonts w:asciiTheme="majorHAnsi" w:hAnsiTheme="majorHAnsi" w:cstheme="majorHAnsi"/>
          <w:sz w:val="28"/>
          <w:szCs w:val="28"/>
        </w:rPr>
        <w:t xml:space="preserve"> The limited survey evidence is itself becoming increasingly dated with only one major urban survey (in Kampala) having been undertaken during the last </w:t>
      </w:r>
      <w:r w:rsidR="00916E6D">
        <w:rPr>
          <w:rFonts w:asciiTheme="majorHAnsi" w:hAnsiTheme="majorHAnsi" w:cstheme="majorHAnsi"/>
          <w:sz w:val="28"/>
          <w:szCs w:val="28"/>
        </w:rPr>
        <w:t xml:space="preserve">five </w:t>
      </w:r>
      <w:r w:rsidR="007555FE" w:rsidRPr="005C5E5A">
        <w:rPr>
          <w:rFonts w:asciiTheme="majorHAnsi" w:hAnsiTheme="majorHAnsi" w:cstheme="majorHAnsi"/>
          <w:sz w:val="28"/>
          <w:szCs w:val="28"/>
        </w:rPr>
        <w:t>years</w:t>
      </w:r>
      <w:r w:rsidR="00916E6D">
        <w:rPr>
          <w:rFonts w:asciiTheme="majorHAnsi" w:hAnsiTheme="majorHAnsi" w:cstheme="majorHAnsi"/>
          <w:sz w:val="28"/>
          <w:szCs w:val="28"/>
        </w:rPr>
        <w:t xml:space="preserve"> (see Harma and Pikholz, 2017)</w:t>
      </w:r>
      <w:r w:rsidR="007555FE" w:rsidRPr="005C5E5A">
        <w:rPr>
          <w:rFonts w:asciiTheme="majorHAnsi" w:hAnsiTheme="majorHAnsi" w:cstheme="majorHAnsi"/>
          <w:sz w:val="28"/>
          <w:szCs w:val="28"/>
        </w:rPr>
        <w:t xml:space="preserve">. </w:t>
      </w:r>
      <w:r w:rsidR="00C14C7E" w:rsidRPr="005C5E5A">
        <w:rPr>
          <w:rFonts w:asciiTheme="majorHAnsi" w:hAnsiTheme="majorHAnsi" w:cstheme="majorHAnsi"/>
          <w:sz w:val="28"/>
          <w:szCs w:val="28"/>
        </w:rPr>
        <w:t xml:space="preserve">Moreover, it is </w:t>
      </w:r>
      <w:r w:rsidR="00916E6D">
        <w:rPr>
          <w:rFonts w:asciiTheme="majorHAnsi" w:hAnsiTheme="majorHAnsi" w:cstheme="majorHAnsi"/>
          <w:sz w:val="28"/>
          <w:szCs w:val="28"/>
        </w:rPr>
        <w:t xml:space="preserve">important note </w:t>
      </w:r>
      <w:r w:rsidR="00C14C7E" w:rsidRPr="005C5E5A">
        <w:rPr>
          <w:rFonts w:asciiTheme="majorHAnsi" w:hAnsiTheme="majorHAnsi" w:cstheme="majorHAnsi"/>
          <w:sz w:val="28"/>
          <w:szCs w:val="28"/>
        </w:rPr>
        <w:t xml:space="preserve">that the bulk of the research on PSP has been undertaken in South Asia. Only </w:t>
      </w:r>
      <w:r w:rsidR="00805182">
        <w:rPr>
          <w:rFonts w:asciiTheme="majorHAnsi" w:hAnsiTheme="majorHAnsi" w:cstheme="majorHAnsi"/>
          <w:sz w:val="28"/>
          <w:szCs w:val="28"/>
        </w:rPr>
        <w:t>12</w:t>
      </w:r>
      <w:r w:rsidR="00C14C7E" w:rsidRPr="005C5E5A">
        <w:rPr>
          <w:rFonts w:asciiTheme="majorHAnsi" w:hAnsiTheme="majorHAnsi" w:cstheme="majorHAnsi"/>
          <w:sz w:val="28"/>
          <w:szCs w:val="28"/>
        </w:rPr>
        <w:t xml:space="preserve"> out of a total of </w:t>
      </w:r>
      <w:r w:rsidR="00805182">
        <w:rPr>
          <w:rFonts w:asciiTheme="majorHAnsi" w:hAnsiTheme="majorHAnsi" w:cstheme="majorHAnsi"/>
          <w:sz w:val="28"/>
          <w:szCs w:val="28"/>
        </w:rPr>
        <w:t>over 90</w:t>
      </w:r>
      <w:r w:rsidR="00C14C7E" w:rsidRPr="005C5E5A">
        <w:rPr>
          <w:rFonts w:asciiTheme="majorHAnsi" w:hAnsiTheme="majorHAnsi" w:cstheme="majorHAnsi"/>
          <w:sz w:val="28"/>
          <w:szCs w:val="28"/>
        </w:rPr>
        <w:t xml:space="preserve"> references cited in the 2014 PSP </w:t>
      </w:r>
      <w:r w:rsidR="00805182">
        <w:rPr>
          <w:rFonts w:asciiTheme="majorHAnsi" w:hAnsiTheme="majorHAnsi" w:cstheme="majorHAnsi"/>
          <w:sz w:val="28"/>
          <w:szCs w:val="28"/>
        </w:rPr>
        <w:t xml:space="preserve">rigorous literature </w:t>
      </w:r>
      <w:r w:rsidR="00C14C7E" w:rsidRPr="005C5E5A">
        <w:rPr>
          <w:rFonts w:asciiTheme="majorHAnsi" w:hAnsiTheme="majorHAnsi" w:cstheme="majorHAnsi"/>
          <w:sz w:val="28"/>
          <w:szCs w:val="28"/>
        </w:rPr>
        <w:t>review directly relate to empirical studies in SSA.</w:t>
      </w:r>
      <w:r w:rsidR="00A36AC7">
        <w:rPr>
          <w:rFonts w:asciiTheme="majorHAnsi" w:hAnsiTheme="majorHAnsi" w:cstheme="majorHAnsi"/>
          <w:sz w:val="28"/>
          <w:szCs w:val="28"/>
        </w:rPr>
        <w:t xml:space="preserve"> Published research (in either English or French) is virtually non-existent in Francophone Africa which, as a country grouping, has the highest incidence of PSP in SSA</w:t>
      </w:r>
      <w:r w:rsidR="00A36AC7">
        <w:rPr>
          <w:rStyle w:val="FootnoteReference"/>
          <w:rFonts w:asciiTheme="majorHAnsi" w:hAnsiTheme="majorHAnsi" w:cstheme="majorHAnsi"/>
          <w:sz w:val="28"/>
          <w:szCs w:val="28"/>
        </w:rPr>
        <w:footnoteReference w:id="6"/>
      </w:r>
      <w:r w:rsidR="00A36AC7">
        <w:rPr>
          <w:rFonts w:asciiTheme="majorHAnsi" w:hAnsiTheme="majorHAnsi" w:cstheme="majorHAnsi"/>
          <w:sz w:val="28"/>
          <w:szCs w:val="28"/>
        </w:rPr>
        <w:t>.</w:t>
      </w:r>
    </w:p>
    <w:p w:rsidR="00A36AC7" w:rsidRDefault="004325A9" w:rsidP="00FE1A28">
      <w:pPr>
        <w:jc w:val="both"/>
        <w:rPr>
          <w:rFonts w:asciiTheme="majorHAnsi" w:hAnsiTheme="majorHAnsi" w:cstheme="majorHAnsi"/>
          <w:sz w:val="28"/>
          <w:szCs w:val="28"/>
        </w:rPr>
      </w:pPr>
      <w:r w:rsidRPr="005C5E5A">
        <w:rPr>
          <w:rFonts w:asciiTheme="majorHAnsi" w:hAnsiTheme="majorHAnsi" w:cstheme="majorHAnsi"/>
          <w:sz w:val="28"/>
          <w:szCs w:val="28"/>
        </w:rPr>
        <w:t xml:space="preserve">Secondly, </w:t>
      </w:r>
      <w:r w:rsidR="00FE1A28" w:rsidRPr="005C5E5A">
        <w:rPr>
          <w:rFonts w:asciiTheme="majorHAnsi" w:hAnsiTheme="majorHAnsi" w:cstheme="majorHAnsi"/>
          <w:sz w:val="28"/>
          <w:szCs w:val="28"/>
        </w:rPr>
        <w:t>the focus is mainly on for-profit rather than not-for-profit school</w:t>
      </w:r>
      <w:r w:rsidR="000B4FEC" w:rsidRPr="005C5E5A">
        <w:rPr>
          <w:rFonts w:asciiTheme="majorHAnsi" w:hAnsiTheme="majorHAnsi" w:cstheme="majorHAnsi"/>
          <w:sz w:val="28"/>
          <w:szCs w:val="28"/>
        </w:rPr>
        <w:t>ing</w:t>
      </w:r>
      <w:r w:rsidR="00C14C7E" w:rsidRPr="005C5E5A">
        <w:rPr>
          <w:rFonts w:asciiTheme="majorHAnsi" w:hAnsiTheme="majorHAnsi" w:cstheme="majorHAnsi"/>
          <w:sz w:val="28"/>
          <w:szCs w:val="28"/>
        </w:rPr>
        <w:t xml:space="preserve"> and </w:t>
      </w:r>
      <w:r w:rsidR="00FE1A28" w:rsidRPr="005C5E5A">
        <w:rPr>
          <w:rFonts w:asciiTheme="majorHAnsi" w:hAnsiTheme="majorHAnsi" w:cstheme="majorHAnsi"/>
          <w:sz w:val="28"/>
          <w:szCs w:val="28"/>
        </w:rPr>
        <w:t xml:space="preserve">on </w:t>
      </w:r>
      <w:r w:rsidR="00C14C7E" w:rsidRPr="005C5E5A">
        <w:rPr>
          <w:rFonts w:asciiTheme="majorHAnsi" w:hAnsiTheme="majorHAnsi" w:cstheme="majorHAnsi"/>
          <w:sz w:val="28"/>
          <w:szCs w:val="28"/>
        </w:rPr>
        <w:t xml:space="preserve">private </w:t>
      </w:r>
      <w:r w:rsidR="00FE1A28" w:rsidRPr="005C5E5A">
        <w:rPr>
          <w:rFonts w:asciiTheme="majorHAnsi" w:hAnsiTheme="majorHAnsi" w:cstheme="majorHAnsi"/>
          <w:sz w:val="28"/>
          <w:szCs w:val="28"/>
        </w:rPr>
        <w:t xml:space="preserve">primary rather than </w:t>
      </w:r>
      <w:r w:rsidR="00CF15E9" w:rsidRPr="005C5E5A">
        <w:rPr>
          <w:rFonts w:asciiTheme="majorHAnsi" w:hAnsiTheme="majorHAnsi" w:cstheme="majorHAnsi"/>
          <w:sz w:val="28"/>
          <w:szCs w:val="28"/>
        </w:rPr>
        <w:t xml:space="preserve">private </w:t>
      </w:r>
      <w:r w:rsidR="00FE1A28" w:rsidRPr="005C5E5A">
        <w:rPr>
          <w:rFonts w:asciiTheme="majorHAnsi" w:hAnsiTheme="majorHAnsi" w:cstheme="majorHAnsi"/>
          <w:sz w:val="28"/>
          <w:szCs w:val="28"/>
        </w:rPr>
        <w:t xml:space="preserve">secondary schools. </w:t>
      </w:r>
      <w:r w:rsidR="007555FE" w:rsidRPr="005C5E5A">
        <w:rPr>
          <w:rFonts w:asciiTheme="majorHAnsi" w:hAnsiTheme="majorHAnsi" w:cstheme="majorHAnsi"/>
          <w:sz w:val="28"/>
          <w:szCs w:val="28"/>
        </w:rPr>
        <w:t>Consequently, p</w:t>
      </w:r>
      <w:r w:rsidR="00FE1A28" w:rsidRPr="005C5E5A">
        <w:rPr>
          <w:rFonts w:asciiTheme="majorHAnsi" w:hAnsiTheme="majorHAnsi" w:cstheme="majorHAnsi"/>
          <w:sz w:val="28"/>
          <w:szCs w:val="28"/>
        </w:rPr>
        <w:t xml:space="preserve">rivate entrepreneurs </w:t>
      </w:r>
      <w:r w:rsidRPr="005C5E5A">
        <w:rPr>
          <w:rFonts w:asciiTheme="majorHAnsi" w:hAnsiTheme="majorHAnsi" w:cstheme="majorHAnsi"/>
          <w:sz w:val="28"/>
          <w:szCs w:val="28"/>
        </w:rPr>
        <w:t xml:space="preserve">are </w:t>
      </w:r>
      <w:r w:rsidR="00FE1A28" w:rsidRPr="005C5E5A">
        <w:rPr>
          <w:rFonts w:asciiTheme="majorHAnsi" w:hAnsiTheme="majorHAnsi" w:cstheme="majorHAnsi"/>
          <w:sz w:val="28"/>
          <w:szCs w:val="28"/>
        </w:rPr>
        <w:t>see</w:t>
      </w:r>
      <w:r w:rsidRPr="005C5E5A">
        <w:rPr>
          <w:rFonts w:asciiTheme="majorHAnsi" w:hAnsiTheme="majorHAnsi" w:cstheme="majorHAnsi"/>
          <w:sz w:val="28"/>
          <w:szCs w:val="28"/>
        </w:rPr>
        <w:t>n</w:t>
      </w:r>
      <w:r w:rsidR="007555FE" w:rsidRPr="005C5E5A">
        <w:rPr>
          <w:rFonts w:asciiTheme="majorHAnsi" w:hAnsiTheme="majorHAnsi" w:cstheme="majorHAnsi"/>
          <w:sz w:val="28"/>
          <w:szCs w:val="28"/>
        </w:rPr>
        <w:t xml:space="preserve"> (at least implicitly)</w:t>
      </w:r>
      <w:r w:rsidRPr="005C5E5A">
        <w:rPr>
          <w:rFonts w:asciiTheme="majorHAnsi" w:hAnsiTheme="majorHAnsi" w:cstheme="majorHAnsi"/>
          <w:sz w:val="28"/>
          <w:szCs w:val="28"/>
        </w:rPr>
        <w:t xml:space="preserve"> </w:t>
      </w:r>
      <w:r w:rsidR="00FE1A28" w:rsidRPr="005C5E5A">
        <w:rPr>
          <w:rFonts w:asciiTheme="majorHAnsi" w:hAnsiTheme="majorHAnsi" w:cstheme="majorHAnsi"/>
          <w:sz w:val="28"/>
          <w:szCs w:val="28"/>
        </w:rPr>
        <w:t xml:space="preserve">as </w:t>
      </w:r>
      <w:r w:rsidRPr="005C5E5A">
        <w:rPr>
          <w:rFonts w:asciiTheme="majorHAnsi" w:hAnsiTheme="majorHAnsi" w:cstheme="majorHAnsi"/>
          <w:sz w:val="28"/>
          <w:szCs w:val="28"/>
        </w:rPr>
        <w:t xml:space="preserve">the </w:t>
      </w:r>
      <w:r w:rsidR="00FE1A28" w:rsidRPr="005C5E5A">
        <w:rPr>
          <w:rFonts w:asciiTheme="majorHAnsi" w:hAnsiTheme="majorHAnsi" w:cstheme="majorHAnsi"/>
          <w:sz w:val="28"/>
          <w:szCs w:val="28"/>
        </w:rPr>
        <w:t xml:space="preserve">main drivers </w:t>
      </w:r>
      <w:r w:rsidRPr="005C5E5A">
        <w:rPr>
          <w:rFonts w:asciiTheme="majorHAnsi" w:hAnsiTheme="majorHAnsi" w:cstheme="majorHAnsi"/>
          <w:sz w:val="28"/>
          <w:szCs w:val="28"/>
        </w:rPr>
        <w:t>of non-state schooling provision when, as noted above, this is frequently not the case</w:t>
      </w:r>
      <w:r w:rsidR="007555FE" w:rsidRPr="005C5E5A">
        <w:rPr>
          <w:rFonts w:asciiTheme="majorHAnsi" w:hAnsiTheme="majorHAnsi" w:cstheme="majorHAnsi"/>
          <w:sz w:val="28"/>
          <w:szCs w:val="28"/>
        </w:rPr>
        <w:t xml:space="preserve"> and certainly not when viewed from a broader historical perspective.</w:t>
      </w:r>
      <w:r w:rsidR="000B4FEC" w:rsidRPr="005C5E5A">
        <w:rPr>
          <w:rFonts w:asciiTheme="majorHAnsi" w:hAnsiTheme="majorHAnsi" w:cstheme="majorHAnsi"/>
          <w:sz w:val="28"/>
          <w:szCs w:val="28"/>
        </w:rPr>
        <w:t xml:space="preserve"> </w:t>
      </w:r>
      <w:r w:rsidR="007325E1" w:rsidRPr="005C5E5A">
        <w:rPr>
          <w:rFonts w:asciiTheme="majorHAnsi" w:hAnsiTheme="majorHAnsi" w:cstheme="majorHAnsi"/>
          <w:sz w:val="28"/>
          <w:szCs w:val="28"/>
        </w:rPr>
        <w:t xml:space="preserve">By focusing mainly </w:t>
      </w:r>
      <w:r w:rsidR="00CF15E9" w:rsidRPr="005C5E5A">
        <w:rPr>
          <w:rFonts w:asciiTheme="majorHAnsi" w:hAnsiTheme="majorHAnsi" w:cstheme="majorHAnsi"/>
          <w:sz w:val="28"/>
          <w:szCs w:val="28"/>
        </w:rPr>
        <w:t xml:space="preserve">on </w:t>
      </w:r>
      <w:r w:rsidR="007325E1" w:rsidRPr="005C5E5A">
        <w:rPr>
          <w:rFonts w:asciiTheme="majorHAnsi" w:hAnsiTheme="majorHAnsi" w:cstheme="majorHAnsi"/>
          <w:sz w:val="28"/>
          <w:szCs w:val="28"/>
        </w:rPr>
        <w:t xml:space="preserve">private </w:t>
      </w:r>
      <w:r w:rsidR="000B4FEC" w:rsidRPr="005C5E5A">
        <w:rPr>
          <w:rFonts w:asciiTheme="majorHAnsi" w:hAnsiTheme="majorHAnsi" w:cstheme="majorHAnsi"/>
          <w:sz w:val="28"/>
          <w:szCs w:val="28"/>
        </w:rPr>
        <w:t xml:space="preserve">primary schools, the </w:t>
      </w:r>
      <w:r w:rsidR="007325E1" w:rsidRPr="005C5E5A">
        <w:rPr>
          <w:rFonts w:asciiTheme="majorHAnsi" w:hAnsiTheme="majorHAnsi" w:cstheme="majorHAnsi"/>
          <w:sz w:val="28"/>
          <w:szCs w:val="28"/>
        </w:rPr>
        <w:t xml:space="preserve">much greater </w:t>
      </w:r>
      <w:r w:rsidR="000B4FEC" w:rsidRPr="005C5E5A">
        <w:rPr>
          <w:rFonts w:asciiTheme="majorHAnsi" w:hAnsiTheme="majorHAnsi" w:cstheme="majorHAnsi"/>
          <w:sz w:val="28"/>
          <w:szCs w:val="28"/>
        </w:rPr>
        <w:t xml:space="preserve">challenge of providing accessible private secondary schooling </w:t>
      </w:r>
      <w:r w:rsidR="007325E1" w:rsidRPr="005C5E5A">
        <w:rPr>
          <w:rFonts w:asciiTheme="majorHAnsi" w:hAnsiTheme="majorHAnsi" w:cstheme="majorHAnsi"/>
          <w:sz w:val="28"/>
          <w:szCs w:val="28"/>
        </w:rPr>
        <w:t xml:space="preserve">is </w:t>
      </w:r>
      <w:r w:rsidR="000B4FEC" w:rsidRPr="005C5E5A">
        <w:rPr>
          <w:rFonts w:asciiTheme="majorHAnsi" w:hAnsiTheme="majorHAnsi" w:cstheme="majorHAnsi"/>
          <w:sz w:val="28"/>
          <w:szCs w:val="28"/>
        </w:rPr>
        <w:t xml:space="preserve">not adequately addressed. </w:t>
      </w:r>
      <w:r w:rsidRPr="005C5E5A">
        <w:rPr>
          <w:rFonts w:asciiTheme="majorHAnsi" w:hAnsiTheme="majorHAnsi" w:cstheme="majorHAnsi"/>
          <w:sz w:val="28"/>
          <w:szCs w:val="28"/>
        </w:rPr>
        <w:t xml:space="preserve"> </w:t>
      </w:r>
    </w:p>
    <w:p w:rsidR="00FE1A28" w:rsidRPr="005C5E5A" w:rsidRDefault="007555FE" w:rsidP="00FE1A28">
      <w:pPr>
        <w:jc w:val="both"/>
        <w:rPr>
          <w:rFonts w:asciiTheme="majorHAnsi" w:hAnsiTheme="majorHAnsi" w:cstheme="majorHAnsi"/>
          <w:sz w:val="28"/>
          <w:szCs w:val="28"/>
        </w:rPr>
      </w:pPr>
      <w:r w:rsidRPr="005C5E5A">
        <w:rPr>
          <w:rFonts w:asciiTheme="majorHAnsi" w:hAnsiTheme="majorHAnsi" w:cstheme="majorHAnsi"/>
          <w:sz w:val="28"/>
          <w:szCs w:val="28"/>
        </w:rPr>
        <w:t>Thirdly</w:t>
      </w:r>
      <w:r w:rsidR="00FE1A28" w:rsidRPr="005C5E5A">
        <w:rPr>
          <w:rFonts w:asciiTheme="majorHAnsi" w:hAnsiTheme="majorHAnsi" w:cstheme="majorHAnsi"/>
          <w:sz w:val="28"/>
          <w:szCs w:val="28"/>
        </w:rPr>
        <w:t>, the conceptual/theoretical framework is not sufficiently developed to be able to account for the complexities of the functioning of school markets in markedly different contexts. The dominant explanation is that PSP has grown rapidly because parents have ‘abandoned’ or ‘shunned’ government schools in favour of low-cost private schools which generally achieve better learning outcom</w:t>
      </w:r>
      <w:r w:rsidRPr="005C5E5A">
        <w:rPr>
          <w:rFonts w:asciiTheme="majorHAnsi" w:hAnsiTheme="majorHAnsi" w:cstheme="majorHAnsi"/>
          <w:sz w:val="28"/>
          <w:szCs w:val="28"/>
        </w:rPr>
        <w:t xml:space="preserve">es and </w:t>
      </w:r>
      <w:r w:rsidR="00FE1A28" w:rsidRPr="005C5E5A">
        <w:rPr>
          <w:rFonts w:asciiTheme="majorHAnsi" w:hAnsiTheme="majorHAnsi" w:cstheme="majorHAnsi"/>
          <w:sz w:val="28"/>
          <w:szCs w:val="28"/>
        </w:rPr>
        <w:t xml:space="preserve">examination results. In other words, school markets are </w:t>
      </w:r>
      <w:r w:rsidRPr="005C5E5A">
        <w:rPr>
          <w:rFonts w:asciiTheme="majorHAnsi" w:hAnsiTheme="majorHAnsi" w:cstheme="majorHAnsi"/>
          <w:sz w:val="28"/>
          <w:szCs w:val="28"/>
        </w:rPr>
        <w:t>vi</w:t>
      </w:r>
      <w:r w:rsidR="000B4FEC" w:rsidRPr="005C5E5A">
        <w:rPr>
          <w:rFonts w:asciiTheme="majorHAnsi" w:hAnsiTheme="majorHAnsi" w:cstheme="majorHAnsi"/>
          <w:sz w:val="28"/>
          <w:szCs w:val="28"/>
        </w:rPr>
        <w:t>e</w:t>
      </w:r>
      <w:r w:rsidRPr="005C5E5A">
        <w:rPr>
          <w:rFonts w:asciiTheme="majorHAnsi" w:hAnsiTheme="majorHAnsi" w:cstheme="majorHAnsi"/>
          <w:sz w:val="28"/>
          <w:szCs w:val="28"/>
        </w:rPr>
        <w:t xml:space="preserve">wed as being highly </w:t>
      </w:r>
      <w:r w:rsidR="00FE1A28" w:rsidRPr="005C5E5A">
        <w:rPr>
          <w:rFonts w:asciiTheme="majorHAnsi" w:hAnsiTheme="majorHAnsi" w:cstheme="majorHAnsi"/>
          <w:sz w:val="28"/>
          <w:szCs w:val="28"/>
        </w:rPr>
        <w:t xml:space="preserve">competitive with parents choosing to substitute public schooling for PSP. However, as will be discussed in more detail below, this type of market situation is, in fact, </w:t>
      </w:r>
      <w:r w:rsidR="00C56EFB">
        <w:rPr>
          <w:rFonts w:asciiTheme="majorHAnsi" w:hAnsiTheme="majorHAnsi" w:cstheme="majorHAnsi"/>
          <w:sz w:val="28"/>
          <w:szCs w:val="28"/>
        </w:rPr>
        <w:t xml:space="preserve">is far from being the norm </w:t>
      </w:r>
      <w:r w:rsidR="00FE1A28" w:rsidRPr="005C5E5A">
        <w:rPr>
          <w:rFonts w:asciiTheme="majorHAnsi" w:hAnsiTheme="majorHAnsi" w:cstheme="majorHAnsi"/>
          <w:sz w:val="28"/>
          <w:szCs w:val="28"/>
        </w:rPr>
        <w:t xml:space="preserve">in much of SSA. </w:t>
      </w:r>
    </w:p>
    <w:p w:rsidR="000B4FEC" w:rsidRPr="005C5E5A" w:rsidRDefault="00FE1A28" w:rsidP="00FE1A28">
      <w:pPr>
        <w:jc w:val="both"/>
        <w:rPr>
          <w:rFonts w:asciiTheme="majorHAnsi" w:hAnsiTheme="majorHAnsi" w:cstheme="majorHAnsi"/>
          <w:sz w:val="28"/>
          <w:szCs w:val="28"/>
        </w:rPr>
      </w:pPr>
      <w:r w:rsidRPr="005C5E5A">
        <w:rPr>
          <w:rFonts w:asciiTheme="majorHAnsi" w:hAnsiTheme="majorHAnsi" w:cstheme="majorHAnsi"/>
          <w:sz w:val="28"/>
          <w:szCs w:val="28"/>
        </w:rPr>
        <w:t xml:space="preserve">More generally, </w:t>
      </w:r>
      <w:r w:rsidR="00CF15E9" w:rsidRPr="005C5E5A">
        <w:rPr>
          <w:rFonts w:asciiTheme="majorHAnsi" w:hAnsiTheme="majorHAnsi" w:cstheme="majorHAnsi"/>
          <w:sz w:val="28"/>
          <w:szCs w:val="28"/>
        </w:rPr>
        <w:t xml:space="preserve">the analysis of </w:t>
      </w:r>
      <w:r w:rsidRPr="005C5E5A">
        <w:rPr>
          <w:rFonts w:asciiTheme="majorHAnsi" w:hAnsiTheme="majorHAnsi" w:cstheme="majorHAnsi"/>
          <w:sz w:val="28"/>
          <w:szCs w:val="28"/>
        </w:rPr>
        <w:t xml:space="preserve">PSP in not </w:t>
      </w:r>
      <w:r w:rsidR="007555FE" w:rsidRPr="005C5E5A">
        <w:rPr>
          <w:rFonts w:asciiTheme="majorHAnsi" w:hAnsiTheme="majorHAnsi" w:cstheme="majorHAnsi"/>
          <w:sz w:val="28"/>
          <w:szCs w:val="28"/>
        </w:rPr>
        <w:t xml:space="preserve">situated </w:t>
      </w:r>
      <w:r w:rsidR="00CF15E9" w:rsidRPr="005C5E5A">
        <w:rPr>
          <w:rFonts w:asciiTheme="majorHAnsi" w:hAnsiTheme="majorHAnsi" w:cstheme="majorHAnsi"/>
          <w:sz w:val="28"/>
          <w:szCs w:val="28"/>
        </w:rPr>
        <w:t>i</w:t>
      </w:r>
      <w:r w:rsidRPr="005C5E5A">
        <w:rPr>
          <w:rFonts w:asciiTheme="majorHAnsi" w:hAnsiTheme="majorHAnsi" w:cstheme="majorHAnsi"/>
          <w:sz w:val="28"/>
          <w:szCs w:val="28"/>
        </w:rPr>
        <w:t>n the wider context of educational privatisation. This includes the often large-scale and</w:t>
      </w:r>
      <w:r w:rsidR="006117F7">
        <w:rPr>
          <w:rFonts w:asciiTheme="majorHAnsi" w:hAnsiTheme="majorHAnsi" w:cstheme="majorHAnsi"/>
          <w:sz w:val="28"/>
          <w:szCs w:val="28"/>
        </w:rPr>
        <w:t xml:space="preserve">, in some </w:t>
      </w:r>
      <w:r w:rsidRPr="005C5E5A">
        <w:rPr>
          <w:rFonts w:asciiTheme="majorHAnsi" w:hAnsiTheme="majorHAnsi" w:cstheme="majorHAnsi"/>
          <w:sz w:val="28"/>
          <w:szCs w:val="28"/>
        </w:rPr>
        <w:t xml:space="preserve"> </w:t>
      </w:r>
      <w:r w:rsidR="006117F7">
        <w:rPr>
          <w:rFonts w:asciiTheme="majorHAnsi" w:hAnsiTheme="majorHAnsi" w:cstheme="majorHAnsi"/>
          <w:sz w:val="28"/>
          <w:szCs w:val="28"/>
        </w:rPr>
        <w:t xml:space="preserve">countries, </w:t>
      </w:r>
      <w:r w:rsidRPr="005C5E5A">
        <w:rPr>
          <w:rFonts w:asciiTheme="majorHAnsi" w:hAnsiTheme="majorHAnsi" w:cstheme="majorHAnsi"/>
          <w:sz w:val="28"/>
          <w:szCs w:val="28"/>
        </w:rPr>
        <w:t xml:space="preserve">growing prevalence of private tutoring among primary and secondary students, increased financial ‘cost-sharing’ especially in secondary schools and ‘cost-recovery’ in higher education institutions, </w:t>
      </w:r>
      <w:r w:rsidR="007555FE" w:rsidRPr="005C5E5A">
        <w:rPr>
          <w:rFonts w:asciiTheme="majorHAnsi" w:hAnsiTheme="majorHAnsi" w:cstheme="majorHAnsi"/>
          <w:sz w:val="28"/>
          <w:szCs w:val="28"/>
        </w:rPr>
        <w:t xml:space="preserve">and </w:t>
      </w:r>
      <w:r w:rsidRPr="005C5E5A">
        <w:rPr>
          <w:rFonts w:asciiTheme="majorHAnsi" w:hAnsiTheme="majorHAnsi" w:cstheme="majorHAnsi"/>
          <w:sz w:val="28"/>
          <w:szCs w:val="28"/>
        </w:rPr>
        <w:t xml:space="preserve">increasing reliance on casual ‘contract’ teachers including </w:t>
      </w:r>
      <w:r w:rsidR="006117F7">
        <w:rPr>
          <w:rFonts w:asciiTheme="majorHAnsi" w:hAnsiTheme="majorHAnsi" w:cstheme="majorHAnsi"/>
          <w:sz w:val="28"/>
          <w:szCs w:val="28"/>
        </w:rPr>
        <w:t>‘</w:t>
      </w:r>
      <w:r w:rsidRPr="005C5E5A">
        <w:rPr>
          <w:rFonts w:asciiTheme="majorHAnsi" w:hAnsiTheme="majorHAnsi" w:cstheme="majorHAnsi"/>
          <w:sz w:val="28"/>
          <w:szCs w:val="28"/>
        </w:rPr>
        <w:t>PTA teachers</w:t>
      </w:r>
      <w:r w:rsidR="006117F7">
        <w:rPr>
          <w:rFonts w:asciiTheme="majorHAnsi" w:hAnsiTheme="majorHAnsi" w:cstheme="majorHAnsi"/>
          <w:sz w:val="28"/>
          <w:szCs w:val="28"/>
        </w:rPr>
        <w:t>’</w:t>
      </w:r>
      <w:r w:rsidRPr="005C5E5A">
        <w:rPr>
          <w:rFonts w:asciiTheme="majorHAnsi" w:hAnsiTheme="majorHAnsi" w:cstheme="majorHAnsi"/>
          <w:sz w:val="28"/>
          <w:szCs w:val="28"/>
        </w:rPr>
        <w:t xml:space="preserve"> in primary and secondary schools who are not state funded. The inter-relationships between these difference types of educational privatisation have yet to be analysed in any detail. </w:t>
      </w:r>
      <w:r w:rsidR="00CF15E9" w:rsidRPr="005C5E5A">
        <w:rPr>
          <w:rFonts w:asciiTheme="majorHAnsi" w:hAnsiTheme="majorHAnsi" w:cstheme="majorHAnsi"/>
          <w:sz w:val="28"/>
          <w:szCs w:val="28"/>
        </w:rPr>
        <w:t xml:space="preserve">A particularly pertinent issue is </w:t>
      </w:r>
      <w:r w:rsidRPr="005C5E5A">
        <w:rPr>
          <w:rFonts w:asciiTheme="majorHAnsi" w:hAnsiTheme="majorHAnsi" w:cstheme="majorHAnsi"/>
          <w:sz w:val="28"/>
          <w:szCs w:val="28"/>
        </w:rPr>
        <w:t xml:space="preserve">to what extent PSP and private tutoring </w:t>
      </w:r>
      <w:r w:rsidR="006117F7">
        <w:rPr>
          <w:rFonts w:asciiTheme="majorHAnsi" w:hAnsiTheme="majorHAnsi" w:cstheme="majorHAnsi"/>
          <w:sz w:val="28"/>
          <w:szCs w:val="28"/>
        </w:rPr>
        <w:t xml:space="preserve">are </w:t>
      </w:r>
      <w:r w:rsidRPr="005C5E5A">
        <w:rPr>
          <w:rFonts w:asciiTheme="majorHAnsi" w:hAnsiTheme="majorHAnsi" w:cstheme="majorHAnsi"/>
          <w:sz w:val="28"/>
          <w:szCs w:val="28"/>
        </w:rPr>
        <w:t>competitive or complemen</w:t>
      </w:r>
      <w:r w:rsidR="00CF15E9" w:rsidRPr="005C5E5A">
        <w:rPr>
          <w:rFonts w:asciiTheme="majorHAnsi" w:hAnsiTheme="majorHAnsi" w:cstheme="majorHAnsi"/>
          <w:sz w:val="28"/>
          <w:szCs w:val="28"/>
        </w:rPr>
        <w:t>tary forms of private provision.</w:t>
      </w:r>
      <w:r w:rsidRPr="005C5E5A">
        <w:rPr>
          <w:rFonts w:asciiTheme="majorHAnsi" w:hAnsiTheme="majorHAnsi" w:cstheme="majorHAnsi"/>
          <w:sz w:val="28"/>
          <w:szCs w:val="28"/>
        </w:rPr>
        <w:t xml:space="preserve"> </w:t>
      </w:r>
      <w:r w:rsidR="007555FE" w:rsidRPr="005C5E5A">
        <w:rPr>
          <w:rStyle w:val="FootnoteReference"/>
          <w:rFonts w:asciiTheme="majorHAnsi" w:hAnsiTheme="majorHAnsi" w:cstheme="majorHAnsi"/>
          <w:sz w:val="28"/>
          <w:szCs w:val="28"/>
        </w:rPr>
        <w:footnoteReference w:id="7"/>
      </w:r>
    </w:p>
    <w:p w:rsidR="00FE1A28" w:rsidRPr="005C5E5A" w:rsidRDefault="000B4FEC" w:rsidP="00FE1A28">
      <w:pPr>
        <w:jc w:val="both"/>
        <w:rPr>
          <w:rFonts w:asciiTheme="majorHAnsi" w:hAnsiTheme="majorHAnsi" w:cstheme="majorHAnsi"/>
          <w:sz w:val="28"/>
          <w:szCs w:val="28"/>
        </w:rPr>
      </w:pPr>
      <w:r w:rsidRPr="005C5E5A">
        <w:rPr>
          <w:rFonts w:asciiTheme="majorHAnsi" w:hAnsiTheme="majorHAnsi" w:cstheme="majorHAnsi"/>
          <w:sz w:val="28"/>
          <w:szCs w:val="28"/>
        </w:rPr>
        <w:t xml:space="preserve">And fourthly, the analysis </w:t>
      </w:r>
      <w:r w:rsidR="000538B4" w:rsidRPr="005C5E5A">
        <w:rPr>
          <w:rFonts w:asciiTheme="majorHAnsi" w:hAnsiTheme="majorHAnsi" w:cstheme="majorHAnsi"/>
          <w:sz w:val="28"/>
          <w:szCs w:val="28"/>
        </w:rPr>
        <w:t xml:space="preserve">lacks historical </w:t>
      </w:r>
      <w:r w:rsidRPr="005C5E5A">
        <w:rPr>
          <w:rFonts w:asciiTheme="majorHAnsi" w:hAnsiTheme="majorHAnsi" w:cstheme="majorHAnsi"/>
          <w:sz w:val="28"/>
          <w:szCs w:val="28"/>
        </w:rPr>
        <w:t xml:space="preserve">context. </w:t>
      </w:r>
      <w:r w:rsidR="00FE1A28" w:rsidRPr="005C5E5A">
        <w:rPr>
          <w:rFonts w:asciiTheme="majorHAnsi" w:hAnsiTheme="majorHAnsi" w:cstheme="majorHAnsi"/>
          <w:sz w:val="28"/>
          <w:szCs w:val="28"/>
        </w:rPr>
        <w:t>Prior to UPE, government primary and secondary schools especially in urban areas were, in certain key respects, already operating in a similar manner to for-prof</w:t>
      </w:r>
      <w:r w:rsidR="000538B4" w:rsidRPr="005C5E5A">
        <w:rPr>
          <w:rFonts w:asciiTheme="majorHAnsi" w:hAnsiTheme="majorHAnsi" w:cstheme="majorHAnsi"/>
          <w:sz w:val="28"/>
          <w:szCs w:val="28"/>
        </w:rPr>
        <w:t xml:space="preserve">it private schools because </w:t>
      </w:r>
      <w:r w:rsidR="00FE1A28" w:rsidRPr="005C5E5A">
        <w:rPr>
          <w:rFonts w:asciiTheme="majorHAnsi" w:hAnsiTheme="majorHAnsi" w:cstheme="majorHAnsi"/>
          <w:sz w:val="28"/>
          <w:szCs w:val="28"/>
        </w:rPr>
        <w:t>school</w:t>
      </w:r>
      <w:r w:rsidR="000538B4" w:rsidRPr="005C5E5A">
        <w:rPr>
          <w:rFonts w:asciiTheme="majorHAnsi" w:hAnsiTheme="majorHAnsi" w:cstheme="majorHAnsi"/>
          <w:sz w:val="28"/>
          <w:szCs w:val="28"/>
        </w:rPr>
        <w:t>s</w:t>
      </w:r>
      <w:r w:rsidR="00FE1A28" w:rsidRPr="005C5E5A">
        <w:rPr>
          <w:rFonts w:asciiTheme="majorHAnsi" w:hAnsiTheme="majorHAnsi" w:cstheme="majorHAnsi"/>
          <w:sz w:val="28"/>
          <w:szCs w:val="28"/>
        </w:rPr>
        <w:t xml:space="preserve"> were </w:t>
      </w:r>
      <w:r w:rsidR="000538B4" w:rsidRPr="005C5E5A">
        <w:rPr>
          <w:rFonts w:asciiTheme="majorHAnsi" w:hAnsiTheme="majorHAnsi" w:cstheme="majorHAnsi"/>
          <w:sz w:val="28"/>
          <w:szCs w:val="28"/>
        </w:rPr>
        <w:t xml:space="preserve">permitted </w:t>
      </w:r>
      <w:r w:rsidR="00FE1A28" w:rsidRPr="005C5E5A">
        <w:rPr>
          <w:rFonts w:asciiTheme="majorHAnsi" w:hAnsiTheme="majorHAnsi" w:cstheme="majorHAnsi"/>
          <w:sz w:val="28"/>
          <w:szCs w:val="28"/>
        </w:rPr>
        <w:t>to compete</w:t>
      </w:r>
      <w:r w:rsidR="000538B4" w:rsidRPr="005C5E5A">
        <w:rPr>
          <w:rFonts w:asciiTheme="majorHAnsi" w:hAnsiTheme="majorHAnsi" w:cstheme="majorHAnsi"/>
          <w:sz w:val="28"/>
          <w:szCs w:val="28"/>
        </w:rPr>
        <w:t xml:space="preserve"> openly</w:t>
      </w:r>
      <w:r w:rsidR="00FE1A28" w:rsidRPr="005C5E5A">
        <w:rPr>
          <w:rFonts w:asciiTheme="majorHAnsi" w:hAnsiTheme="majorHAnsi" w:cstheme="majorHAnsi"/>
          <w:sz w:val="28"/>
          <w:szCs w:val="28"/>
        </w:rPr>
        <w:t xml:space="preserve"> with another for </w:t>
      </w:r>
      <w:r w:rsidR="000538B4" w:rsidRPr="005C5E5A">
        <w:rPr>
          <w:rFonts w:asciiTheme="majorHAnsi" w:hAnsiTheme="majorHAnsi" w:cstheme="majorHAnsi"/>
          <w:sz w:val="28"/>
          <w:szCs w:val="28"/>
        </w:rPr>
        <w:t>students</w:t>
      </w:r>
      <w:r w:rsidR="00FE1A28" w:rsidRPr="005C5E5A">
        <w:rPr>
          <w:rFonts w:asciiTheme="majorHAnsi" w:hAnsiTheme="majorHAnsi" w:cstheme="majorHAnsi"/>
          <w:sz w:val="28"/>
          <w:szCs w:val="28"/>
        </w:rPr>
        <w:t xml:space="preserve"> since parents were able to choose freely which school they wanted their child to attend</w:t>
      </w:r>
      <w:r w:rsidR="000538B4" w:rsidRPr="005C5E5A">
        <w:rPr>
          <w:rFonts w:asciiTheme="majorHAnsi" w:hAnsiTheme="majorHAnsi" w:cstheme="majorHAnsi"/>
          <w:sz w:val="28"/>
          <w:szCs w:val="28"/>
        </w:rPr>
        <w:t xml:space="preserve"> (i.e. there were no clearly demarcated school catchment areas)</w:t>
      </w:r>
      <w:r w:rsidR="00FE1A28" w:rsidRPr="005C5E5A">
        <w:rPr>
          <w:rFonts w:asciiTheme="majorHAnsi" w:hAnsiTheme="majorHAnsi" w:cstheme="majorHAnsi"/>
          <w:sz w:val="28"/>
          <w:szCs w:val="28"/>
        </w:rPr>
        <w:t xml:space="preserve"> and, school themselves had considerable latitude in deciding what level of tuition and other fees they wished to levy.</w:t>
      </w:r>
      <w:r w:rsidR="000538B4" w:rsidRPr="005C5E5A">
        <w:rPr>
          <w:rFonts w:asciiTheme="majorHAnsi" w:hAnsiTheme="majorHAnsi" w:cstheme="majorHAnsi"/>
          <w:sz w:val="28"/>
          <w:szCs w:val="28"/>
        </w:rPr>
        <w:t xml:space="preserve"> While not incentivised in the same way as a conventional </w:t>
      </w:r>
      <w:r w:rsidR="00CF15E9" w:rsidRPr="005C5E5A">
        <w:rPr>
          <w:rFonts w:asciiTheme="majorHAnsi" w:hAnsiTheme="majorHAnsi" w:cstheme="majorHAnsi"/>
          <w:sz w:val="28"/>
          <w:szCs w:val="28"/>
        </w:rPr>
        <w:t xml:space="preserve">for-profit </w:t>
      </w:r>
      <w:r w:rsidR="000538B4" w:rsidRPr="005C5E5A">
        <w:rPr>
          <w:rFonts w:asciiTheme="majorHAnsi" w:hAnsiTheme="majorHAnsi" w:cstheme="majorHAnsi"/>
          <w:sz w:val="28"/>
          <w:szCs w:val="28"/>
        </w:rPr>
        <w:t xml:space="preserve">private school proprietor, tuition fees </w:t>
      </w:r>
      <w:r w:rsidR="00CF15E9" w:rsidRPr="005C5E5A">
        <w:rPr>
          <w:rFonts w:asciiTheme="majorHAnsi" w:hAnsiTheme="majorHAnsi" w:cstheme="majorHAnsi"/>
          <w:sz w:val="28"/>
          <w:szCs w:val="28"/>
        </w:rPr>
        <w:t xml:space="preserve">were </w:t>
      </w:r>
      <w:r w:rsidR="000538B4" w:rsidRPr="005C5E5A">
        <w:rPr>
          <w:rFonts w:asciiTheme="majorHAnsi" w:hAnsiTheme="majorHAnsi" w:cstheme="majorHAnsi"/>
          <w:sz w:val="28"/>
          <w:szCs w:val="28"/>
        </w:rPr>
        <w:t>frequently used to improve the welfare of teachers through various forms of salary supplementation, improved housing etc.</w:t>
      </w:r>
      <w:r w:rsidR="00FE1A28" w:rsidRPr="005C5E5A">
        <w:rPr>
          <w:rFonts w:asciiTheme="majorHAnsi" w:hAnsiTheme="majorHAnsi" w:cstheme="majorHAnsi"/>
          <w:sz w:val="28"/>
          <w:szCs w:val="28"/>
        </w:rPr>
        <w:t xml:space="preserve">  </w:t>
      </w:r>
    </w:p>
    <w:p w:rsidR="00FE1A28" w:rsidRPr="005C5E5A" w:rsidRDefault="000B4FEC" w:rsidP="00FE1A28">
      <w:pPr>
        <w:jc w:val="both"/>
        <w:rPr>
          <w:rFonts w:asciiTheme="majorHAnsi" w:hAnsiTheme="majorHAnsi" w:cstheme="majorHAnsi"/>
          <w:sz w:val="28"/>
          <w:szCs w:val="28"/>
        </w:rPr>
      </w:pPr>
      <w:r w:rsidRPr="005C5E5A">
        <w:rPr>
          <w:rFonts w:asciiTheme="majorHAnsi" w:hAnsiTheme="majorHAnsi" w:cstheme="majorHAnsi"/>
          <w:sz w:val="28"/>
          <w:szCs w:val="28"/>
        </w:rPr>
        <w:t>Similarly, in the context of pervasive economic and political liberalisation</w:t>
      </w:r>
      <w:r w:rsidR="00CF15E9" w:rsidRPr="005C5E5A">
        <w:rPr>
          <w:rFonts w:asciiTheme="majorHAnsi" w:hAnsiTheme="majorHAnsi" w:cstheme="majorHAnsi"/>
          <w:sz w:val="28"/>
          <w:szCs w:val="28"/>
        </w:rPr>
        <w:t xml:space="preserve"> in SSA during the last two-three decades</w:t>
      </w:r>
      <w:r w:rsidRPr="005C5E5A">
        <w:rPr>
          <w:rFonts w:asciiTheme="majorHAnsi" w:hAnsiTheme="majorHAnsi" w:cstheme="majorHAnsi"/>
          <w:sz w:val="28"/>
          <w:szCs w:val="28"/>
        </w:rPr>
        <w:t>, there is little or no recognition of t</w:t>
      </w:r>
      <w:r w:rsidR="00FE1A28" w:rsidRPr="005C5E5A">
        <w:rPr>
          <w:rFonts w:asciiTheme="majorHAnsi" w:hAnsiTheme="majorHAnsi" w:cstheme="majorHAnsi"/>
          <w:sz w:val="28"/>
          <w:szCs w:val="28"/>
        </w:rPr>
        <w:t>he key role that PSP is playing in the consolidation of a reconstituted middle class in many countries. Private schooling enables members of this social class to educationally and economically distance themselves from intensifying competition from the rural and urban poor</w:t>
      </w:r>
      <w:r w:rsidR="006117F7">
        <w:rPr>
          <w:rFonts w:asciiTheme="majorHAnsi" w:hAnsiTheme="majorHAnsi" w:cstheme="majorHAnsi"/>
          <w:sz w:val="28"/>
          <w:szCs w:val="28"/>
        </w:rPr>
        <w:t xml:space="preserve"> (see below)</w:t>
      </w:r>
      <w:r w:rsidR="00FE1A28" w:rsidRPr="005C5E5A">
        <w:rPr>
          <w:rFonts w:asciiTheme="majorHAnsi" w:hAnsiTheme="majorHAnsi" w:cstheme="majorHAnsi"/>
          <w:sz w:val="28"/>
          <w:szCs w:val="28"/>
        </w:rPr>
        <w:t>.</w:t>
      </w:r>
    </w:p>
    <w:p w:rsidR="00FE1A28" w:rsidRPr="005C5E5A" w:rsidRDefault="00FE1A28" w:rsidP="00FE1A28">
      <w:pPr>
        <w:jc w:val="both"/>
        <w:rPr>
          <w:rFonts w:asciiTheme="majorHAnsi" w:hAnsiTheme="majorHAnsi" w:cstheme="majorHAnsi"/>
          <w:sz w:val="28"/>
          <w:szCs w:val="28"/>
        </w:rPr>
      </w:pPr>
      <w:r w:rsidRPr="005C5E5A">
        <w:rPr>
          <w:rFonts w:asciiTheme="majorHAnsi" w:hAnsiTheme="majorHAnsi" w:cstheme="majorHAnsi"/>
          <w:sz w:val="28"/>
          <w:szCs w:val="28"/>
        </w:rPr>
        <w:t xml:space="preserve">2.3 Typology of school markets  </w:t>
      </w:r>
    </w:p>
    <w:p w:rsidR="00FE1A28" w:rsidRPr="005C5E5A" w:rsidRDefault="00CF15E9" w:rsidP="00FE1A28">
      <w:pPr>
        <w:jc w:val="both"/>
        <w:rPr>
          <w:rFonts w:asciiTheme="majorHAnsi" w:hAnsiTheme="majorHAnsi" w:cstheme="majorHAnsi"/>
          <w:sz w:val="28"/>
          <w:szCs w:val="28"/>
        </w:rPr>
      </w:pPr>
      <w:r w:rsidRPr="005C5E5A">
        <w:rPr>
          <w:rFonts w:asciiTheme="majorHAnsi" w:hAnsiTheme="majorHAnsi" w:cstheme="majorHAnsi"/>
          <w:sz w:val="28"/>
          <w:szCs w:val="28"/>
        </w:rPr>
        <w:t xml:space="preserve">The </w:t>
      </w:r>
      <w:r w:rsidR="00FE1A28" w:rsidRPr="005C5E5A">
        <w:rPr>
          <w:rFonts w:asciiTheme="majorHAnsi" w:hAnsiTheme="majorHAnsi" w:cstheme="majorHAnsi"/>
          <w:sz w:val="28"/>
          <w:szCs w:val="28"/>
        </w:rPr>
        <w:t xml:space="preserve">analysis of PSP requires a </w:t>
      </w:r>
      <w:r w:rsidRPr="005C5E5A">
        <w:rPr>
          <w:rFonts w:asciiTheme="majorHAnsi" w:hAnsiTheme="majorHAnsi" w:cstheme="majorHAnsi"/>
          <w:sz w:val="28"/>
          <w:szCs w:val="28"/>
        </w:rPr>
        <w:t xml:space="preserve">sound </w:t>
      </w:r>
      <w:r w:rsidR="00FE1A28" w:rsidRPr="005C5E5A">
        <w:rPr>
          <w:rFonts w:asciiTheme="majorHAnsi" w:hAnsiTheme="majorHAnsi" w:cstheme="majorHAnsi"/>
          <w:sz w:val="28"/>
          <w:szCs w:val="28"/>
        </w:rPr>
        <w:t xml:space="preserve">conceptual framework which identifies the key characteristics of school markets both generally and in the specific contexts of developing countries. As with any market, </w:t>
      </w:r>
      <w:r w:rsidR="00A447BC" w:rsidRPr="005C5E5A">
        <w:rPr>
          <w:rFonts w:asciiTheme="majorHAnsi" w:hAnsiTheme="majorHAnsi" w:cstheme="majorHAnsi"/>
          <w:sz w:val="28"/>
          <w:szCs w:val="28"/>
        </w:rPr>
        <w:t xml:space="preserve">the </w:t>
      </w:r>
      <w:r w:rsidR="00FE1A28" w:rsidRPr="005C5E5A">
        <w:rPr>
          <w:rFonts w:asciiTheme="majorHAnsi" w:hAnsiTheme="majorHAnsi" w:cstheme="majorHAnsi"/>
          <w:sz w:val="28"/>
          <w:szCs w:val="28"/>
        </w:rPr>
        <w:t>price and availability</w:t>
      </w:r>
      <w:r w:rsidR="00A447BC" w:rsidRPr="005C5E5A">
        <w:rPr>
          <w:rFonts w:asciiTheme="majorHAnsi" w:hAnsiTheme="majorHAnsi" w:cstheme="majorHAnsi"/>
          <w:sz w:val="28"/>
          <w:szCs w:val="28"/>
        </w:rPr>
        <w:t xml:space="preserve"> of a specific product or service</w:t>
      </w:r>
      <w:r w:rsidR="00FE1A28" w:rsidRPr="005C5E5A">
        <w:rPr>
          <w:rFonts w:asciiTheme="majorHAnsi" w:hAnsiTheme="majorHAnsi" w:cstheme="majorHAnsi"/>
          <w:sz w:val="28"/>
          <w:szCs w:val="28"/>
        </w:rPr>
        <w:t xml:space="preserve"> is the combined, usually complex interplay of both demand and supply conditions. For the purposes of this analysis, three distinct types of school markets can be identified.   </w:t>
      </w:r>
    </w:p>
    <w:p w:rsidR="00FE1A28" w:rsidRPr="005C5E5A" w:rsidRDefault="00FE1A28" w:rsidP="00FE1A28">
      <w:pPr>
        <w:jc w:val="both"/>
        <w:rPr>
          <w:rFonts w:asciiTheme="majorHAnsi" w:hAnsiTheme="majorHAnsi" w:cstheme="majorHAnsi"/>
          <w:i/>
          <w:sz w:val="28"/>
          <w:szCs w:val="28"/>
        </w:rPr>
      </w:pPr>
      <w:r w:rsidRPr="005C5E5A">
        <w:rPr>
          <w:rFonts w:asciiTheme="majorHAnsi" w:hAnsiTheme="majorHAnsi" w:cstheme="majorHAnsi"/>
          <w:i/>
          <w:sz w:val="28"/>
          <w:szCs w:val="28"/>
        </w:rPr>
        <w:t xml:space="preserve">Open competition in saturated </w:t>
      </w:r>
      <w:r w:rsidR="005C7F49" w:rsidRPr="005C5E5A">
        <w:rPr>
          <w:rFonts w:asciiTheme="majorHAnsi" w:hAnsiTheme="majorHAnsi" w:cstheme="majorHAnsi"/>
          <w:i/>
          <w:sz w:val="28"/>
          <w:szCs w:val="28"/>
        </w:rPr>
        <w:t xml:space="preserve">school </w:t>
      </w:r>
      <w:r w:rsidRPr="005C5E5A">
        <w:rPr>
          <w:rFonts w:asciiTheme="majorHAnsi" w:hAnsiTheme="majorHAnsi" w:cstheme="majorHAnsi"/>
          <w:i/>
          <w:sz w:val="28"/>
          <w:szCs w:val="28"/>
        </w:rPr>
        <w:t>markets</w:t>
      </w:r>
    </w:p>
    <w:p w:rsidR="00FE1A28" w:rsidRPr="005C5E5A" w:rsidRDefault="005C7F49" w:rsidP="00FE1A28">
      <w:pPr>
        <w:jc w:val="both"/>
        <w:rPr>
          <w:rFonts w:asciiTheme="majorHAnsi" w:hAnsiTheme="majorHAnsi" w:cstheme="majorHAnsi"/>
          <w:sz w:val="28"/>
          <w:szCs w:val="28"/>
        </w:rPr>
      </w:pPr>
      <w:r w:rsidRPr="005C5E5A">
        <w:rPr>
          <w:rFonts w:asciiTheme="majorHAnsi" w:hAnsiTheme="majorHAnsi" w:cstheme="majorHAnsi"/>
          <w:sz w:val="28"/>
          <w:szCs w:val="28"/>
        </w:rPr>
        <w:t xml:space="preserve">In these </w:t>
      </w:r>
      <w:r w:rsidR="00EB4C2C" w:rsidRPr="005C5E5A">
        <w:rPr>
          <w:rFonts w:asciiTheme="majorHAnsi" w:hAnsiTheme="majorHAnsi" w:cstheme="majorHAnsi"/>
          <w:sz w:val="28"/>
          <w:szCs w:val="28"/>
        </w:rPr>
        <w:t xml:space="preserve">(typically urban) </w:t>
      </w:r>
      <w:r w:rsidRPr="005C5E5A">
        <w:rPr>
          <w:rFonts w:asciiTheme="majorHAnsi" w:hAnsiTheme="majorHAnsi" w:cstheme="majorHAnsi"/>
          <w:sz w:val="28"/>
          <w:szCs w:val="28"/>
        </w:rPr>
        <w:t>contexts, the</w:t>
      </w:r>
      <w:r w:rsidR="00A447BC" w:rsidRPr="005C5E5A">
        <w:rPr>
          <w:rFonts w:asciiTheme="majorHAnsi" w:hAnsiTheme="majorHAnsi" w:cstheme="majorHAnsi"/>
          <w:sz w:val="28"/>
          <w:szCs w:val="28"/>
        </w:rPr>
        <w:t xml:space="preserve"> (actual or potential) </w:t>
      </w:r>
      <w:r w:rsidRPr="005C5E5A">
        <w:rPr>
          <w:rFonts w:asciiTheme="majorHAnsi" w:hAnsiTheme="majorHAnsi" w:cstheme="majorHAnsi"/>
          <w:sz w:val="28"/>
          <w:szCs w:val="28"/>
        </w:rPr>
        <w:t xml:space="preserve">degree of </w:t>
      </w:r>
      <w:r w:rsidR="00FE1A28" w:rsidRPr="005C5E5A">
        <w:rPr>
          <w:rFonts w:asciiTheme="majorHAnsi" w:hAnsiTheme="majorHAnsi" w:cstheme="majorHAnsi"/>
          <w:sz w:val="28"/>
          <w:szCs w:val="28"/>
        </w:rPr>
        <w:t>substitution</w:t>
      </w:r>
      <w:r w:rsidRPr="005C5E5A">
        <w:rPr>
          <w:rFonts w:asciiTheme="majorHAnsi" w:hAnsiTheme="majorHAnsi" w:cstheme="majorHAnsi"/>
          <w:sz w:val="28"/>
          <w:szCs w:val="28"/>
        </w:rPr>
        <w:t xml:space="preserve"> between private and public schooling </w:t>
      </w:r>
      <w:r w:rsidR="00A447BC" w:rsidRPr="005C5E5A">
        <w:rPr>
          <w:rFonts w:asciiTheme="majorHAnsi" w:hAnsiTheme="majorHAnsi" w:cstheme="majorHAnsi"/>
          <w:sz w:val="28"/>
          <w:szCs w:val="28"/>
        </w:rPr>
        <w:t xml:space="preserve">is high </w:t>
      </w:r>
      <w:r w:rsidRPr="005C5E5A">
        <w:rPr>
          <w:rFonts w:asciiTheme="majorHAnsi" w:hAnsiTheme="majorHAnsi" w:cstheme="majorHAnsi"/>
          <w:sz w:val="28"/>
          <w:szCs w:val="28"/>
        </w:rPr>
        <w:t xml:space="preserve">with little </w:t>
      </w:r>
      <w:r w:rsidR="00FE1A28" w:rsidRPr="005C5E5A">
        <w:rPr>
          <w:rFonts w:asciiTheme="majorHAnsi" w:hAnsiTheme="majorHAnsi" w:cstheme="majorHAnsi"/>
          <w:sz w:val="28"/>
          <w:szCs w:val="28"/>
        </w:rPr>
        <w:t>complementarity</w:t>
      </w:r>
      <w:r w:rsidRPr="005C5E5A">
        <w:rPr>
          <w:rFonts w:asciiTheme="majorHAnsi" w:hAnsiTheme="majorHAnsi" w:cstheme="majorHAnsi"/>
          <w:sz w:val="28"/>
          <w:szCs w:val="28"/>
        </w:rPr>
        <w:t xml:space="preserve"> with regard to additional enrolments</w:t>
      </w:r>
      <w:r w:rsidR="00FE1A28" w:rsidRPr="005C5E5A">
        <w:rPr>
          <w:rFonts w:asciiTheme="majorHAnsi" w:hAnsiTheme="majorHAnsi" w:cstheme="majorHAnsi"/>
          <w:sz w:val="28"/>
          <w:szCs w:val="28"/>
        </w:rPr>
        <w:t xml:space="preserve">. This </w:t>
      </w:r>
      <w:r w:rsidRPr="005C5E5A">
        <w:rPr>
          <w:rFonts w:asciiTheme="majorHAnsi" w:hAnsiTheme="majorHAnsi" w:cstheme="majorHAnsi"/>
          <w:sz w:val="28"/>
          <w:szCs w:val="28"/>
        </w:rPr>
        <w:t xml:space="preserve">occurs </w:t>
      </w:r>
      <w:r w:rsidR="00FE1A28" w:rsidRPr="005C5E5A">
        <w:rPr>
          <w:rFonts w:asciiTheme="majorHAnsi" w:hAnsiTheme="majorHAnsi" w:cstheme="majorHAnsi"/>
          <w:sz w:val="28"/>
          <w:szCs w:val="28"/>
        </w:rPr>
        <w:t xml:space="preserve">when schooling markets are (or, are potentially) </w:t>
      </w:r>
      <w:r w:rsidRPr="005C5E5A">
        <w:rPr>
          <w:rFonts w:asciiTheme="majorHAnsi" w:hAnsiTheme="majorHAnsi" w:cstheme="majorHAnsi"/>
          <w:sz w:val="28"/>
          <w:szCs w:val="28"/>
        </w:rPr>
        <w:t xml:space="preserve">openly </w:t>
      </w:r>
      <w:r w:rsidR="00FE1A28" w:rsidRPr="005C5E5A">
        <w:rPr>
          <w:rFonts w:asciiTheme="majorHAnsi" w:hAnsiTheme="majorHAnsi" w:cstheme="majorHAnsi"/>
          <w:sz w:val="28"/>
          <w:szCs w:val="28"/>
        </w:rPr>
        <w:t xml:space="preserve">competitive </w:t>
      </w:r>
      <w:r w:rsidRPr="005C5E5A">
        <w:rPr>
          <w:rFonts w:asciiTheme="majorHAnsi" w:hAnsiTheme="majorHAnsi" w:cstheme="majorHAnsi"/>
          <w:sz w:val="28"/>
          <w:szCs w:val="28"/>
        </w:rPr>
        <w:t>(</w:t>
      </w:r>
      <w:r w:rsidR="00FE1A28" w:rsidRPr="005C5E5A">
        <w:rPr>
          <w:rFonts w:asciiTheme="majorHAnsi" w:hAnsiTheme="majorHAnsi" w:cstheme="majorHAnsi"/>
          <w:sz w:val="28"/>
          <w:szCs w:val="28"/>
        </w:rPr>
        <w:t xml:space="preserve">and </w:t>
      </w:r>
      <w:r w:rsidRPr="005C5E5A">
        <w:rPr>
          <w:rFonts w:asciiTheme="majorHAnsi" w:hAnsiTheme="majorHAnsi" w:cstheme="majorHAnsi"/>
          <w:sz w:val="28"/>
          <w:szCs w:val="28"/>
        </w:rPr>
        <w:t xml:space="preserve">thus </w:t>
      </w:r>
      <w:r w:rsidR="00FE1A28" w:rsidRPr="005C5E5A">
        <w:rPr>
          <w:rFonts w:asciiTheme="majorHAnsi" w:hAnsiTheme="majorHAnsi" w:cstheme="majorHAnsi"/>
          <w:sz w:val="28"/>
          <w:szCs w:val="28"/>
        </w:rPr>
        <w:t>spatial</w:t>
      </w:r>
      <w:r w:rsidRPr="005C5E5A">
        <w:rPr>
          <w:rFonts w:asciiTheme="majorHAnsi" w:hAnsiTheme="majorHAnsi" w:cstheme="majorHAnsi"/>
          <w:sz w:val="28"/>
          <w:szCs w:val="28"/>
        </w:rPr>
        <w:t xml:space="preserve">ly homogeneous and </w:t>
      </w:r>
      <w:r w:rsidR="00FE1A28" w:rsidRPr="005C5E5A">
        <w:rPr>
          <w:rFonts w:asciiTheme="majorHAnsi" w:hAnsiTheme="majorHAnsi" w:cstheme="majorHAnsi"/>
          <w:sz w:val="28"/>
          <w:szCs w:val="28"/>
        </w:rPr>
        <w:t>non-segmented</w:t>
      </w:r>
      <w:r w:rsidRPr="005C5E5A">
        <w:rPr>
          <w:rFonts w:asciiTheme="majorHAnsi" w:hAnsiTheme="majorHAnsi" w:cstheme="majorHAnsi"/>
          <w:sz w:val="28"/>
          <w:szCs w:val="28"/>
        </w:rPr>
        <w:t>)</w:t>
      </w:r>
      <w:r w:rsidR="00FE1A28" w:rsidRPr="005C5E5A">
        <w:rPr>
          <w:rFonts w:asciiTheme="majorHAnsi" w:hAnsiTheme="majorHAnsi" w:cstheme="majorHAnsi"/>
          <w:sz w:val="28"/>
          <w:szCs w:val="28"/>
        </w:rPr>
        <w:t xml:space="preserve"> and where all or most children in </w:t>
      </w:r>
      <w:r w:rsidR="00A447BC" w:rsidRPr="005C5E5A">
        <w:rPr>
          <w:rFonts w:asciiTheme="majorHAnsi" w:hAnsiTheme="majorHAnsi" w:cstheme="majorHAnsi"/>
          <w:sz w:val="28"/>
          <w:szCs w:val="28"/>
        </w:rPr>
        <w:t>a well-defined ge</w:t>
      </w:r>
      <w:r w:rsidR="00FE1A28" w:rsidRPr="005C5E5A">
        <w:rPr>
          <w:rFonts w:asciiTheme="majorHAnsi" w:hAnsiTheme="majorHAnsi" w:cstheme="majorHAnsi"/>
          <w:sz w:val="28"/>
          <w:szCs w:val="28"/>
        </w:rPr>
        <w:t xml:space="preserve">ographical area/locality attend (or could, if they wanted to), a government school. However, as a result of growing parental dissatisfaction with government schools (poor examination results, low learning outcomes, overcrowded classrooms, double shifting, mother tongue language policy (in primary schools), unprofessional teacher behaviour, high teacher absenteeism, strikes, other disruptions, excessive fees, poor student behaviour (bullying, sexual harassment etc.)), increasing numbers of parents </w:t>
      </w:r>
      <w:r w:rsidR="000538B4" w:rsidRPr="005C5E5A">
        <w:rPr>
          <w:rFonts w:asciiTheme="majorHAnsi" w:hAnsiTheme="majorHAnsi" w:cstheme="majorHAnsi"/>
          <w:sz w:val="28"/>
          <w:szCs w:val="28"/>
        </w:rPr>
        <w:t xml:space="preserve">choose </w:t>
      </w:r>
      <w:r w:rsidR="00FE1A28" w:rsidRPr="005C5E5A">
        <w:rPr>
          <w:rFonts w:asciiTheme="majorHAnsi" w:hAnsiTheme="majorHAnsi" w:cstheme="majorHAnsi"/>
          <w:sz w:val="28"/>
          <w:szCs w:val="28"/>
        </w:rPr>
        <w:t xml:space="preserve">to enrol their children in private schools </w:t>
      </w:r>
      <w:r w:rsidRPr="005C5E5A">
        <w:rPr>
          <w:rFonts w:asciiTheme="majorHAnsi" w:hAnsiTheme="majorHAnsi" w:cstheme="majorHAnsi"/>
          <w:sz w:val="28"/>
          <w:szCs w:val="28"/>
        </w:rPr>
        <w:t xml:space="preserve">which typically </w:t>
      </w:r>
      <w:r w:rsidR="00FE1A28" w:rsidRPr="005C5E5A">
        <w:rPr>
          <w:rFonts w:asciiTheme="majorHAnsi" w:hAnsiTheme="majorHAnsi" w:cstheme="majorHAnsi"/>
          <w:sz w:val="28"/>
          <w:szCs w:val="28"/>
        </w:rPr>
        <w:t>charg</w:t>
      </w:r>
      <w:r w:rsidRPr="005C5E5A">
        <w:rPr>
          <w:rFonts w:asciiTheme="majorHAnsi" w:hAnsiTheme="majorHAnsi" w:cstheme="majorHAnsi"/>
          <w:sz w:val="28"/>
          <w:szCs w:val="28"/>
        </w:rPr>
        <w:t>e</w:t>
      </w:r>
      <w:r w:rsidR="00FE1A28" w:rsidRPr="005C5E5A">
        <w:rPr>
          <w:rFonts w:asciiTheme="majorHAnsi" w:hAnsiTheme="majorHAnsi" w:cstheme="majorHAnsi"/>
          <w:sz w:val="28"/>
          <w:szCs w:val="28"/>
        </w:rPr>
        <w:t xml:space="preserve"> a range of fee levels. The key supply side factor is the availability of </w:t>
      </w:r>
      <w:r w:rsidRPr="005C5E5A">
        <w:rPr>
          <w:rFonts w:asciiTheme="majorHAnsi" w:hAnsiTheme="majorHAnsi" w:cstheme="majorHAnsi"/>
          <w:sz w:val="28"/>
          <w:szCs w:val="28"/>
        </w:rPr>
        <w:t xml:space="preserve">sufficient numbers of </w:t>
      </w:r>
      <w:r w:rsidR="00A447BC" w:rsidRPr="005C5E5A">
        <w:rPr>
          <w:rFonts w:asciiTheme="majorHAnsi" w:hAnsiTheme="majorHAnsi" w:cstheme="majorHAnsi"/>
          <w:sz w:val="28"/>
          <w:szCs w:val="28"/>
        </w:rPr>
        <w:t>entrepreneurs (</w:t>
      </w:r>
      <w:r w:rsidRPr="005C5E5A">
        <w:rPr>
          <w:rFonts w:asciiTheme="majorHAnsi" w:hAnsiTheme="majorHAnsi" w:cstheme="majorHAnsi"/>
          <w:sz w:val="28"/>
          <w:szCs w:val="28"/>
        </w:rPr>
        <w:t>edupreneurs</w:t>
      </w:r>
      <w:r w:rsidR="00A447BC" w:rsidRPr="005C5E5A">
        <w:rPr>
          <w:rFonts w:asciiTheme="majorHAnsi" w:hAnsiTheme="majorHAnsi" w:cstheme="majorHAnsi"/>
          <w:sz w:val="28"/>
          <w:szCs w:val="28"/>
        </w:rPr>
        <w:t>)</w:t>
      </w:r>
      <w:r w:rsidRPr="005C5E5A">
        <w:rPr>
          <w:rFonts w:asciiTheme="majorHAnsi" w:hAnsiTheme="majorHAnsi" w:cstheme="majorHAnsi"/>
          <w:sz w:val="28"/>
          <w:szCs w:val="28"/>
        </w:rPr>
        <w:t xml:space="preserve"> along with </w:t>
      </w:r>
      <w:r w:rsidR="00FE1A28" w:rsidRPr="005C5E5A">
        <w:rPr>
          <w:rFonts w:asciiTheme="majorHAnsi" w:hAnsiTheme="majorHAnsi" w:cstheme="majorHAnsi"/>
          <w:sz w:val="28"/>
          <w:szCs w:val="28"/>
        </w:rPr>
        <w:t>buildings that can be used for school premises and an adequate supply of adequately competent</w:t>
      </w:r>
      <w:r w:rsidR="00655EEA" w:rsidRPr="005C5E5A">
        <w:rPr>
          <w:rFonts w:asciiTheme="majorHAnsi" w:hAnsiTheme="majorHAnsi" w:cstheme="majorHAnsi"/>
          <w:sz w:val="28"/>
          <w:szCs w:val="28"/>
        </w:rPr>
        <w:t xml:space="preserve"> and motivated teachers</w:t>
      </w:r>
      <w:r w:rsidR="00FE1A28" w:rsidRPr="005C5E5A">
        <w:rPr>
          <w:rFonts w:asciiTheme="majorHAnsi" w:hAnsiTheme="majorHAnsi" w:cstheme="majorHAnsi"/>
          <w:sz w:val="28"/>
          <w:szCs w:val="28"/>
        </w:rPr>
        <w:t xml:space="preserve"> (usually unemployed</w:t>
      </w:r>
      <w:r w:rsidRPr="005C5E5A">
        <w:rPr>
          <w:rFonts w:asciiTheme="majorHAnsi" w:hAnsiTheme="majorHAnsi" w:cstheme="majorHAnsi"/>
          <w:sz w:val="28"/>
          <w:szCs w:val="28"/>
        </w:rPr>
        <w:t xml:space="preserve"> teacher graduates from teacher trainer colleges and universities </w:t>
      </w:r>
      <w:r w:rsidR="00655EEA" w:rsidRPr="005C5E5A">
        <w:rPr>
          <w:rFonts w:asciiTheme="majorHAnsi" w:hAnsiTheme="majorHAnsi" w:cstheme="majorHAnsi"/>
          <w:sz w:val="28"/>
          <w:szCs w:val="28"/>
        </w:rPr>
        <w:t>and/</w:t>
      </w:r>
      <w:r w:rsidRPr="005C5E5A">
        <w:rPr>
          <w:rFonts w:asciiTheme="majorHAnsi" w:hAnsiTheme="majorHAnsi" w:cstheme="majorHAnsi"/>
          <w:sz w:val="28"/>
          <w:szCs w:val="28"/>
        </w:rPr>
        <w:t>or moonlighting public school</w:t>
      </w:r>
      <w:r w:rsidR="00FE1A28" w:rsidRPr="005C5E5A">
        <w:rPr>
          <w:rFonts w:asciiTheme="majorHAnsi" w:hAnsiTheme="majorHAnsi" w:cstheme="majorHAnsi"/>
          <w:sz w:val="28"/>
          <w:szCs w:val="28"/>
        </w:rPr>
        <w:t xml:space="preserve"> teachers</w:t>
      </w:r>
      <w:r w:rsidRPr="005C5E5A">
        <w:rPr>
          <w:rFonts w:asciiTheme="majorHAnsi" w:hAnsiTheme="majorHAnsi" w:cstheme="majorHAnsi"/>
          <w:sz w:val="28"/>
          <w:szCs w:val="28"/>
        </w:rPr>
        <w:t>)</w:t>
      </w:r>
      <w:r w:rsidR="00FE1A28" w:rsidRPr="005C5E5A">
        <w:rPr>
          <w:rFonts w:asciiTheme="majorHAnsi" w:hAnsiTheme="majorHAnsi" w:cstheme="majorHAnsi"/>
          <w:sz w:val="28"/>
          <w:szCs w:val="28"/>
        </w:rPr>
        <w:t>. Where this switch to private schools is large enough, then the share</w:t>
      </w:r>
      <w:r w:rsidR="00655EEA" w:rsidRPr="005C5E5A">
        <w:rPr>
          <w:rFonts w:asciiTheme="majorHAnsi" w:hAnsiTheme="majorHAnsi" w:cstheme="majorHAnsi"/>
          <w:sz w:val="28"/>
          <w:szCs w:val="28"/>
        </w:rPr>
        <w:t>s</w:t>
      </w:r>
      <w:r w:rsidR="00FE1A28" w:rsidRPr="005C5E5A">
        <w:rPr>
          <w:rFonts w:asciiTheme="majorHAnsi" w:hAnsiTheme="majorHAnsi" w:cstheme="majorHAnsi"/>
          <w:sz w:val="28"/>
          <w:szCs w:val="28"/>
        </w:rPr>
        <w:t xml:space="preserve"> of private school enrolments in </w:t>
      </w:r>
      <w:r w:rsidR="00655EEA" w:rsidRPr="005C5E5A">
        <w:rPr>
          <w:rFonts w:asciiTheme="majorHAnsi" w:hAnsiTheme="majorHAnsi" w:cstheme="majorHAnsi"/>
          <w:sz w:val="28"/>
          <w:szCs w:val="28"/>
        </w:rPr>
        <w:t xml:space="preserve">specific </w:t>
      </w:r>
      <w:r w:rsidR="00FE1A28" w:rsidRPr="005C5E5A">
        <w:rPr>
          <w:rFonts w:asciiTheme="majorHAnsi" w:hAnsiTheme="majorHAnsi" w:cstheme="majorHAnsi"/>
          <w:sz w:val="28"/>
          <w:szCs w:val="28"/>
        </w:rPr>
        <w:t>localit</w:t>
      </w:r>
      <w:r w:rsidR="00655EEA" w:rsidRPr="005C5E5A">
        <w:rPr>
          <w:rFonts w:asciiTheme="majorHAnsi" w:hAnsiTheme="majorHAnsi" w:cstheme="majorHAnsi"/>
          <w:sz w:val="28"/>
          <w:szCs w:val="28"/>
        </w:rPr>
        <w:t>ies</w:t>
      </w:r>
      <w:r w:rsidR="00FE1A28" w:rsidRPr="005C5E5A">
        <w:rPr>
          <w:rFonts w:asciiTheme="majorHAnsi" w:hAnsiTheme="majorHAnsi" w:cstheme="majorHAnsi"/>
          <w:sz w:val="28"/>
          <w:szCs w:val="28"/>
        </w:rPr>
        <w:t xml:space="preserve"> increase and, if private school enrolments increase sufficiently, it is possible that enrolments in government schools can decline in absolute terms.  </w:t>
      </w:r>
    </w:p>
    <w:p w:rsidR="00FE1A28" w:rsidRPr="005C5E5A" w:rsidRDefault="00655EEA" w:rsidP="00FE1A28">
      <w:pPr>
        <w:jc w:val="both"/>
        <w:rPr>
          <w:rFonts w:asciiTheme="majorHAnsi" w:hAnsiTheme="majorHAnsi" w:cstheme="majorHAnsi"/>
          <w:i/>
          <w:sz w:val="28"/>
          <w:szCs w:val="28"/>
        </w:rPr>
      </w:pPr>
      <w:r w:rsidRPr="005C5E5A">
        <w:rPr>
          <w:rFonts w:asciiTheme="majorHAnsi" w:hAnsiTheme="majorHAnsi" w:cstheme="majorHAnsi"/>
          <w:i/>
          <w:sz w:val="28"/>
          <w:szCs w:val="28"/>
        </w:rPr>
        <w:t>Limited private-public competition in spatially s</w:t>
      </w:r>
      <w:r w:rsidR="00FE1A28" w:rsidRPr="005C5E5A">
        <w:rPr>
          <w:rFonts w:asciiTheme="majorHAnsi" w:hAnsiTheme="majorHAnsi" w:cstheme="majorHAnsi"/>
          <w:i/>
          <w:sz w:val="28"/>
          <w:szCs w:val="28"/>
        </w:rPr>
        <w:t>e</w:t>
      </w:r>
      <w:r w:rsidRPr="005C5E5A">
        <w:rPr>
          <w:rFonts w:asciiTheme="majorHAnsi" w:hAnsiTheme="majorHAnsi" w:cstheme="majorHAnsi"/>
          <w:i/>
          <w:sz w:val="28"/>
          <w:szCs w:val="28"/>
        </w:rPr>
        <w:t xml:space="preserve">gmented </w:t>
      </w:r>
      <w:r w:rsidR="00FE1A28" w:rsidRPr="005C5E5A">
        <w:rPr>
          <w:rFonts w:asciiTheme="majorHAnsi" w:hAnsiTheme="majorHAnsi" w:cstheme="majorHAnsi"/>
          <w:i/>
          <w:sz w:val="28"/>
          <w:szCs w:val="28"/>
        </w:rPr>
        <w:t>markets</w:t>
      </w:r>
    </w:p>
    <w:p w:rsidR="00FE1A28" w:rsidRPr="005C5E5A" w:rsidRDefault="00655EEA" w:rsidP="00FE1A28">
      <w:pPr>
        <w:jc w:val="both"/>
        <w:rPr>
          <w:rFonts w:asciiTheme="majorHAnsi" w:hAnsiTheme="majorHAnsi" w:cstheme="majorHAnsi"/>
          <w:sz w:val="28"/>
          <w:szCs w:val="28"/>
        </w:rPr>
      </w:pPr>
      <w:r w:rsidRPr="005C5E5A">
        <w:rPr>
          <w:rFonts w:asciiTheme="majorHAnsi" w:hAnsiTheme="majorHAnsi" w:cstheme="majorHAnsi"/>
          <w:sz w:val="28"/>
          <w:szCs w:val="28"/>
        </w:rPr>
        <w:t xml:space="preserve">These markets are characterised by low rates of </w:t>
      </w:r>
      <w:r w:rsidR="00EB4C2C" w:rsidRPr="005C5E5A">
        <w:rPr>
          <w:rFonts w:asciiTheme="majorHAnsi" w:hAnsiTheme="majorHAnsi" w:cstheme="majorHAnsi"/>
          <w:sz w:val="28"/>
          <w:szCs w:val="28"/>
        </w:rPr>
        <w:t xml:space="preserve">direct </w:t>
      </w:r>
      <w:r w:rsidRPr="005C5E5A">
        <w:rPr>
          <w:rFonts w:asciiTheme="majorHAnsi" w:hAnsiTheme="majorHAnsi" w:cstheme="majorHAnsi"/>
          <w:sz w:val="28"/>
          <w:szCs w:val="28"/>
        </w:rPr>
        <w:t xml:space="preserve">substitution between private and public schooling and a high degree </w:t>
      </w:r>
      <w:r w:rsidR="00A447BC" w:rsidRPr="005C5E5A">
        <w:rPr>
          <w:rFonts w:asciiTheme="majorHAnsi" w:hAnsiTheme="majorHAnsi" w:cstheme="majorHAnsi"/>
          <w:sz w:val="28"/>
          <w:szCs w:val="28"/>
        </w:rPr>
        <w:t xml:space="preserve">of </w:t>
      </w:r>
      <w:r w:rsidR="00FE1A28" w:rsidRPr="005C5E5A">
        <w:rPr>
          <w:rFonts w:asciiTheme="majorHAnsi" w:hAnsiTheme="majorHAnsi" w:cstheme="majorHAnsi"/>
          <w:sz w:val="28"/>
          <w:szCs w:val="28"/>
        </w:rPr>
        <w:t>complementarity</w:t>
      </w:r>
      <w:r w:rsidRPr="005C5E5A">
        <w:rPr>
          <w:rFonts w:asciiTheme="majorHAnsi" w:hAnsiTheme="majorHAnsi" w:cstheme="majorHAnsi"/>
          <w:sz w:val="28"/>
          <w:szCs w:val="28"/>
        </w:rPr>
        <w:t xml:space="preserve"> with regard to additional enrolments</w:t>
      </w:r>
      <w:r w:rsidR="00FE1A28" w:rsidRPr="005C5E5A">
        <w:rPr>
          <w:rFonts w:asciiTheme="majorHAnsi" w:hAnsiTheme="majorHAnsi" w:cstheme="majorHAnsi"/>
          <w:sz w:val="28"/>
          <w:szCs w:val="28"/>
        </w:rPr>
        <w:t xml:space="preserve">. </w:t>
      </w:r>
      <w:r w:rsidR="00A447BC" w:rsidRPr="005C5E5A">
        <w:rPr>
          <w:rFonts w:asciiTheme="majorHAnsi" w:hAnsiTheme="majorHAnsi" w:cstheme="majorHAnsi"/>
          <w:sz w:val="28"/>
          <w:szCs w:val="28"/>
        </w:rPr>
        <w:t>T</w:t>
      </w:r>
      <w:r w:rsidR="00FE1A28" w:rsidRPr="005C5E5A">
        <w:rPr>
          <w:rFonts w:asciiTheme="majorHAnsi" w:hAnsiTheme="majorHAnsi" w:cstheme="majorHAnsi"/>
          <w:sz w:val="28"/>
          <w:szCs w:val="28"/>
        </w:rPr>
        <w:t xml:space="preserve">hese </w:t>
      </w:r>
      <w:r w:rsidR="00A447BC" w:rsidRPr="005C5E5A">
        <w:rPr>
          <w:rFonts w:asciiTheme="majorHAnsi" w:hAnsiTheme="majorHAnsi" w:cstheme="majorHAnsi"/>
          <w:sz w:val="28"/>
          <w:szCs w:val="28"/>
        </w:rPr>
        <w:t xml:space="preserve">types of </w:t>
      </w:r>
      <w:r w:rsidR="00FE1A28" w:rsidRPr="005C5E5A">
        <w:rPr>
          <w:rFonts w:asciiTheme="majorHAnsi" w:hAnsiTheme="majorHAnsi" w:cstheme="majorHAnsi"/>
          <w:sz w:val="28"/>
          <w:szCs w:val="28"/>
        </w:rPr>
        <w:t>localities</w:t>
      </w:r>
      <w:r w:rsidR="00A447BC" w:rsidRPr="005C5E5A">
        <w:rPr>
          <w:rFonts w:asciiTheme="majorHAnsi" w:hAnsiTheme="majorHAnsi" w:cstheme="majorHAnsi"/>
          <w:sz w:val="28"/>
          <w:szCs w:val="28"/>
        </w:rPr>
        <w:t xml:space="preserve"> have </w:t>
      </w:r>
      <w:r w:rsidR="002029F3">
        <w:rPr>
          <w:rFonts w:asciiTheme="majorHAnsi" w:hAnsiTheme="majorHAnsi" w:cstheme="majorHAnsi"/>
          <w:sz w:val="28"/>
          <w:szCs w:val="28"/>
        </w:rPr>
        <w:t xml:space="preserve">relatively </w:t>
      </w:r>
      <w:r w:rsidR="00A447BC" w:rsidRPr="005C5E5A">
        <w:rPr>
          <w:rFonts w:asciiTheme="majorHAnsi" w:hAnsiTheme="majorHAnsi" w:cstheme="majorHAnsi"/>
          <w:sz w:val="28"/>
          <w:szCs w:val="28"/>
        </w:rPr>
        <w:t>few</w:t>
      </w:r>
      <w:r w:rsidR="002029F3">
        <w:rPr>
          <w:rFonts w:asciiTheme="majorHAnsi" w:hAnsiTheme="majorHAnsi" w:cstheme="majorHAnsi"/>
          <w:sz w:val="28"/>
          <w:szCs w:val="28"/>
        </w:rPr>
        <w:t>,</w:t>
      </w:r>
      <w:r w:rsidR="00A447BC" w:rsidRPr="005C5E5A">
        <w:rPr>
          <w:rFonts w:asciiTheme="majorHAnsi" w:hAnsiTheme="majorHAnsi" w:cstheme="majorHAnsi"/>
          <w:sz w:val="28"/>
          <w:szCs w:val="28"/>
        </w:rPr>
        <w:t xml:space="preserve"> if any</w:t>
      </w:r>
      <w:r w:rsidR="002029F3">
        <w:rPr>
          <w:rFonts w:asciiTheme="majorHAnsi" w:hAnsiTheme="majorHAnsi" w:cstheme="majorHAnsi"/>
          <w:sz w:val="28"/>
          <w:szCs w:val="28"/>
        </w:rPr>
        <w:t>,</w:t>
      </w:r>
      <w:r w:rsidR="00A447BC" w:rsidRPr="005C5E5A">
        <w:rPr>
          <w:rFonts w:asciiTheme="majorHAnsi" w:hAnsiTheme="majorHAnsi" w:cstheme="majorHAnsi"/>
          <w:sz w:val="28"/>
          <w:szCs w:val="28"/>
        </w:rPr>
        <w:t xml:space="preserve"> government schools</w:t>
      </w:r>
      <w:r w:rsidR="00A447BC" w:rsidRPr="005C5E5A">
        <w:rPr>
          <w:rStyle w:val="FootnoteReference"/>
          <w:rFonts w:asciiTheme="majorHAnsi" w:hAnsiTheme="majorHAnsi" w:cstheme="majorHAnsi"/>
          <w:sz w:val="28"/>
          <w:szCs w:val="28"/>
        </w:rPr>
        <w:footnoteReference w:id="8"/>
      </w:r>
      <w:r w:rsidR="00A447BC" w:rsidRPr="005C5E5A">
        <w:rPr>
          <w:rFonts w:asciiTheme="majorHAnsi" w:hAnsiTheme="majorHAnsi" w:cstheme="majorHAnsi"/>
          <w:sz w:val="28"/>
          <w:szCs w:val="28"/>
        </w:rPr>
        <w:t xml:space="preserve"> and where there are </w:t>
      </w:r>
      <w:r w:rsidR="00FE1A28" w:rsidRPr="005C5E5A">
        <w:rPr>
          <w:rFonts w:asciiTheme="majorHAnsi" w:hAnsiTheme="majorHAnsi" w:cstheme="majorHAnsi"/>
          <w:sz w:val="28"/>
          <w:szCs w:val="28"/>
        </w:rPr>
        <w:t xml:space="preserve">available </w:t>
      </w:r>
      <w:r w:rsidR="00A447BC" w:rsidRPr="005C5E5A">
        <w:rPr>
          <w:rFonts w:asciiTheme="majorHAnsi" w:hAnsiTheme="majorHAnsi" w:cstheme="majorHAnsi"/>
          <w:sz w:val="28"/>
          <w:szCs w:val="28"/>
        </w:rPr>
        <w:t xml:space="preserve">schools </w:t>
      </w:r>
      <w:r w:rsidR="00FE1A28" w:rsidRPr="005C5E5A">
        <w:rPr>
          <w:rFonts w:asciiTheme="majorHAnsi" w:hAnsiTheme="majorHAnsi" w:cstheme="majorHAnsi"/>
          <w:sz w:val="28"/>
          <w:szCs w:val="28"/>
        </w:rPr>
        <w:t>places</w:t>
      </w:r>
      <w:r w:rsidR="002029F3">
        <w:rPr>
          <w:rFonts w:asciiTheme="majorHAnsi" w:hAnsiTheme="majorHAnsi" w:cstheme="majorHAnsi"/>
          <w:sz w:val="28"/>
          <w:szCs w:val="28"/>
        </w:rPr>
        <w:t xml:space="preserve"> elsewhere</w:t>
      </w:r>
      <w:r w:rsidR="00FE1A28" w:rsidRPr="005C5E5A">
        <w:rPr>
          <w:rFonts w:asciiTheme="majorHAnsi" w:hAnsiTheme="majorHAnsi" w:cstheme="majorHAnsi"/>
          <w:sz w:val="28"/>
          <w:szCs w:val="28"/>
        </w:rPr>
        <w:t xml:space="preserve">, these are at schools which are too far away for children to commute daily (due to </w:t>
      </w:r>
      <w:r w:rsidR="00A447BC" w:rsidRPr="005C5E5A">
        <w:rPr>
          <w:rFonts w:asciiTheme="majorHAnsi" w:hAnsiTheme="majorHAnsi" w:cstheme="majorHAnsi"/>
          <w:sz w:val="28"/>
          <w:szCs w:val="28"/>
        </w:rPr>
        <w:t xml:space="preserve">both </w:t>
      </w:r>
      <w:r w:rsidR="00FE1A28" w:rsidRPr="005C5E5A">
        <w:rPr>
          <w:rFonts w:asciiTheme="majorHAnsi" w:hAnsiTheme="majorHAnsi" w:cstheme="majorHAnsi"/>
          <w:sz w:val="28"/>
          <w:szCs w:val="28"/>
        </w:rPr>
        <w:t xml:space="preserve">large distances and/or high transport costs). This </w:t>
      </w:r>
      <w:r w:rsidRPr="005C5E5A">
        <w:rPr>
          <w:rFonts w:asciiTheme="majorHAnsi" w:hAnsiTheme="majorHAnsi" w:cstheme="majorHAnsi"/>
          <w:sz w:val="28"/>
          <w:szCs w:val="28"/>
        </w:rPr>
        <w:t xml:space="preserve">is </w:t>
      </w:r>
      <w:r w:rsidR="00FE1A28" w:rsidRPr="005C5E5A">
        <w:rPr>
          <w:rFonts w:asciiTheme="majorHAnsi" w:hAnsiTheme="majorHAnsi" w:cstheme="majorHAnsi"/>
          <w:sz w:val="28"/>
          <w:szCs w:val="28"/>
        </w:rPr>
        <w:t>the typical situation in high density urban settlements (slums), and where</w:t>
      </w:r>
      <w:r w:rsidRPr="005C5E5A">
        <w:rPr>
          <w:rFonts w:asciiTheme="majorHAnsi" w:hAnsiTheme="majorHAnsi" w:cstheme="majorHAnsi"/>
          <w:sz w:val="28"/>
          <w:szCs w:val="28"/>
        </w:rPr>
        <w:t>, therefore,</w:t>
      </w:r>
      <w:r w:rsidR="00FE1A28" w:rsidRPr="005C5E5A">
        <w:rPr>
          <w:rFonts w:asciiTheme="majorHAnsi" w:hAnsiTheme="majorHAnsi" w:cstheme="majorHAnsi"/>
          <w:sz w:val="28"/>
          <w:szCs w:val="28"/>
        </w:rPr>
        <w:t xml:space="preserve"> </w:t>
      </w:r>
      <w:r w:rsidRPr="005C5E5A">
        <w:rPr>
          <w:rFonts w:asciiTheme="majorHAnsi" w:hAnsiTheme="majorHAnsi" w:cstheme="majorHAnsi"/>
          <w:sz w:val="28"/>
          <w:szCs w:val="28"/>
        </w:rPr>
        <w:t xml:space="preserve">often large numbers of </w:t>
      </w:r>
      <w:r w:rsidR="00FE1A28" w:rsidRPr="005C5E5A">
        <w:rPr>
          <w:rFonts w:asciiTheme="majorHAnsi" w:hAnsiTheme="majorHAnsi" w:cstheme="majorHAnsi"/>
          <w:sz w:val="28"/>
          <w:szCs w:val="28"/>
        </w:rPr>
        <w:t>entrepreneurs</w:t>
      </w:r>
      <w:r w:rsidRPr="005C5E5A">
        <w:rPr>
          <w:rFonts w:asciiTheme="majorHAnsi" w:hAnsiTheme="majorHAnsi" w:cstheme="majorHAnsi"/>
          <w:sz w:val="28"/>
          <w:szCs w:val="28"/>
        </w:rPr>
        <w:t xml:space="preserve"> (many of whom are trained teachers)</w:t>
      </w:r>
      <w:r w:rsidR="00FE1A28" w:rsidRPr="005C5E5A">
        <w:rPr>
          <w:rFonts w:asciiTheme="majorHAnsi" w:hAnsiTheme="majorHAnsi" w:cstheme="majorHAnsi"/>
          <w:sz w:val="28"/>
          <w:szCs w:val="28"/>
        </w:rPr>
        <w:t xml:space="preserve"> </w:t>
      </w:r>
      <w:r w:rsidR="002B5918" w:rsidRPr="005C5E5A">
        <w:rPr>
          <w:rFonts w:asciiTheme="majorHAnsi" w:hAnsiTheme="majorHAnsi" w:cstheme="majorHAnsi"/>
          <w:sz w:val="28"/>
          <w:szCs w:val="28"/>
        </w:rPr>
        <w:t xml:space="preserve">have </w:t>
      </w:r>
      <w:r w:rsidR="00FE1A28" w:rsidRPr="005C5E5A">
        <w:rPr>
          <w:rFonts w:asciiTheme="majorHAnsi" w:hAnsiTheme="majorHAnsi" w:cstheme="majorHAnsi"/>
          <w:sz w:val="28"/>
          <w:szCs w:val="28"/>
        </w:rPr>
        <w:t>establish</w:t>
      </w:r>
      <w:r w:rsidR="002B5918" w:rsidRPr="005C5E5A">
        <w:rPr>
          <w:rFonts w:asciiTheme="majorHAnsi" w:hAnsiTheme="majorHAnsi" w:cstheme="majorHAnsi"/>
          <w:sz w:val="28"/>
          <w:szCs w:val="28"/>
        </w:rPr>
        <w:t>ed</w:t>
      </w:r>
      <w:r w:rsidR="00FE1A28" w:rsidRPr="005C5E5A">
        <w:rPr>
          <w:rFonts w:asciiTheme="majorHAnsi" w:hAnsiTheme="majorHAnsi" w:cstheme="majorHAnsi"/>
          <w:sz w:val="28"/>
          <w:szCs w:val="28"/>
        </w:rPr>
        <w:t xml:space="preserve"> low-cost, for-profit private schools. However, where the </w:t>
      </w:r>
      <w:r w:rsidR="002B5918" w:rsidRPr="005C5E5A">
        <w:rPr>
          <w:rFonts w:asciiTheme="majorHAnsi" w:hAnsiTheme="majorHAnsi" w:cstheme="majorHAnsi"/>
          <w:sz w:val="28"/>
          <w:szCs w:val="28"/>
        </w:rPr>
        <w:t xml:space="preserve">local school </w:t>
      </w:r>
      <w:r w:rsidR="00FE1A28" w:rsidRPr="005C5E5A">
        <w:rPr>
          <w:rFonts w:asciiTheme="majorHAnsi" w:hAnsiTheme="majorHAnsi" w:cstheme="majorHAnsi"/>
          <w:sz w:val="28"/>
          <w:szCs w:val="28"/>
        </w:rPr>
        <w:t>market is not su</w:t>
      </w:r>
      <w:r w:rsidR="002029F3">
        <w:rPr>
          <w:rFonts w:asciiTheme="majorHAnsi" w:hAnsiTheme="majorHAnsi" w:cstheme="majorHAnsi"/>
          <w:sz w:val="28"/>
          <w:szCs w:val="28"/>
        </w:rPr>
        <w:t>fficiently large (due to low</w:t>
      </w:r>
      <w:r w:rsidR="00FE1A28" w:rsidRPr="005C5E5A">
        <w:rPr>
          <w:rFonts w:asciiTheme="majorHAnsi" w:hAnsiTheme="majorHAnsi" w:cstheme="majorHAnsi"/>
          <w:sz w:val="28"/>
          <w:szCs w:val="28"/>
        </w:rPr>
        <w:t xml:space="preserve"> population size/density and/or low household income levels/poverty) in order to generate the necessary certain minimum level of effective demand to support a </w:t>
      </w:r>
      <w:r w:rsidR="002029F3">
        <w:rPr>
          <w:rFonts w:asciiTheme="majorHAnsi" w:hAnsiTheme="majorHAnsi" w:cstheme="majorHAnsi"/>
          <w:sz w:val="28"/>
          <w:szCs w:val="28"/>
        </w:rPr>
        <w:t xml:space="preserve">for-profit </w:t>
      </w:r>
      <w:r w:rsidR="00FE1A28" w:rsidRPr="005C5E5A">
        <w:rPr>
          <w:rFonts w:asciiTheme="majorHAnsi" w:hAnsiTheme="majorHAnsi" w:cstheme="majorHAnsi"/>
          <w:sz w:val="28"/>
          <w:szCs w:val="28"/>
        </w:rPr>
        <w:t xml:space="preserve">private school, as is typically the case in sparsely populated rural areas, communities themselves have no other option but to establish their own not-for-profit schools.   </w:t>
      </w:r>
    </w:p>
    <w:p w:rsidR="00FE1A28" w:rsidRPr="00C56EFB" w:rsidRDefault="00655EEA" w:rsidP="00FE1A28">
      <w:pPr>
        <w:jc w:val="both"/>
        <w:rPr>
          <w:rFonts w:asciiTheme="majorHAnsi" w:hAnsiTheme="majorHAnsi" w:cstheme="majorHAnsi"/>
          <w:i/>
          <w:sz w:val="28"/>
          <w:szCs w:val="28"/>
        </w:rPr>
      </w:pPr>
      <w:r w:rsidRPr="00C56EFB">
        <w:rPr>
          <w:rFonts w:asciiTheme="majorHAnsi" w:hAnsiTheme="majorHAnsi" w:cstheme="majorHAnsi"/>
          <w:i/>
          <w:sz w:val="28"/>
          <w:szCs w:val="28"/>
        </w:rPr>
        <w:t xml:space="preserve">Open </w:t>
      </w:r>
      <w:r w:rsidR="00EB4C2C" w:rsidRPr="00C56EFB">
        <w:rPr>
          <w:rFonts w:asciiTheme="majorHAnsi" w:hAnsiTheme="majorHAnsi" w:cstheme="majorHAnsi"/>
          <w:i/>
          <w:sz w:val="28"/>
          <w:szCs w:val="28"/>
        </w:rPr>
        <w:t>comp</w:t>
      </w:r>
      <w:r w:rsidRPr="00C56EFB">
        <w:rPr>
          <w:rFonts w:asciiTheme="majorHAnsi" w:hAnsiTheme="majorHAnsi" w:cstheme="majorHAnsi"/>
          <w:i/>
          <w:sz w:val="28"/>
          <w:szCs w:val="28"/>
        </w:rPr>
        <w:t>et</w:t>
      </w:r>
      <w:r w:rsidR="00EB4C2C" w:rsidRPr="00C56EFB">
        <w:rPr>
          <w:rFonts w:asciiTheme="majorHAnsi" w:hAnsiTheme="majorHAnsi" w:cstheme="majorHAnsi"/>
          <w:i/>
          <w:sz w:val="28"/>
          <w:szCs w:val="28"/>
        </w:rPr>
        <w:t>it</w:t>
      </w:r>
      <w:r w:rsidRPr="00C56EFB">
        <w:rPr>
          <w:rFonts w:asciiTheme="majorHAnsi" w:hAnsiTheme="majorHAnsi" w:cstheme="majorHAnsi"/>
          <w:i/>
          <w:sz w:val="28"/>
          <w:szCs w:val="28"/>
        </w:rPr>
        <w:t>ion in non-saturated school markets</w:t>
      </w:r>
    </w:p>
    <w:p w:rsidR="00EB4C2C" w:rsidRPr="005C5E5A" w:rsidRDefault="00FE1A28" w:rsidP="00EB4C2C">
      <w:pPr>
        <w:jc w:val="both"/>
        <w:rPr>
          <w:rFonts w:asciiTheme="majorHAnsi" w:hAnsiTheme="majorHAnsi" w:cstheme="majorHAnsi"/>
          <w:sz w:val="28"/>
          <w:szCs w:val="28"/>
        </w:rPr>
      </w:pPr>
      <w:r w:rsidRPr="005C5E5A">
        <w:rPr>
          <w:rFonts w:asciiTheme="majorHAnsi" w:hAnsiTheme="majorHAnsi" w:cstheme="majorHAnsi"/>
          <w:sz w:val="28"/>
          <w:szCs w:val="28"/>
        </w:rPr>
        <w:t xml:space="preserve">This </w:t>
      </w:r>
      <w:r w:rsidR="002029F3">
        <w:rPr>
          <w:rFonts w:asciiTheme="majorHAnsi" w:hAnsiTheme="majorHAnsi" w:cstheme="majorHAnsi"/>
          <w:sz w:val="28"/>
          <w:szCs w:val="28"/>
        </w:rPr>
        <w:t xml:space="preserve">school </w:t>
      </w:r>
      <w:r w:rsidR="002B5918" w:rsidRPr="005C5E5A">
        <w:rPr>
          <w:rFonts w:asciiTheme="majorHAnsi" w:hAnsiTheme="majorHAnsi" w:cstheme="majorHAnsi"/>
          <w:sz w:val="28"/>
          <w:szCs w:val="28"/>
        </w:rPr>
        <w:t xml:space="preserve">market </w:t>
      </w:r>
      <w:r w:rsidRPr="005C5E5A">
        <w:rPr>
          <w:rFonts w:asciiTheme="majorHAnsi" w:hAnsiTheme="majorHAnsi" w:cstheme="majorHAnsi"/>
          <w:sz w:val="28"/>
          <w:szCs w:val="28"/>
        </w:rPr>
        <w:t xml:space="preserve">situation arises where, large numbers of parents switch </w:t>
      </w:r>
      <w:r w:rsidR="002029F3">
        <w:rPr>
          <w:rFonts w:asciiTheme="majorHAnsi" w:hAnsiTheme="majorHAnsi" w:cstheme="majorHAnsi"/>
          <w:sz w:val="28"/>
          <w:szCs w:val="28"/>
        </w:rPr>
        <w:t>(</w:t>
      </w:r>
      <w:r w:rsidRPr="005C5E5A">
        <w:rPr>
          <w:rFonts w:asciiTheme="majorHAnsi" w:hAnsiTheme="majorHAnsi" w:cstheme="majorHAnsi"/>
          <w:sz w:val="28"/>
          <w:szCs w:val="28"/>
        </w:rPr>
        <w:t>or enrol for the first time</w:t>
      </w:r>
      <w:r w:rsidR="002029F3">
        <w:rPr>
          <w:rFonts w:asciiTheme="majorHAnsi" w:hAnsiTheme="majorHAnsi" w:cstheme="majorHAnsi"/>
          <w:sz w:val="28"/>
          <w:szCs w:val="28"/>
        </w:rPr>
        <w:t>)</w:t>
      </w:r>
      <w:r w:rsidRPr="005C5E5A">
        <w:rPr>
          <w:rFonts w:asciiTheme="majorHAnsi" w:hAnsiTheme="majorHAnsi" w:cstheme="majorHAnsi"/>
          <w:sz w:val="28"/>
          <w:szCs w:val="28"/>
        </w:rPr>
        <w:t xml:space="preserve"> their children in private schools but, due to </w:t>
      </w:r>
      <w:r w:rsidR="002B5918" w:rsidRPr="005C5E5A">
        <w:rPr>
          <w:rFonts w:asciiTheme="majorHAnsi" w:hAnsiTheme="majorHAnsi" w:cstheme="majorHAnsi"/>
          <w:sz w:val="28"/>
          <w:szCs w:val="28"/>
        </w:rPr>
        <w:t xml:space="preserve">(usually very high) </w:t>
      </w:r>
      <w:r w:rsidRPr="005C5E5A">
        <w:rPr>
          <w:rFonts w:asciiTheme="majorHAnsi" w:hAnsiTheme="majorHAnsi" w:cstheme="majorHAnsi"/>
          <w:sz w:val="28"/>
          <w:szCs w:val="28"/>
        </w:rPr>
        <w:t xml:space="preserve">excess demand for school places, enrolments in </w:t>
      </w:r>
      <w:r w:rsidR="002029F3">
        <w:rPr>
          <w:rFonts w:asciiTheme="majorHAnsi" w:hAnsiTheme="majorHAnsi" w:cstheme="majorHAnsi"/>
          <w:sz w:val="28"/>
          <w:szCs w:val="28"/>
        </w:rPr>
        <w:t xml:space="preserve">nearby </w:t>
      </w:r>
      <w:r w:rsidRPr="005C5E5A">
        <w:rPr>
          <w:rFonts w:asciiTheme="majorHAnsi" w:hAnsiTheme="majorHAnsi" w:cstheme="majorHAnsi"/>
          <w:sz w:val="28"/>
          <w:szCs w:val="28"/>
        </w:rPr>
        <w:t xml:space="preserve">government schools remain largely </w:t>
      </w:r>
      <w:r w:rsidR="002B5918" w:rsidRPr="005C5E5A">
        <w:rPr>
          <w:rFonts w:asciiTheme="majorHAnsi" w:hAnsiTheme="majorHAnsi" w:cstheme="majorHAnsi"/>
          <w:sz w:val="28"/>
          <w:szCs w:val="28"/>
        </w:rPr>
        <w:t>unchanged</w:t>
      </w:r>
      <w:r w:rsidRPr="005C5E5A">
        <w:rPr>
          <w:rFonts w:asciiTheme="majorHAnsi" w:hAnsiTheme="majorHAnsi" w:cstheme="majorHAnsi"/>
          <w:sz w:val="28"/>
          <w:szCs w:val="28"/>
        </w:rPr>
        <w:t>. This is typically the situation with regard to secondary schooling</w:t>
      </w:r>
      <w:r w:rsidR="00EB4C2C" w:rsidRPr="005C5E5A">
        <w:rPr>
          <w:rFonts w:asciiTheme="majorHAnsi" w:hAnsiTheme="majorHAnsi" w:cstheme="majorHAnsi"/>
          <w:sz w:val="28"/>
          <w:szCs w:val="28"/>
        </w:rPr>
        <w:t xml:space="preserve"> </w:t>
      </w:r>
      <w:r w:rsidR="002B5918" w:rsidRPr="005C5E5A">
        <w:rPr>
          <w:rFonts w:asciiTheme="majorHAnsi" w:hAnsiTheme="majorHAnsi" w:cstheme="majorHAnsi"/>
          <w:sz w:val="28"/>
          <w:szCs w:val="28"/>
        </w:rPr>
        <w:t xml:space="preserve">especially in </w:t>
      </w:r>
      <w:r w:rsidR="00EB4C2C" w:rsidRPr="005C5E5A">
        <w:rPr>
          <w:rFonts w:asciiTheme="majorHAnsi" w:hAnsiTheme="majorHAnsi" w:cstheme="majorHAnsi"/>
          <w:sz w:val="28"/>
          <w:szCs w:val="28"/>
        </w:rPr>
        <w:t>urban areas</w:t>
      </w:r>
      <w:r w:rsidRPr="005C5E5A">
        <w:rPr>
          <w:rFonts w:asciiTheme="majorHAnsi" w:hAnsiTheme="majorHAnsi" w:cstheme="majorHAnsi"/>
          <w:sz w:val="28"/>
          <w:szCs w:val="28"/>
        </w:rPr>
        <w:t xml:space="preserve">. If over time, total enrolment capacity increases sufficiently for all children (who want to) to attend </w:t>
      </w:r>
      <w:r w:rsidR="002B5918" w:rsidRPr="005C5E5A">
        <w:rPr>
          <w:rFonts w:asciiTheme="majorHAnsi" w:hAnsiTheme="majorHAnsi" w:cstheme="majorHAnsi"/>
          <w:sz w:val="28"/>
          <w:szCs w:val="28"/>
        </w:rPr>
        <w:t xml:space="preserve">secondary </w:t>
      </w:r>
      <w:r w:rsidRPr="005C5E5A">
        <w:rPr>
          <w:rFonts w:asciiTheme="majorHAnsi" w:hAnsiTheme="majorHAnsi" w:cstheme="majorHAnsi"/>
          <w:sz w:val="28"/>
          <w:szCs w:val="28"/>
        </w:rPr>
        <w:t>school, then the continued expansion of private schools could lead to declining enrolment</w:t>
      </w:r>
      <w:r w:rsidR="00EB4C2C" w:rsidRPr="005C5E5A">
        <w:rPr>
          <w:rFonts w:asciiTheme="majorHAnsi" w:hAnsiTheme="majorHAnsi" w:cstheme="majorHAnsi"/>
          <w:sz w:val="28"/>
          <w:szCs w:val="28"/>
        </w:rPr>
        <w:t xml:space="preserve"> shares </w:t>
      </w:r>
      <w:r w:rsidRPr="005C5E5A">
        <w:rPr>
          <w:rFonts w:asciiTheme="majorHAnsi" w:hAnsiTheme="majorHAnsi" w:cstheme="majorHAnsi"/>
          <w:sz w:val="28"/>
          <w:szCs w:val="28"/>
        </w:rPr>
        <w:t>in government schools.</w:t>
      </w:r>
    </w:p>
    <w:p w:rsidR="00806557" w:rsidRPr="005C5E5A" w:rsidRDefault="00806557" w:rsidP="00A33A7C">
      <w:pPr>
        <w:pStyle w:val="ListParagraph"/>
        <w:numPr>
          <w:ilvl w:val="0"/>
          <w:numId w:val="1"/>
        </w:numPr>
        <w:jc w:val="both"/>
        <w:rPr>
          <w:rFonts w:asciiTheme="majorHAnsi" w:hAnsiTheme="majorHAnsi" w:cstheme="majorHAnsi"/>
          <w:sz w:val="28"/>
          <w:szCs w:val="28"/>
        </w:rPr>
      </w:pPr>
      <w:r w:rsidRPr="005C5E5A">
        <w:rPr>
          <w:rFonts w:asciiTheme="majorHAnsi" w:hAnsiTheme="majorHAnsi" w:cstheme="majorHAnsi"/>
          <w:b/>
          <w:i/>
          <w:sz w:val="28"/>
          <w:szCs w:val="28"/>
        </w:rPr>
        <w:t xml:space="preserve">Country </w:t>
      </w:r>
      <w:r w:rsidR="004D572F" w:rsidRPr="005C5E5A">
        <w:rPr>
          <w:rFonts w:asciiTheme="majorHAnsi" w:hAnsiTheme="majorHAnsi" w:cstheme="majorHAnsi"/>
          <w:b/>
          <w:i/>
          <w:sz w:val="28"/>
          <w:szCs w:val="28"/>
        </w:rPr>
        <w:t xml:space="preserve">incidence levels and trends and provision </w:t>
      </w:r>
      <w:r w:rsidRPr="005C5E5A">
        <w:rPr>
          <w:rFonts w:asciiTheme="majorHAnsi" w:hAnsiTheme="majorHAnsi" w:cstheme="majorHAnsi"/>
          <w:b/>
          <w:i/>
          <w:sz w:val="28"/>
          <w:szCs w:val="28"/>
        </w:rPr>
        <w:t>patterns</w:t>
      </w:r>
    </w:p>
    <w:p w:rsidR="004C7638" w:rsidRPr="005C5E5A" w:rsidRDefault="00806557" w:rsidP="00806557">
      <w:pPr>
        <w:pStyle w:val="ListParagraph"/>
        <w:ind w:left="432"/>
        <w:jc w:val="both"/>
        <w:rPr>
          <w:rFonts w:asciiTheme="majorHAnsi" w:hAnsiTheme="majorHAnsi" w:cstheme="majorHAnsi"/>
          <w:i/>
          <w:sz w:val="28"/>
          <w:szCs w:val="28"/>
        </w:rPr>
      </w:pPr>
      <w:r w:rsidRPr="005C5E5A">
        <w:rPr>
          <w:rFonts w:asciiTheme="majorHAnsi" w:hAnsiTheme="majorHAnsi" w:cstheme="majorHAnsi"/>
          <w:i/>
          <w:sz w:val="28"/>
          <w:szCs w:val="28"/>
        </w:rPr>
        <w:t xml:space="preserve">  </w:t>
      </w:r>
    </w:p>
    <w:p w:rsidR="00C87980" w:rsidRPr="005C5E5A" w:rsidRDefault="00806557" w:rsidP="00A33A7C">
      <w:pPr>
        <w:pStyle w:val="ListParagraph"/>
        <w:numPr>
          <w:ilvl w:val="1"/>
          <w:numId w:val="1"/>
        </w:numPr>
        <w:jc w:val="both"/>
        <w:rPr>
          <w:rFonts w:asciiTheme="majorHAnsi" w:hAnsiTheme="majorHAnsi" w:cstheme="majorHAnsi"/>
          <w:i/>
          <w:sz w:val="28"/>
          <w:szCs w:val="28"/>
        </w:rPr>
      </w:pPr>
      <w:r w:rsidRPr="005C5E5A">
        <w:rPr>
          <w:rFonts w:asciiTheme="majorHAnsi" w:hAnsiTheme="majorHAnsi" w:cstheme="majorHAnsi"/>
          <w:i/>
          <w:sz w:val="28"/>
          <w:szCs w:val="28"/>
        </w:rPr>
        <w:t xml:space="preserve">Continental and country </w:t>
      </w:r>
      <w:r w:rsidR="000B10B0" w:rsidRPr="005C5E5A">
        <w:rPr>
          <w:rFonts w:asciiTheme="majorHAnsi" w:hAnsiTheme="majorHAnsi" w:cstheme="majorHAnsi"/>
          <w:i/>
          <w:sz w:val="28"/>
          <w:szCs w:val="28"/>
        </w:rPr>
        <w:t>incidence</w:t>
      </w:r>
    </w:p>
    <w:p w:rsidR="00B242CF" w:rsidRPr="005C5E5A" w:rsidRDefault="002C2897" w:rsidP="008739BA">
      <w:pPr>
        <w:jc w:val="both"/>
        <w:rPr>
          <w:rFonts w:asciiTheme="majorHAnsi" w:hAnsiTheme="majorHAnsi" w:cstheme="majorHAnsi"/>
          <w:sz w:val="28"/>
          <w:szCs w:val="28"/>
        </w:rPr>
      </w:pPr>
      <w:r w:rsidRPr="005C5E5A">
        <w:rPr>
          <w:rFonts w:asciiTheme="majorHAnsi" w:hAnsiTheme="majorHAnsi" w:cstheme="majorHAnsi"/>
          <w:sz w:val="28"/>
          <w:szCs w:val="28"/>
        </w:rPr>
        <w:t xml:space="preserve">According </w:t>
      </w:r>
      <w:r w:rsidR="004152AC" w:rsidRPr="005C5E5A">
        <w:rPr>
          <w:rFonts w:asciiTheme="majorHAnsi" w:hAnsiTheme="majorHAnsi" w:cstheme="majorHAnsi"/>
          <w:sz w:val="28"/>
          <w:szCs w:val="28"/>
        </w:rPr>
        <w:t xml:space="preserve">to </w:t>
      </w:r>
      <w:r w:rsidRPr="005C5E5A">
        <w:rPr>
          <w:rFonts w:asciiTheme="majorHAnsi" w:hAnsiTheme="majorHAnsi" w:cstheme="majorHAnsi"/>
          <w:sz w:val="28"/>
          <w:szCs w:val="28"/>
        </w:rPr>
        <w:t>UIS statistics, i</w:t>
      </w:r>
      <w:r w:rsidR="009C713B" w:rsidRPr="005C5E5A">
        <w:rPr>
          <w:rFonts w:asciiTheme="majorHAnsi" w:hAnsiTheme="majorHAnsi" w:cstheme="majorHAnsi"/>
          <w:sz w:val="28"/>
          <w:szCs w:val="28"/>
        </w:rPr>
        <w:t>n the mid-late 2010s, a</w:t>
      </w:r>
      <w:r w:rsidR="00D13FEB" w:rsidRPr="005C5E5A">
        <w:rPr>
          <w:rFonts w:asciiTheme="majorHAnsi" w:hAnsiTheme="majorHAnsi" w:cstheme="majorHAnsi"/>
          <w:sz w:val="28"/>
          <w:szCs w:val="28"/>
        </w:rPr>
        <w:t xml:space="preserve">round one in seven primary school students </w:t>
      </w:r>
      <w:r w:rsidRPr="005C5E5A">
        <w:rPr>
          <w:rFonts w:asciiTheme="majorHAnsi" w:hAnsiTheme="majorHAnsi" w:cstheme="majorHAnsi"/>
          <w:sz w:val="28"/>
          <w:szCs w:val="28"/>
        </w:rPr>
        <w:t xml:space="preserve">and one in five secondary school students </w:t>
      </w:r>
      <w:r w:rsidR="00D13FEB" w:rsidRPr="005C5E5A">
        <w:rPr>
          <w:rFonts w:asciiTheme="majorHAnsi" w:hAnsiTheme="majorHAnsi" w:cstheme="majorHAnsi"/>
          <w:sz w:val="28"/>
          <w:szCs w:val="28"/>
        </w:rPr>
        <w:t>in SSA attend</w:t>
      </w:r>
      <w:r w:rsidR="009C713B" w:rsidRPr="005C5E5A">
        <w:rPr>
          <w:rFonts w:asciiTheme="majorHAnsi" w:hAnsiTheme="majorHAnsi" w:cstheme="majorHAnsi"/>
          <w:sz w:val="28"/>
          <w:szCs w:val="28"/>
        </w:rPr>
        <w:t>ed</w:t>
      </w:r>
      <w:r w:rsidR="00D13FEB" w:rsidRPr="005C5E5A">
        <w:rPr>
          <w:rFonts w:asciiTheme="majorHAnsi" w:hAnsiTheme="majorHAnsi" w:cstheme="majorHAnsi"/>
          <w:sz w:val="28"/>
          <w:szCs w:val="28"/>
        </w:rPr>
        <w:t xml:space="preserve"> private school</w:t>
      </w:r>
      <w:r w:rsidRPr="005C5E5A">
        <w:rPr>
          <w:rFonts w:asciiTheme="majorHAnsi" w:hAnsiTheme="majorHAnsi" w:cstheme="majorHAnsi"/>
          <w:sz w:val="28"/>
          <w:szCs w:val="28"/>
        </w:rPr>
        <w:t>s</w:t>
      </w:r>
      <w:r w:rsidR="00D13FEB" w:rsidRPr="005C5E5A">
        <w:rPr>
          <w:rFonts w:asciiTheme="majorHAnsi" w:hAnsiTheme="majorHAnsi" w:cstheme="majorHAnsi"/>
          <w:sz w:val="28"/>
          <w:szCs w:val="28"/>
        </w:rPr>
        <w:t>.</w:t>
      </w:r>
      <w:r w:rsidRPr="005C5E5A">
        <w:rPr>
          <w:rFonts w:asciiTheme="majorHAnsi" w:hAnsiTheme="majorHAnsi" w:cstheme="majorHAnsi"/>
          <w:sz w:val="28"/>
          <w:szCs w:val="28"/>
        </w:rPr>
        <w:t xml:space="preserve"> H</w:t>
      </w:r>
      <w:r w:rsidR="009C713B" w:rsidRPr="005C5E5A">
        <w:rPr>
          <w:rFonts w:asciiTheme="majorHAnsi" w:hAnsiTheme="majorHAnsi" w:cstheme="majorHAnsi"/>
          <w:sz w:val="28"/>
          <w:szCs w:val="28"/>
        </w:rPr>
        <w:t xml:space="preserve">owever, </w:t>
      </w:r>
      <w:r w:rsidR="00E6328D" w:rsidRPr="005C5E5A">
        <w:rPr>
          <w:rFonts w:asciiTheme="majorHAnsi" w:hAnsiTheme="majorHAnsi" w:cstheme="majorHAnsi"/>
          <w:sz w:val="28"/>
          <w:szCs w:val="28"/>
        </w:rPr>
        <w:t>as can be observed in Figure</w:t>
      </w:r>
      <w:r w:rsidR="004152AC" w:rsidRPr="005C5E5A">
        <w:rPr>
          <w:rFonts w:asciiTheme="majorHAnsi" w:hAnsiTheme="majorHAnsi" w:cstheme="majorHAnsi"/>
          <w:sz w:val="28"/>
          <w:szCs w:val="28"/>
        </w:rPr>
        <w:t>s</w:t>
      </w:r>
      <w:r w:rsidR="00E6328D" w:rsidRPr="005C5E5A">
        <w:rPr>
          <w:rFonts w:asciiTheme="majorHAnsi" w:hAnsiTheme="majorHAnsi" w:cstheme="majorHAnsi"/>
          <w:sz w:val="28"/>
          <w:szCs w:val="28"/>
        </w:rPr>
        <w:t xml:space="preserve"> 1</w:t>
      </w:r>
      <w:r w:rsidR="004152AC" w:rsidRPr="005C5E5A">
        <w:rPr>
          <w:rFonts w:asciiTheme="majorHAnsi" w:hAnsiTheme="majorHAnsi" w:cstheme="majorHAnsi"/>
          <w:sz w:val="28"/>
          <w:szCs w:val="28"/>
        </w:rPr>
        <w:t xml:space="preserve"> and 2</w:t>
      </w:r>
      <w:r w:rsidR="00E6328D" w:rsidRPr="005C5E5A">
        <w:rPr>
          <w:rFonts w:asciiTheme="majorHAnsi" w:hAnsiTheme="majorHAnsi" w:cstheme="majorHAnsi"/>
          <w:sz w:val="28"/>
          <w:szCs w:val="28"/>
        </w:rPr>
        <w:t xml:space="preserve">, </w:t>
      </w:r>
      <w:r w:rsidR="009C713B" w:rsidRPr="005C5E5A">
        <w:rPr>
          <w:rFonts w:asciiTheme="majorHAnsi" w:hAnsiTheme="majorHAnsi" w:cstheme="majorHAnsi"/>
          <w:sz w:val="28"/>
          <w:szCs w:val="28"/>
        </w:rPr>
        <w:t xml:space="preserve">the </w:t>
      </w:r>
      <w:r w:rsidR="00E6328D" w:rsidRPr="005C5E5A">
        <w:rPr>
          <w:rFonts w:asciiTheme="majorHAnsi" w:hAnsiTheme="majorHAnsi" w:cstheme="majorHAnsi"/>
          <w:sz w:val="28"/>
          <w:szCs w:val="28"/>
        </w:rPr>
        <w:t xml:space="preserve">country </w:t>
      </w:r>
      <w:r w:rsidR="009C713B" w:rsidRPr="005C5E5A">
        <w:rPr>
          <w:rFonts w:asciiTheme="majorHAnsi" w:hAnsiTheme="majorHAnsi" w:cstheme="majorHAnsi"/>
          <w:sz w:val="28"/>
          <w:szCs w:val="28"/>
        </w:rPr>
        <w:t xml:space="preserve">incidence of private schooling varies </w:t>
      </w:r>
      <w:r w:rsidRPr="005C5E5A">
        <w:rPr>
          <w:rFonts w:asciiTheme="majorHAnsi" w:hAnsiTheme="majorHAnsi" w:cstheme="majorHAnsi"/>
          <w:sz w:val="28"/>
          <w:szCs w:val="28"/>
        </w:rPr>
        <w:t xml:space="preserve">very </w:t>
      </w:r>
      <w:r w:rsidR="009C713B" w:rsidRPr="005C5E5A">
        <w:rPr>
          <w:rFonts w:asciiTheme="majorHAnsi" w:hAnsiTheme="majorHAnsi" w:cstheme="majorHAnsi"/>
          <w:sz w:val="28"/>
          <w:szCs w:val="28"/>
        </w:rPr>
        <w:t>considerably across the continent</w:t>
      </w:r>
      <w:r w:rsidR="004152AC" w:rsidRPr="005C5E5A">
        <w:rPr>
          <w:rFonts w:asciiTheme="majorHAnsi" w:hAnsiTheme="majorHAnsi" w:cstheme="majorHAnsi"/>
          <w:sz w:val="28"/>
          <w:szCs w:val="28"/>
        </w:rPr>
        <w:t xml:space="preserve"> with respect to both primary and secondary </w:t>
      </w:r>
      <w:r w:rsidR="006B779E" w:rsidRPr="005C5E5A">
        <w:rPr>
          <w:rFonts w:asciiTheme="majorHAnsi" w:hAnsiTheme="majorHAnsi" w:cstheme="majorHAnsi"/>
          <w:sz w:val="28"/>
          <w:szCs w:val="28"/>
        </w:rPr>
        <w:t>education</w:t>
      </w:r>
      <w:r w:rsidR="00E6328D" w:rsidRPr="005C5E5A">
        <w:rPr>
          <w:rFonts w:asciiTheme="majorHAnsi" w:hAnsiTheme="majorHAnsi" w:cstheme="majorHAnsi"/>
          <w:sz w:val="28"/>
          <w:szCs w:val="28"/>
        </w:rPr>
        <w:t>.</w:t>
      </w:r>
      <w:r w:rsidR="00E42F29" w:rsidRPr="005C5E5A">
        <w:rPr>
          <w:rFonts w:asciiTheme="majorHAnsi" w:hAnsiTheme="majorHAnsi" w:cstheme="majorHAnsi"/>
          <w:sz w:val="28"/>
          <w:szCs w:val="28"/>
        </w:rPr>
        <w:t xml:space="preserve"> At one extreme, over 40% of </w:t>
      </w:r>
    </w:p>
    <w:p w:rsidR="00303760" w:rsidRDefault="00303760">
      <w:pPr>
        <w:rPr>
          <w:rFonts w:asciiTheme="majorHAnsi" w:hAnsiTheme="majorHAnsi" w:cstheme="majorHAnsi"/>
          <w:sz w:val="28"/>
          <w:szCs w:val="28"/>
        </w:rPr>
      </w:pPr>
    </w:p>
    <w:p w:rsidR="00780EAB" w:rsidRDefault="00780EAB">
      <w:pPr>
        <w:rPr>
          <w:rFonts w:asciiTheme="majorHAnsi" w:hAnsiTheme="majorHAnsi" w:cstheme="majorHAnsi"/>
          <w:sz w:val="28"/>
          <w:szCs w:val="28"/>
        </w:rPr>
      </w:pPr>
    </w:p>
    <w:p w:rsidR="00E42F29" w:rsidRPr="005C5E5A" w:rsidRDefault="00505207" w:rsidP="00505207">
      <w:pPr>
        <w:jc w:val="both"/>
        <w:rPr>
          <w:rFonts w:asciiTheme="majorHAnsi" w:hAnsiTheme="majorHAnsi" w:cstheme="majorHAnsi"/>
          <w:sz w:val="28"/>
          <w:szCs w:val="28"/>
        </w:rPr>
      </w:pPr>
      <w:r>
        <w:rPr>
          <w:rFonts w:asciiTheme="majorHAnsi" w:hAnsiTheme="majorHAnsi" w:cstheme="majorHAnsi"/>
          <w:sz w:val="28"/>
          <w:szCs w:val="28"/>
        </w:rPr>
        <w:t xml:space="preserve">All primary school students attend private schools in countries such as Gabon, Guinea Bissau, Liberia and Togo whereas, at the other extreme, private schools account for </w:t>
      </w:r>
      <w:r w:rsidR="00E42F29" w:rsidRPr="005C5E5A">
        <w:rPr>
          <w:rFonts w:asciiTheme="majorHAnsi" w:hAnsiTheme="majorHAnsi" w:cstheme="majorHAnsi"/>
          <w:sz w:val="28"/>
          <w:szCs w:val="28"/>
        </w:rPr>
        <w:t>less than 2% of primary school enrolments in Burundi, Eswatini</w:t>
      </w:r>
      <w:r>
        <w:rPr>
          <w:rFonts w:asciiTheme="majorHAnsi" w:hAnsiTheme="majorHAnsi" w:cstheme="majorHAnsi"/>
          <w:sz w:val="28"/>
          <w:szCs w:val="28"/>
        </w:rPr>
        <w:t xml:space="preserve"> (Swaziland)</w:t>
      </w:r>
      <w:r w:rsidR="00E42F29" w:rsidRPr="005C5E5A">
        <w:rPr>
          <w:rFonts w:asciiTheme="majorHAnsi" w:hAnsiTheme="majorHAnsi" w:cstheme="majorHAnsi"/>
          <w:sz w:val="28"/>
          <w:szCs w:val="28"/>
        </w:rPr>
        <w:t xml:space="preserve">, Malawi, </w:t>
      </w:r>
      <w:r w:rsidR="004D572F" w:rsidRPr="005C5E5A">
        <w:rPr>
          <w:rFonts w:asciiTheme="majorHAnsi" w:hAnsiTheme="majorHAnsi" w:cstheme="majorHAnsi"/>
          <w:sz w:val="28"/>
          <w:szCs w:val="28"/>
        </w:rPr>
        <w:t xml:space="preserve">and </w:t>
      </w:r>
      <w:r w:rsidR="00E42F29" w:rsidRPr="005C5E5A">
        <w:rPr>
          <w:rFonts w:asciiTheme="majorHAnsi" w:hAnsiTheme="majorHAnsi" w:cstheme="majorHAnsi"/>
          <w:sz w:val="28"/>
          <w:szCs w:val="28"/>
        </w:rPr>
        <w:t xml:space="preserve">Mozambique. </w:t>
      </w:r>
      <w:r w:rsidR="004D572F" w:rsidRPr="005C5E5A">
        <w:rPr>
          <w:rFonts w:asciiTheme="majorHAnsi" w:hAnsiTheme="majorHAnsi" w:cstheme="majorHAnsi"/>
          <w:sz w:val="28"/>
          <w:szCs w:val="28"/>
        </w:rPr>
        <w:t>A s</w:t>
      </w:r>
      <w:r w:rsidR="00E42F29" w:rsidRPr="005C5E5A">
        <w:rPr>
          <w:rFonts w:asciiTheme="majorHAnsi" w:hAnsiTheme="majorHAnsi" w:cstheme="majorHAnsi"/>
          <w:sz w:val="28"/>
          <w:szCs w:val="28"/>
        </w:rPr>
        <w:t xml:space="preserve">imilar </w:t>
      </w:r>
      <w:r w:rsidR="00E36D9E" w:rsidRPr="005C5E5A">
        <w:rPr>
          <w:rFonts w:asciiTheme="majorHAnsi" w:hAnsiTheme="majorHAnsi" w:cstheme="majorHAnsi"/>
          <w:sz w:val="28"/>
          <w:szCs w:val="28"/>
        </w:rPr>
        <w:t xml:space="preserve">incidence </w:t>
      </w:r>
      <w:r w:rsidR="004D572F" w:rsidRPr="005C5E5A">
        <w:rPr>
          <w:rFonts w:asciiTheme="majorHAnsi" w:hAnsiTheme="majorHAnsi" w:cstheme="majorHAnsi"/>
          <w:sz w:val="28"/>
          <w:szCs w:val="28"/>
        </w:rPr>
        <w:t xml:space="preserve">pattern </w:t>
      </w:r>
      <w:r w:rsidR="006B779E" w:rsidRPr="005C5E5A">
        <w:rPr>
          <w:rFonts w:asciiTheme="majorHAnsi" w:hAnsiTheme="majorHAnsi" w:cstheme="majorHAnsi"/>
          <w:sz w:val="28"/>
          <w:szCs w:val="28"/>
        </w:rPr>
        <w:t>p</w:t>
      </w:r>
      <w:r w:rsidR="00E42F29" w:rsidRPr="005C5E5A">
        <w:rPr>
          <w:rFonts w:asciiTheme="majorHAnsi" w:hAnsiTheme="majorHAnsi" w:cstheme="majorHAnsi"/>
          <w:sz w:val="28"/>
          <w:szCs w:val="28"/>
        </w:rPr>
        <w:t>revail</w:t>
      </w:r>
      <w:r w:rsidR="006B779E" w:rsidRPr="005C5E5A">
        <w:rPr>
          <w:rFonts w:asciiTheme="majorHAnsi" w:hAnsiTheme="majorHAnsi" w:cstheme="majorHAnsi"/>
          <w:sz w:val="28"/>
          <w:szCs w:val="28"/>
        </w:rPr>
        <w:t>s</w:t>
      </w:r>
      <w:r w:rsidR="00E42F29" w:rsidRPr="005C5E5A">
        <w:rPr>
          <w:rFonts w:asciiTheme="majorHAnsi" w:hAnsiTheme="majorHAnsi" w:cstheme="majorHAnsi"/>
          <w:sz w:val="28"/>
          <w:szCs w:val="28"/>
        </w:rPr>
        <w:t xml:space="preserve"> with regard to secondary education.</w:t>
      </w:r>
      <w:r w:rsidR="00EB4C2C" w:rsidRPr="005C5E5A">
        <w:rPr>
          <w:rFonts w:asciiTheme="majorHAnsi" w:hAnsiTheme="majorHAnsi" w:cstheme="majorHAnsi"/>
          <w:sz w:val="28"/>
          <w:szCs w:val="28"/>
        </w:rPr>
        <w:t xml:space="preserve"> The challenge is, therefore, is to account for these large variations in the incidence of private schooling between countries and also within countries themselves.   </w:t>
      </w:r>
    </w:p>
    <w:p w:rsidR="002C2897" w:rsidRPr="005C5E5A" w:rsidRDefault="004D572F" w:rsidP="009D5CEF">
      <w:pPr>
        <w:rPr>
          <w:rFonts w:asciiTheme="majorHAnsi" w:hAnsiTheme="majorHAnsi" w:cstheme="majorHAnsi"/>
          <w:sz w:val="28"/>
          <w:szCs w:val="28"/>
        </w:rPr>
      </w:pPr>
      <w:r w:rsidRPr="005C5E5A">
        <w:rPr>
          <w:rFonts w:asciiTheme="majorHAnsi" w:hAnsiTheme="majorHAnsi" w:cstheme="majorHAnsi"/>
          <w:i/>
          <w:sz w:val="28"/>
          <w:szCs w:val="28"/>
        </w:rPr>
        <w:t>4</w:t>
      </w:r>
      <w:r w:rsidR="002C2897" w:rsidRPr="005C5E5A">
        <w:rPr>
          <w:rFonts w:asciiTheme="majorHAnsi" w:hAnsiTheme="majorHAnsi" w:cstheme="majorHAnsi"/>
          <w:i/>
          <w:sz w:val="28"/>
          <w:szCs w:val="28"/>
        </w:rPr>
        <w:t xml:space="preserve">.2 </w:t>
      </w:r>
      <w:r w:rsidR="00107064" w:rsidRPr="005C5E5A">
        <w:rPr>
          <w:rFonts w:asciiTheme="majorHAnsi" w:hAnsiTheme="majorHAnsi" w:cstheme="majorHAnsi"/>
          <w:i/>
          <w:sz w:val="28"/>
          <w:szCs w:val="28"/>
        </w:rPr>
        <w:t>Geographical c</w:t>
      </w:r>
      <w:r w:rsidR="00806557" w:rsidRPr="005C5E5A">
        <w:rPr>
          <w:rFonts w:asciiTheme="majorHAnsi" w:hAnsiTheme="majorHAnsi" w:cstheme="majorHAnsi"/>
          <w:i/>
          <w:sz w:val="28"/>
          <w:szCs w:val="28"/>
        </w:rPr>
        <w:t xml:space="preserve">ountry </w:t>
      </w:r>
      <w:r w:rsidR="002C2897" w:rsidRPr="005C5E5A">
        <w:rPr>
          <w:rFonts w:asciiTheme="majorHAnsi" w:hAnsiTheme="majorHAnsi" w:cstheme="majorHAnsi"/>
          <w:i/>
          <w:sz w:val="28"/>
          <w:szCs w:val="28"/>
        </w:rPr>
        <w:t>patterns</w:t>
      </w:r>
    </w:p>
    <w:p w:rsidR="002C2897" w:rsidRDefault="002C2897" w:rsidP="008739BA">
      <w:pPr>
        <w:jc w:val="both"/>
        <w:rPr>
          <w:sz w:val="28"/>
          <w:szCs w:val="28"/>
        </w:rPr>
      </w:pPr>
      <w:r w:rsidRPr="005C5E5A">
        <w:rPr>
          <w:rFonts w:asciiTheme="majorHAnsi" w:hAnsiTheme="majorHAnsi" w:cstheme="majorHAnsi"/>
          <w:sz w:val="28"/>
          <w:szCs w:val="28"/>
        </w:rPr>
        <w:t>C</w:t>
      </w:r>
      <w:r w:rsidR="00B229DF" w:rsidRPr="005C5E5A">
        <w:rPr>
          <w:rFonts w:asciiTheme="majorHAnsi" w:hAnsiTheme="majorHAnsi" w:cstheme="majorHAnsi"/>
          <w:sz w:val="28"/>
          <w:szCs w:val="28"/>
        </w:rPr>
        <w:t xml:space="preserve">ountries </w:t>
      </w:r>
      <w:r w:rsidRPr="005C5E5A">
        <w:rPr>
          <w:rFonts w:asciiTheme="majorHAnsi" w:hAnsiTheme="majorHAnsi" w:cstheme="majorHAnsi"/>
          <w:sz w:val="28"/>
          <w:szCs w:val="28"/>
        </w:rPr>
        <w:t xml:space="preserve">in SSA </w:t>
      </w:r>
      <w:r w:rsidR="00B229DF" w:rsidRPr="005C5E5A">
        <w:rPr>
          <w:rFonts w:asciiTheme="majorHAnsi" w:hAnsiTheme="majorHAnsi" w:cstheme="majorHAnsi"/>
          <w:sz w:val="28"/>
          <w:szCs w:val="28"/>
        </w:rPr>
        <w:t xml:space="preserve">can be broadly divided into </w:t>
      </w:r>
      <w:r w:rsidR="00E6328D" w:rsidRPr="005C5E5A">
        <w:rPr>
          <w:rFonts w:asciiTheme="majorHAnsi" w:hAnsiTheme="majorHAnsi" w:cstheme="majorHAnsi"/>
          <w:sz w:val="28"/>
          <w:szCs w:val="28"/>
        </w:rPr>
        <w:t xml:space="preserve">low and medium-high </w:t>
      </w:r>
      <w:r w:rsidR="008B596B" w:rsidRPr="005C5E5A">
        <w:rPr>
          <w:rFonts w:asciiTheme="majorHAnsi" w:hAnsiTheme="majorHAnsi" w:cstheme="majorHAnsi"/>
          <w:sz w:val="28"/>
          <w:szCs w:val="28"/>
        </w:rPr>
        <w:t xml:space="preserve">private schooling </w:t>
      </w:r>
      <w:r w:rsidR="00E6328D" w:rsidRPr="005C5E5A">
        <w:rPr>
          <w:rFonts w:asciiTheme="majorHAnsi" w:hAnsiTheme="majorHAnsi" w:cstheme="majorHAnsi"/>
          <w:sz w:val="28"/>
          <w:szCs w:val="28"/>
        </w:rPr>
        <w:t xml:space="preserve">incidence groups. </w:t>
      </w:r>
      <w:r w:rsidR="004152AC" w:rsidRPr="005C5E5A">
        <w:rPr>
          <w:rFonts w:asciiTheme="majorHAnsi" w:hAnsiTheme="majorHAnsi" w:cstheme="majorHAnsi"/>
          <w:sz w:val="28"/>
          <w:szCs w:val="28"/>
        </w:rPr>
        <w:t>For primary education, t</w:t>
      </w:r>
      <w:r w:rsidR="00B229DF" w:rsidRPr="005C5E5A">
        <w:rPr>
          <w:rFonts w:asciiTheme="majorHAnsi" w:hAnsiTheme="majorHAnsi" w:cstheme="majorHAnsi"/>
          <w:sz w:val="28"/>
          <w:szCs w:val="28"/>
        </w:rPr>
        <w:t xml:space="preserve">he first group comprises roughly 40% of countries where private </w:t>
      </w:r>
      <w:r w:rsidR="00E6328D" w:rsidRPr="005C5E5A">
        <w:rPr>
          <w:rFonts w:asciiTheme="majorHAnsi" w:hAnsiTheme="majorHAnsi" w:cstheme="majorHAnsi"/>
          <w:sz w:val="28"/>
          <w:szCs w:val="28"/>
        </w:rPr>
        <w:t xml:space="preserve">school </w:t>
      </w:r>
      <w:r w:rsidR="00EB4C2C" w:rsidRPr="005C5E5A">
        <w:rPr>
          <w:rFonts w:asciiTheme="majorHAnsi" w:hAnsiTheme="majorHAnsi" w:cstheme="majorHAnsi"/>
          <w:sz w:val="28"/>
          <w:szCs w:val="28"/>
        </w:rPr>
        <w:t xml:space="preserve">account for </w:t>
      </w:r>
      <w:r w:rsidR="00B229DF" w:rsidRPr="005C5E5A">
        <w:rPr>
          <w:rFonts w:asciiTheme="majorHAnsi" w:hAnsiTheme="majorHAnsi" w:cstheme="majorHAnsi"/>
          <w:sz w:val="28"/>
          <w:szCs w:val="28"/>
        </w:rPr>
        <w:t xml:space="preserve">less than 10% of </w:t>
      </w:r>
      <w:r w:rsidR="00EB4C2C" w:rsidRPr="005C5E5A">
        <w:rPr>
          <w:rFonts w:asciiTheme="majorHAnsi" w:hAnsiTheme="majorHAnsi" w:cstheme="majorHAnsi"/>
          <w:sz w:val="28"/>
          <w:szCs w:val="28"/>
        </w:rPr>
        <w:t xml:space="preserve">total enrolments </w:t>
      </w:r>
      <w:r w:rsidR="00B229DF" w:rsidRPr="005C5E5A">
        <w:rPr>
          <w:rFonts w:asciiTheme="majorHAnsi" w:hAnsiTheme="majorHAnsi" w:cstheme="majorHAnsi"/>
          <w:sz w:val="28"/>
          <w:szCs w:val="28"/>
        </w:rPr>
        <w:t xml:space="preserve">and </w:t>
      </w:r>
      <w:r w:rsidR="00E6328D" w:rsidRPr="005C5E5A">
        <w:rPr>
          <w:rFonts w:asciiTheme="majorHAnsi" w:hAnsiTheme="majorHAnsi" w:cstheme="majorHAnsi"/>
          <w:sz w:val="28"/>
          <w:szCs w:val="28"/>
        </w:rPr>
        <w:t xml:space="preserve">a second group of </w:t>
      </w:r>
      <w:r w:rsidR="00B229DF" w:rsidRPr="005C5E5A">
        <w:rPr>
          <w:rFonts w:asciiTheme="majorHAnsi" w:hAnsiTheme="majorHAnsi" w:cstheme="majorHAnsi"/>
          <w:sz w:val="28"/>
          <w:szCs w:val="28"/>
        </w:rPr>
        <w:t>the remaining 60% of countries</w:t>
      </w:r>
      <w:r w:rsidR="00D840D2" w:rsidRPr="005C5E5A">
        <w:rPr>
          <w:rFonts w:asciiTheme="majorHAnsi" w:hAnsiTheme="majorHAnsi" w:cstheme="majorHAnsi"/>
          <w:sz w:val="28"/>
          <w:szCs w:val="28"/>
        </w:rPr>
        <w:t xml:space="preserve"> where </w:t>
      </w:r>
      <w:r w:rsidRPr="005C5E5A">
        <w:rPr>
          <w:rFonts w:asciiTheme="majorHAnsi" w:hAnsiTheme="majorHAnsi" w:cstheme="majorHAnsi"/>
          <w:sz w:val="28"/>
          <w:szCs w:val="28"/>
        </w:rPr>
        <w:t>private school</w:t>
      </w:r>
      <w:r w:rsidR="00784797" w:rsidRPr="005C5E5A">
        <w:rPr>
          <w:rFonts w:asciiTheme="majorHAnsi" w:hAnsiTheme="majorHAnsi" w:cstheme="majorHAnsi"/>
          <w:sz w:val="28"/>
          <w:szCs w:val="28"/>
        </w:rPr>
        <w:t>s</w:t>
      </w:r>
      <w:r w:rsidRPr="005C5E5A">
        <w:rPr>
          <w:rFonts w:asciiTheme="majorHAnsi" w:hAnsiTheme="majorHAnsi" w:cstheme="majorHAnsi"/>
          <w:sz w:val="28"/>
          <w:szCs w:val="28"/>
        </w:rPr>
        <w:t xml:space="preserve"> account for more than </w:t>
      </w:r>
      <w:r w:rsidR="00D840D2" w:rsidRPr="005C5E5A">
        <w:rPr>
          <w:rFonts w:asciiTheme="majorHAnsi" w:hAnsiTheme="majorHAnsi" w:cstheme="majorHAnsi"/>
          <w:sz w:val="28"/>
          <w:szCs w:val="28"/>
        </w:rPr>
        <w:t>10%</w:t>
      </w:r>
      <w:r w:rsidRPr="005C5E5A">
        <w:rPr>
          <w:rFonts w:asciiTheme="majorHAnsi" w:hAnsiTheme="majorHAnsi" w:cstheme="majorHAnsi"/>
          <w:sz w:val="28"/>
          <w:szCs w:val="28"/>
        </w:rPr>
        <w:t xml:space="preserve"> of primary school enrolments</w:t>
      </w:r>
      <w:r w:rsidR="00B229DF" w:rsidRPr="005C5E5A">
        <w:rPr>
          <w:rFonts w:asciiTheme="majorHAnsi" w:hAnsiTheme="majorHAnsi" w:cstheme="majorHAnsi"/>
          <w:sz w:val="28"/>
          <w:szCs w:val="28"/>
        </w:rPr>
        <w:t xml:space="preserve">. </w:t>
      </w:r>
      <w:r w:rsidR="00325666" w:rsidRPr="005C5E5A">
        <w:rPr>
          <w:rFonts w:asciiTheme="majorHAnsi" w:hAnsiTheme="majorHAnsi" w:cstheme="majorHAnsi"/>
          <w:sz w:val="28"/>
          <w:szCs w:val="28"/>
        </w:rPr>
        <w:t xml:space="preserve">Figure </w:t>
      </w:r>
      <w:r w:rsidRPr="005C5E5A">
        <w:rPr>
          <w:rFonts w:asciiTheme="majorHAnsi" w:hAnsiTheme="majorHAnsi" w:cstheme="majorHAnsi"/>
          <w:sz w:val="28"/>
          <w:szCs w:val="28"/>
        </w:rPr>
        <w:t>1</w:t>
      </w:r>
      <w:r w:rsidR="004824C4" w:rsidRPr="005C5E5A">
        <w:rPr>
          <w:rFonts w:asciiTheme="majorHAnsi" w:hAnsiTheme="majorHAnsi" w:cstheme="majorHAnsi"/>
          <w:sz w:val="28"/>
          <w:szCs w:val="28"/>
        </w:rPr>
        <w:t xml:space="preserve"> and </w:t>
      </w:r>
      <w:r w:rsidR="00784797" w:rsidRPr="005C5E5A">
        <w:rPr>
          <w:rFonts w:asciiTheme="majorHAnsi" w:hAnsiTheme="majorHAnsi" w:cstheme="majorHAnsi"/>
          <w:sz w:val="28"/>
          <w:szCs w:val="28"/>
        </w:rPr>
        <w:t xml:space="preserve">Table </w:t>
      </w:r>
      <w:r w:rsidR="003A735C">
        <w:rPr>
          <w:rFonts w:asciiTheme="majorHAnsi" w:hAnsiTheme="majorHAnsi" w:cstheme="majorHAnsi"/>
          <w:sz w:val="28"/>
          <w:szCs w:val="28"/>
        </w:rPr>
        <w:t>2</w:t>
      </w:r>
      <w:r w:rsidR="004824C4" w:rsidRPr="005C5E5A">
        <w:rPr>
          <w:rFonts w:asciiTheme="majorHAnsi" w:hAnsiTheme="majorHAnsi" w:cstheme="majorHAnsi"/>
          <w:sz w:val="28"/>
          <w:szCs w:val="28"/>
        </w:rPr>
        <w:t xml:space="preserve"> </w:t>
      </w:r>
      <w:r w:rsidRPr="005C5E5A">
        <w:rPr>
          <w:rFonts w:asciiTheme="majorHAnsi" w:hAnsiTheme="majorHAnsi" w:cstheme="majorHAnsi"/>
          <w:sz w:val="28"/>
          <w:szCs w:val="28"/>
        </w:rPr>
        <w:t>show that t</w:t>
      </w:r>
      <w:r w:rsidR="00B229DF" w:rsidRPr="005C5E5A">
        <w:rPr>
          <w:rFonts w:asciiTheme="majorHAnsi" w:hAnsiTheme="majorHAnsi" w:cstheme="majorHAnsi"/>
          <w:sz w:val="28"/>
          <w:szCs w:val="28"/>
        </w:rPr>
        <w:t>he</w:t>
      </w:r>
      <w:r w:rsidRPr="005C5E5A">
        <w:rPr>
          <w:rFonts w:asciiTheme="majorHAnsi" w:hAnsiTheme="majorHAnsi" w:cstheme="majorHAnsi"/>
          <w:sz w:val="28"/>
          <w:szCs w:val="28"/>
        </w:rPr>
        <w:t xml:space="preserve"> countries in the </w:t>
      </w:r>
      <w:r w:rsidR="00D840D2" w:rsidRPr="005C5E5A">
        <w:rPr>
          <w:rFonts w:asciiTheme="majorHAnsi" w:hAnsiTheme="majorHAnsi" w:cstheme="majorHAnsi"/>
          <w:sz w:val="28"/>
          <w:szCs w:val="28"/>
        </w:rPr>
        <w:t>low incidence group are mainly A</w:t>
      </w:r>
      <w:r w:rsidRPr="005C5E5A">
        <w:rPr>
          <w:rFonts w:asciiTheme="majorHAnsi" w:hAnsiTheme="majorHAnsi" w:cstheme="majorHAnsi"/>
          <w:sz w:val="28"/>
          <w:szCs w:val="28"/>
        </w:rPr>
        <w:t>nglophone</w:t>
      </w:r>
      <w:r w:rsidR="009C713B" w:rsidRPr="005C5E5A">
        <w:rPr>
          <w:rFonts w:asciiTheme="majorHAnsi" w:hAnsiTheme="majorHAnsi" w:cstheme="majorHAnsi"/>
          <w:sz w:val="28"/>
          <w:szCs w:val="28"/>
        </w:rPr>
        <w:t xml:space="preserve">, are </w:t>
      </w:r>
      <w:r w:rsidR="00505207">
        <w:rPr>
          <w:rFonts w:asciiTheme="majorHAnsi" w:hAnsiTheme="majorHAnsi" w:cstheme="majorHAnsi"/>
          <w:sz w:val="28"/>
          <w:szCs w:val="28"/>
        </w:rPr>
        <w:t xml:space="preserve">located </w:t>
      </w:r>
      <w:r w:rsidR="008B596B" w:rsidRPr="005C5E5A">
        <w:rPr>
          <w:rFonts w:asciiTheme="majorHAnsi" w:hAnsiTheme="majorHAnsi" w:cstheme="majorHAnsi"/>
          <w:sz w:val="28"/>
          <w:szCs w:val="28"/>
        </w:rPr>
        <w:t>i</w:t>
      </w:r>
      <w:r w:rsidR="00D840D2" w:rsidRPr="005C5E5A">
        <w:rPr>
          <w:rFonts w:asciiTheme="majorHAnsi" w:hAnsiTheme="majorHAnsi" w:cstheme="majorHAnsi"/>
          <w:sz w:val="28"/>
          <w:szCs w:val="28"/>
        </w:rPr>
        <w:t xml:space="preserve">n East, Central and Southern Africa </w:t>
      </w:r>
      <w:r w:rsidR="008B596B" w:rsidRPr="005C5E5A">
        <w:rPr>
          <w:rFonts w:asciiTheme="majorHAnsi" w:hAnsiTheme="majorHAnsi" w:cstheme="majorHAnsi"/>
          <w:sz w:val="28"/>
          <w:szCs w:val="28"/>
        </w:rPr>
        <w:t xml:space="preserve">and </w:t>
      </w:r>
      <w:r w:rsidR="00505207">
        <w:rPr>
          <w:rFonts w:asciiTheme="majorHAnsi" w:hAnsiTheme="majorHAnsi" w:cstheme="majorHAnsi"/>
          <w:sz w:val="28"/>
          <w:szCs w:val="28"/>
        </w:rPr>
        <w:t xml:space="preserve">have </w:t>
      </w:r>
      <w:r w:rsidR="009C713B" w:rsidRPr="005C5E5A">
        <w:rPr>
          <w:rFonts w:asciiTheme="majorHAnsi" w:hAnsiTheme="majorHAnsi" w:cstheme="majorHAnsi"/>
          <w:sz w:val="28"/>
          <w:szCs w:val="28"/>
        </w:rPr>
        <w:t>stable</w:t>
      </w:r>
      <w:r w:rsidRPr="005C5E5A">
        <w:rPr>
          <w:rFonts w:asciiTheme="majorHAnsi" w:hAnsiTheme="majorHAnsi" w:cstheme="majorHAnsi"/>
          <w:sz w:val="28"/>
          <w:szCs w:val="28"/>
        </w:rPr>
        <w:t xml:space="preserve">, relatively strong states </w:t>
      </w:r>
      <w:r w:rsidR="009C713B" w:rsidRPr="005C5E5A">
        <w:rPr>
          <w:rFonts w:asciiTheme="majorHAnsi" w:hAnsiTheme="majorHAnsi" w:cstheme="majorHAnsi"/>
          <w:sz w:val="28"/>
          <w:szCs w:val="28"/>
        </w:rPr>
        <w:t>with limited conflict</w:t>
      </w:r>
      <w:r w:rsidRPr="005C5E5A">
        <w:rPr>
          <w:rFonts w:asciiTheme="majorHAnsi" w:hAnsiTheme="majorHAnsi" w:cstheme="majorHAnsi"/>
          <w:sz w:val="28"/>
          <w:szCs w:val="28"/>
        </w:rPr>
        <w:t xml:space="preserve"> while t</w:t>
      </w:r>
      <w:r w:rsidR="00D840D2" w:rsidRPr="005C5E5A">
        <w:rPr>
          <w:rFonts w:asciiTheme="majorHAnsi" w:hAnsiTheme="majorHAnsi" w:cstheme="majorHAnsi"/>
          <w:sz w:val="28"/>
          <w:szCs w:val="28"/>
        </w:rPr>
        <w:t xml:space="preserve">he </w:t>
      </w:r>
      <w:r w:rsidR="009C713B" w:rsidRPr="005C5E5A">
        <w:rPr>
          <w:rFonts w:asciiTheme="majorHAnsi" w:hAnsiTheme="majorHAnsi" w:cstheme="majorHAnsi"/>
          <w:sz w:val="28"/>
          <w:szCs w:val="28"/>
        </w:rPr>
        <w:t>medium-</w:t>
      </w:r>
      <w:r w:rsidR="00D840D2" w:rsidRPr="005C5E5A">
        <w:rPr>
          <w:rFonts w:asciiTheme="majorHAnsi" w:hAnsiTheme="majorHAnsi" w:cstheme="majorHAnsi"/>
          <w:sz w:val="28"/>
          <w:szCs w:val="28"/>
        </w:rPr>
        <w:t xml:space="preserve">high incidence group </w:t>
      </w:r>
      <w:r w:rsidR="008B596B" w:rsidRPr="005C5E5A">
        <w:rPr>
          <w:rFonts w:asciiTheme="majorHAnsi" w:hAnsiTheme="majorHAnsi" w:cstheme="majorHAnsi"/>
          <w:sz w:val="28"/>
          <w:szCs w:val="28"/>
        </w:rPr>
        <w:t xml:space="preserve">of countries </w:t>
      </w:r>
      <w:r w:rsidR="00505207">
        <w:rPr>
          <w:rFonts w:asciiTheme="majorHAnsi" w:hAnsiTheme="majorHAnsi" w:cstheme="majorHAnsi"/>
          <w:sz w:val="28"/>
          <w:szCs w:val="28"/>
        </w:rPr>
        <w:t xml:space="preserve">is </w:t>
      </w:r>
      <w:r w:rsidR="00D840D2" w:rsidRPr="005C5E5A">
        <w:rPr>
          <w:rFonts w:asciiTheme="majorHAnsi" w:hAnsiTheme="majorHAnsi" w:cstheme="majorHAnsi"/>
          <w:sz w:val="28"/>
          <w:szCs w:val="28"/>
        </w:rPr>
        <w:t xml:space="preserve">predominantly francophone, </w:t>
      </w:r>
      <w:r w:rsidR="009C713B" w:rsidRPr="005C5E5A">
        <w:rPr>
          <w:rFonts w:asciiTheme="majorHAnsi" w:hAnsiTheme="majorHAnsi" w:cstheme="majorHAnsi"/>
          <w:sz w:val="28"/>
          <w:szCs w:val="28"/>
        </w:rPr>
        <w:t xml:space="preserve">located </w:t>
      </w:r>
      <w:r w:rsidR="00D840D2" w:rsidRPr="005C5E5A">
        <w:rPr>
          <w:rFonts w:asciiTheme="majorHAnsi" w:hAnsiTheme="majorHAnsi" w:cstheme="majorHAnsi"/>
          <w:sz w:val="28"/>
          <w:szCs w:val="28"/>
        </w:rPr>
        <w:t>in west and central and Africa and are ‘fragile and conflict affected’</w:t>
      </w:r>
      <w:r w:rsidR="00D840D2">
        <w:rPr>
          <w:sz w:val="28"/>
          <w:szCs w:val="28"/>
        </w:rPr>
        <w:t xml:space="preserve">. </w:t>
      </w:r>
    </w:p>
    <w:p w:rsidR="00CA1059" w:rsidRPr="005C5E5A" w:rsidRDefault="00784797" w:rsidP="001B7F09">
      <w:pPr>
        <w:jc w:val="both"/>
        <w:rPr>
          <w:rFonts w:asciiTheme="majorHAnsi" w:hAnsiTheme="majorHAnsi" w:cstheme="majorHAnsi"/>
          <w:sz w:val="28"/>
          <w:szCs w:val="28"/>
        </w:rPr>
      </w:pPr>
      <w:r w:rsidRPr="005C5E5A">
        <w:rPr>
          <w:rFonts w:asciiTheme="majorHAnsi" w:hAnsiTheme="majorHAnsi" w:cstheme="majorHAnsi"/>
          <w:sz w:val="28"/>
          <w:szCs w:val="28"/>
        </w:rPr>
        <w:t xml:space="preserve">A </w:t>
      </w:r>
      <w:r w:rsidR="00D840D2" w:rsidRPr="005C5E5A">
        <w:rPr>
          <w:rFonts w:asciiTheme="majorHAnsi" w:hAnsiTheme="majorHAnsi" w:cstheme="majorHAnsi"/>
          <w:sz w:val="28"/>
          <w:szCs w:val="28"/>
        </w:rPr>
        <w:t xml:space="preserve">similar </w:t>
      </w:r>
      <w:r w:rsidR="009C713B" w:rsidRPr="005C5E5A">
        <w:rPr>
          <w:rFonts w:asciiTheme="majorHAnsi" w:hAnsiTheme="majorHAnsi" w:cstheme="majorHAnsi"/>
          <w:sz w:val="28"/>
          <w:szCs w:val="28"/>
        </w:rPr>
        <w:t xml:space="preserve">dichotomous </w:t>
      </w:r>
      <w:r w:rsidR="00325666" w:rsidRPr="005C5E5A">
        <w:rPr>
          <w:rFonts w:asciiTheme="majorHAnsi" w:hAnsiTheme="majorHAnsi" w:cstheme="majorHAnsi"/>
          <w:sz w:val="28"/>
          <w:szCs w:val="28"/>
        </w:rPr>
        <w:t xml:space="preserve">country </w:t>
      </w:r>
      <w:r w:rsidR="009C713B" w:rsidRPr="005C5E5A">
        <w:rPr>
          <w:rFonts w:asciiTheme="majorHAnsi" w:hAnsiTheme="majorHAnsi" w:cstheme="majorHAnsi"/>
          <w:sz w:val="28"/>
          <w:szCs w:val="28"/>
        </w:rPr>
        <w:t xml:space="preserve">incidence </w:t>
      </w:r>
      <w:r w:rsidR="00D840D2" w:rsidRPr="005C5E5A">
        <w:rPr>
          <w:rFonts w:asciiTheme="majorHAnsi" w:hAnsiTheme="majorHAnsi" w:cstheme="majorHAnsi"/>
          <w:sz w:val="28"/>
          <w:szCs w:val="28"/>
        </w:rPr>
        <w:t xml:space="preserve">pattern exists for private secondary schooling except </w:t>
      </w:r>
      <w:r w:rsidR="009C713B" w:rsidRPr="005C5E5A">
        <w:rPr>
          <w:rFonts w:asciiTheme="majorHAnsi" w:hAnsiTheme="majorHAnsi" w:cstheme="majorHAnsi"/>
          <w:sz w:val="28"/>
          <w:szCs w:val="28"/>
        </w:rPr>
        <w:t xml:space="preserve">a more appropriate </w:t>
      </w:r>
      <w:r w:rsidR="00D840D2" w:rsidRPr="005C5E5A">
        <w:rPr>
          <w:rFonts w:asciiTheme="majorHAnsi" w:hAnsiTheme="majorHAnsi" w:cstheme="majorHAnsi"/>
          <w:sz w:val="28"/>
          <w:szCs w:val="28"/>
        </w:rPr>
        <w:t xml:space="preserve">dividing line between the low and medium-high incidence groups is </w:t>
      </w:r>
      <w:r w:rsidR="00325666" w:rsidRPr="005C5E5A">
        <w:rPr>
          <w:rFonts w:asciiTheme="majorHAnsi" w:hAnsiTheme="majorHAnsi" w:cstheme="majorHAnsi"/>
          <w:sz w:val="28"/>
          <w:szCs w:val="28"/>
        </w:rPr>
        <w:t xml:space="preserve">a </w:t>
      </w:r>
      <w:r w:rsidRPr="005C5E5A">
        <w:rPr>
          <w:rFonts w:asciiTheme="majorHAnsi" w:hAnsiTheme="majorHAnsi" w:cstheme="majorHAnsi"/>
          <w:sz w:val="28"/>
          <w:szCs w:val="28"/>
        </w:rPr>
        <w:t xml:space="preserve">national </w:t>
      </w:r>
      <w:r w:rsidR="00325666" w:rsidRPr="005C5E5A">
        <w:rPr>
          <w:rFonts w:asciiTheme="majorHAnsi" w:hAnsiTheme="majorHAnsi" w:cstheme="majorHAnsi"/>
          <w:sz w:val="28"/>
          <w:szCs w:val="28"/>
        </w:rPr>
        <w:t xml:space="preserve">private school enrolment rate of </w:t>
      </w:r>
      <w:r w:rsidR="00D840D2" w:rsidRPr="005C5E5A">
        <w:rPr>
          <w:rFonts w:asciiTheme="majorHAnsi" w:hAnsiTheme="majorHAnsi" w:cstheme="majorHAnsi"/>
          <w:sz w:val="28"/>
          <w:szCs w:val="28"/>
        </w:rPr>
        <w:t>15%</w:t>
      </w:r>
      <w:r w:rsidR="00325666" w:rsidRPr="005C5E5A">
        <w:rPr>
          <w:rFonts w:asciiTheme="majorHAnsi" w:hAnsiTheme="majorHAnsi" w:cstheme="majorHAnsi"/>
          <w:sz w:val="28"/>
          <w:szCs w:val="28"/>
        </w:rPr>
        <w:t xml:space="preserve"> (see Figure 2)</w:t>
      </w:r>
      <w:r w:rsidR="00D840D2" w:rsidRPr="005C5E5A">
        <w:rPr>
          <w:rFonts w:asciiTheme="majorHAnsi" w:hAnsiTheme="majorHAnsi" w:cstheme="majorHAnsi"/>
          <w:sz w:val="28"/>
          <w:szCs w:val="28"/>
        </w:rPr>
        <w:t xml:space="preserve">.  </w:t>
      </w:r>
      <w:r w:rsidR="00B229DF" w:rsidRPr="005C5E5A">
        <w:rPr>
          <w:rFonts w:asciiTheme="majorHAnsi" w:hAnsiTheme="majorHAnsi" w:cstheme="majorHAnsi"/>
          <w:sz w:val="28"/>
          <w:szCs w:val="28"/>
        </w:rPr>
        <w:t xml:space="preserve"> </w:t>
      </w:r>
    </w:p>
    <w:p w:rsidR="00CA1059" w:rsidRPr="005C5E5A" w:rsidRDefault="00CA1059" w:rsidP="001B7F09">
      <w:pPr>
        <w:jc w:val="both"/>
        <w:rPr>
          <w:rFonts w:asciiTheme="majorHAnsi" w:hAnsiTheme="majorHAnsi" w:cstheme="majorHAnsi"/>
          <w:sz w:val="28"/>
          <w:szCs w:val="28"/>
        </w:rPr>
      </w:pPr>
      <w:r w:rsidRPr="005C5E5A">
        <w:rPr>
          <w:rFonts w:asciiTheme="majorHAnsi" w:hAnsiTheme="majorHAnsi" w:cstheme="majorHAnsi"/>
          <w:sz w:val="28"/>
          <w:szCs w:val="28"/>
        </w:rPr>
        <w:t xml:space="preserve">The standard </w:t>
      </w:r>
      <w:r w:rsidR="006B779E" w:rsidRPr="005C5E5A">
        <w:rPr>
          <w:rFonts w:asciiTheme="majorHAnsi" w:hAnsiTheme="majorHAnsi" w:cstheme="majorHAnsi"/>
          <w:sz w:val="28"/>
          <w:szCs w:val="28"/>
        </w:rPr>
        <w:t xml:space="preserve">narrative </w:t>
      </w:r>
      <w:r w:rsidR="00A15396" w:rsidRPr="005C5E5A">
        <w:rPr>
          <w:rFonts w:asciiTheme="majorHAnsi" w:hAnsiTheme="majorHAnsi" w:cstheme="majorHAnsi"/>
          <w:sz w:val="28"/>
          <w:szCs w:val="28"/>
        </w:rPr>
        <w:t xml:space="preserve">offered by PSP </w:t>
      </w:r>
      <w:r w:rsidR="006B779E" w:rsidRPr="005C5E5A">
        <w:rPr>
          <w:rFonts w:asciiTheme="majorHAnsi" w:hAnsiTheme="majorHAnsi" w:cstheme="majorHAnsi"/>
          <w:sz w:val="28"/>
          <w:szCs w:val="28"/>
        </w:rPr>
        <w:t xml:space="preserve">advocates </w:t>
      </w:r>
      <w:r w:rsidR="00107064" w:rsidRPr="005C5E5A">
        <w:rPr>
          <w:rFonts w:asciiTheme="majorHAnsi" w:hAnsiTheme="majorHAnsi" w:cstheme="majorHAnsi"/>
          <w:sz w:val="28"/>
          <w:szCs w:val="28"/>
        </w:rPr>
        <w:t>is of little help in explaining how this particular geograph</w:t>
      </w:r>
      <w:r w:rsidR="00922CD8">
        <w:rPr>
          <w:rFonts w:asciiTheme="majorHAnsi" w:hAnsiTheme="majorHAnsi" w:cstheme="majorHAnsi"/>
          <w:sz w:val="28"/>
          <w:szCs w:val="28"/>
        </w:rPr>
        <w:t>ical pattern of PSP has emerged</w:t>
      </w:r>
      <w:r w:rsidR="00107064" w:rsidRPr="005C5E5A">
        <w:rPr>
          <w:rFonts w:asciiTheme="majorHAnsi" w:hAnsiTheme="majorHAnsi" w:cstheme="majorHAnsi"/>
          <w:sz w:val="28"/>
          <w:szCs w:val="28"/>
        </w:rPr>
        <w:t>. This is because it focuses in a very general</w:t>
      </w:r>
      <w:r w:rsidR="006B779E" w:rsidRPr="005C5E5A">
        <w:rPr>
          <w:rFonts w:asciiTheme="majorHAnsi" w:hAnsiTheme="majorHAnsi" w:cstheme="majorHAnsi"/>
          <w:sz w:val="28"/>
          <w:szCs w:val="28"/>
        </w:rPr>
        <w:t>, ahistorical</w:t>
      </w:r>
      <w:r w:rsidR="00107064" w:rsidRPr="005C5E5A">
        <w:rPr>
          <w:rFonts w:asciiTheme="majorHAnsi" w:hAnsiTheme="majorHAnsi" w:cstheme="majorHAnsi"/>
          <w:sz w:val="28"/>
          <w:szCs w:val="28"/>
        </w:rPr>
        <w:t xml:space="preserve"> and geographically non-specific way on </w:t>
      </w:r>
      <w:r w:rsidR="00922CD8">
        <w:rPr>
          <w:rFonts w:asciiTheme="majorHAnsi" w:hAnsiTheme="majorHAnsi" w:cstheme="majorHAnsi"/>
          <w:sz w:val="28"/>
          <w:szCs w:val="28"/>
        </w:rPr>
        <w:t xml:space="preserve">how </w:t>
      </w:r>
      <w:r w:rsidRPr="005C5E5A">
        <w:rPr>
          <w:rFonts w:asciiTheme="majorHAnsi" w:hAnsiTheme="majorHAnsi" w:cstheme="majorHAnsi"/>
          <w:sz w:val="28"/>
          <w:szCs w:val="28"/>
        </w:rPr>
        <w:t>low and</w:t>
      </w:r>
      <w:r w:rsidR="00922CD8">
        <w:rPr>
          <w:rFonts w:asciiTheme="majorHAnsi" w:hAnsiTheme="majorHAnsi" w:cstheme="majorHAnsi"/>
          <w:sz w:val="28"/>
          <w:szCs w:val="28"/>
        </w:rPr>
        <w:t>, in some instances,</w:t>
      </w:r>
      <w:r w:rsidRPr="005C5E5A">
        <w:rPr>
          <w:rFonts w:asciiTheme="majorHAnsi" w:hAnsiTheme="majorHAnsi" w:cstheme="majorHAnsi"/>
          <w:sz w:val="28"/>
          <w:szCs w:val="28"/>
        </w:rPr>
        <w:t xml:space="preserve"> declining standards in government primary and secondary schools </w:t>
      </w:r>
      <w:r w:rsidR="00A15396" w:rsidRPr="005C5E5A">
        <w:rPr>
          <w:rFonts w:asciiTheme="majorHAnsi" w:hAnsiTheme="majorHAnsi" w:cstheme="majorHAnsi"/>
          <w:sz w:val="28"/>
          <w:szCs w:val="28"/>
        </w:rPr>
        <w:t xml:space="preserve">have been </w:t>
      </w:r>
      <w:r w:rsidR="00107064" w:rsidRPr="005C5E5A">
        <w:rPr>
          <w:rFonts w:asciiTheme="majorHAnsi" w:hAnsiTheme="majorHAnsi" w:cstheme="majorHAnsi"/>
          <w:sz w:val="28"/>
          <w:szCs w:val="28"/>
        </w:rPr>
        <w:t xml:space="preserve">the principal reason for </w:t>
      </w:r>
      <w:r w:rsidRPr="005C5E5A">
        <w:rPr>
          <w:rFonts w:asciiTheme="majorHAnsi" w:hAnsiTheme="majorHAnsi" w:cstheme="majorHAnsi"/>
          <w:sz w:val="28"/>
          <w:szCs w:val="28"/>
        </w:rPr>
        <w:t>growing numbers of parents</w:t>
      </w:r>
      <w:r w:rsidR="00107064" w:rsidRPr="005C5E5A">
        <w:rPr>
          <w:rFonts w:asciiTheme="majorHAnsi" w:hAnsiTheme="majorHAnsi" w:cstheme="majorHAnsi"/>
          <w:sz w:val="28"/>
          <w:szCs w:val="28"/>
        </w:rPr>
        <w:t xml:space="preserve"> </w:t>
      </w:r>
      <w:r w:rsidRPr="005C5E5A">
        <w:rPr>
          <w:rFonts w:asciiTheme="majorHAnsi" w:hAnsiTheme="majorHAnsi" w:cstheme="majorHAnsi"/>
          <w:sz w:val="28"/>
          <w:szCs w:val="28"/>
        </w:rPr>
        <w:t>choosing to send their children to private schools. The introduction of UPE coupled with the abolition of school fees led to a surge in enrolments in many countries. Schools and classrooms became seriously overcrowded and already low learning outcomes declined even further.</w:t>
      </w:r>
      <w:r w:rsidR="00211BAA" w:rsidRPr="005C5E5A">
        <w:rPr>
          <w:rFonts w:asciiTheme="majorHAnsi" w:hAnsiTheme="majorHAnsi" w:cstheme="majorHAnsi"/>
          <w:sz w:val="28"/>
          <w:szCs w:val="28"/>
        </w:rPr>
        <w:t xml:space="preserve"> </w:t>
      </w:r>
      <w:r w:rsidR="00F213CD" w:rsidRPr="005C5E5A">
        <w:rPr>
          <w:rFonts w:asciiTheme="majorHAnsi" w:hAnsiTheme="majorHAnsi" w:cstheme="majorHAnsi"/>
          <w:sz w:val="28"/>
          <w:szCs w:val="28"/>
        </w:rPr>
        <w:t xml:space="preserve">Faced with this situation, parents who were able to </w:t>
      </w:r>
      <w:r w:rsidRPr="005C5E5A">
        <w:rPr>
          <w:rFonts w:asciiTheme="majorHAnsi" w:hAnsiTheme="majorHAnsi" w:cstheme="majorHAnsi"/>
          <w:sz w:val="28"/>
          <w:szCs w:val="28"/>
        </w:rPr>
        <w:t>do so, have opted to educate their children at</w:t>
      </w:r>
      <w:r w:rsidR="00211BAA" w:rsidRPr="005C5E5A">
        <w:rPr>
          <w:rFonts w:asciiTheme="majorHAnsi" w:hAnsiTheme="majorHAnsi" w:cstheme="majorHAnsi"/>
          <w:sz w:val="28"/>
          <w:szCs w:val="28"/>
        </w:rPr>
        <w:t xml:space="preserve"> low-cost private schools. As noted above, in m</w:t>
      </w:r>
      <w:r w:rsidR="006B779E" w:rsidRPr="005C5E5A">
        <w:rPr>
          <w:rFonts w:asciiTheme="majorHAnsi" w:hAnsiTheme="majorHAnsi" w:cstheme="majorHAnsi"/>
          <w:sz w:val="28"/>
          <w:szCs w:val="28"/>
        </w:rPr>
        <w:t xml:space="preserve">ost </w:t>
      </w:r>
      <w:r w:rsidR="00211BAA" w:rsidRPr="005C5E5A">
        <w:rPr>
          <w:rFonts w:asciiTheme="majorHAnsi" w:hAnsiTheme="majorHAnsi" w:cstheme="majorHAnsi"/>
          <w:sz w:val="28"/>
          <w:szCs w:val="28"/>
        </w:rPr>
        <w:t>countries</w:t>
      </w:r>
      <w:r w:rsidR="006B779E" w:rsidRPr="005C5E5A">
        <w:rPr>
          <w:rFonts w:asciiTheme="majorHAnsi" w:hAnsiTheme="majorHAnsi" w:cstheme="majorHAnsi"/>
          <w:sz w:val="28"/>
          <w:szCs w:val="28"/>
        </w:rPr>
        <w:t xml:space="preserve"> in SSA</w:t>
      </w:r>
      <w:r w:rsidR="00107064" w:rsidRPr="005C5E5A">
        <w:rPr>
          <w:rFonts w:asciiTheme="majorHAnsi" w:hAnsiTheme="majorHAnsi" w:cstheme="majorHAnsi"/>
          <w:sz w:val="28"/>
          <w:szCs w:val="28"/>
        </w:rPr>
        <w:t xml:space="preserve">, </w:t>
      </w:r>
      <w:r w:rsidR="006B779E" w:rsidRPr="005C5E5A">
        <w:rPr>
          <w:rFonts w:asciiTheme="majorHAnsi" w:hAnsiTheme="majorHAnsi" w:cstheme="majorHAnsi"/>
          <w:sz w:val="28"/>
          <w:szCs w:val="28"/>
        </w:rPr>
        <w:t xml:space="preserve">most </w:t>
      </w:r>
      <w:r w:rsidR="00107064" w:rsidRPr="005C5E5A">
        <w:rPr>
          <w:rFonts w:asciiTheme="majorHAnsi" w:hAnsiTheme="majorHAnsi" w:cstheme="majorHAnsi"/>
          <w:sz w:val="28"/>
          <w:szCs w:val="28"/>
        </w:rPr>
        <w:t xml:space="preserve">parents </w:t>
      </w:r>
      <w:r w:rsidR="00211BAA" w:rsidRPr="005C5E5A">
        <w:rPr>
          <w:rFonts w:asciiTheme="majorHAnsi" w:hAnsiTheme="majorHAnsi" w:cstheme="majorHAnsi"/>
          <w:sz w:val="28"/>
          <w:szCs w:val="28"/>
        </w:rPr>
        <w:t xml:space="preserve">were already paying tuition and other fees in order for their children to attend government schools, so the notion of paying for schooling was already </w:t>
      </w:r>
      <w:r w:rsidR="00107064" w:rsidRPr="005C5E5A">
        <w:rPr>
          <w:rFonts w:asciiTheme="majorHAnsi" w:hAnsiTheme="majorHAnsi" w:cstheme="majorHAnsi"/>
          <w:sz w:val="28"/>
          <w:szCs w:val="28"/>
        </w:rPr>
        <w:t>well established in most communities</w:t>
      </w:r>
      <w:r w:rsidR="007210BD" w:rsidRPr="005C5E5A">
        <w:rPr>
          <w:rFonts w:asciiTheme="majorHAnsi" w:hAnsiTheme="majorHAnsi" w:cstheme="majorHAnsi"/>
          <w:sz w:val="28"/>
          <w:szCs w:val="28"/>
        </w:rPr>
        <w:t xml:space="preserve">. </w:t>
      </w:r>
      <w:r w:rsidRPr="005C5E5A">
        <w:rPr>
          <w:rFonts w:asciiTheme="majorHAnsi" w:hAnsiTheme="majorHAnsi" w:cstheme="majorHAnsi"/>
          <w:sz w:val="28"/>
          <w:szCs w:val="28"/>
        </w:rPr>
        <w:t xml:space="preserve"> </w:t>
      </w:r>
    </w:p>
    <w:p w:rsidR="00A15396" w:rsidRPr="005C5E5A" w:rsidRDefault="00107064" w:rsidP="001B7F09">
      <w:pPr>
        <w:jc w:val="both"/>
        <w:rPr>
          <w:rFonts w:asciiTheme="majorHAnsi" w:hAnsiTheme="majorHAnsi" w:cstheme="majorHAnsi"/>
          <w:sz w:val="28"/>
          <w:szCs w:val="28"/>
        </w:rPr>
      </w:pPr>
      <w:r w:rsidRPr="005C5E5A">
        <w:rPr>
          <w:rFonts w:asciiTheme="majorHAnsi" w:hAnsiTheme="majorHAnsi" w:cstheme="majorHAnsi"/>
          <w:sz w:val="28"/>
          <w:szCs w:val="28"/>
        </w:rPr>
        <w:t xml:space="preserve">This explanation </w:t>
      </w:r>
      <w:r w:rsidR="00957633" w:rsidRPr="005C5E5A">
        <w:rPr>
          <w:rFonts w:asciiTheme="majorHAnsi" w:hAnsiTheme="majorHAnsi" w:cstheme="majorHAnsi"/>
          <w:sz w:val="28"/>
          <w:szCs w:val="28"/>
        </w:rPr>
        <w:t xml:space="preserve">holds </w:t>
      </w:r>
      <w:r w:rsidRPr="005C5E5A">
        <w:rPr>
          <w:rFonts w:asciiTheme="majorHAnsi" w:hAnsiTheme="majorHAnsi" w:cstheme="majorHAnsi"/>
          <w:sz w:val="28"/>
          <w:szCs w:val="28"/>
        </w:rPr>
        <w:t xml:space="preserve">for established urban communities where </w:t>
      </w:r>
      <w:r w:rsidR="00957633" w:rsidRPr="005C5E5A">
        <w:rPr>
          <w:rFonts w:asciiTheme="majorHAnsi" w:hAnsiTheme="majorHAnsi" w:cstheme="majorHAnsi"/>
          <w:sz w:val="28"/>
          <w:szCs w:val="28"/>
        </w:rPr>
        <w:t>networks of government primary and secondary schools are well established and where, therefore, sufficient enrolment capacity exists f</w:t>
      </w:r>
      <w:r w:rsidR="00922CD8">
        <w:rPr>
          <w:rFonts w:asciiTheme="majorHAnsi" w:hAnsiTheme="majorHAnsi" w:cstheme="majorHAnsi"/>
          <w:sz w:val="28"/>
          <w:szCs w:val="28"/>
        </w:rPr>
        <w:t>or most children</w:t>
      </w:r>
      <w:r w:rsidR="00957633" w:rsidRPr="005C5E5A">
        <w:rPr>
          <w:rFonts w:asciiTheme="majorHAnsi" w:hAnsiTheme="majorHAnsi" w:cstheme="majorHAnsi"/>
          <w:sz w:val="28"/>
          <w:szCs w:val="28"/>
        </w:rPr>
        <w:t xml:space="preserve"> to be enrolled. However, it has been the relatively limited government school enrolment capacity in many urban areas in SSA and particularly burgeoning urban slums that has obliged parents to send their children to low-cost private schools which have been established in these under-provided for areas. Since almost of the research on PS</w:t>
      </w:r>
      <w:r w:rsidR="00A15396" w:rsidRPr="005C5E5A">
        <w:rPr>
          <w:rFonts w:asciiTheme="majorHAnsi" w:hAnsiTheme="majorHAnsi" w:cstheme="majorHAnsi"/>
          <w:sz w:val="28"/>
          <w:szCs w:val="28"/>
        </w:rPr>
        <w:t>P</w:t>
      </w:r>
      <w:r w:rsidR="006B779E" w:rsidRPr="005C5E5A">
        <w:rPr>
          <w:rFonts w:asciiTheme="majorHAnsi" w:hAnsiTheme="majorHAnsi" w:cstheme="majorHAnsi"/>
          <w:sz w:val="28"/>
          <w:szCs w:val="28"/>
        </w:rPr>
        <w:t xml:space="preserve"> has been conducted in </w:t>
      </w:r>
      <w:r w:rsidR="00957633" w:rsidRPr="005C5E5A">
        <w:rPr>
          <w:rFonts w:asciiTheme="majorHAnsi" w:hAnsiTheme="majorHAnsi" w:cstheme="majorHAnsi"/>
          <w:sz w:val="28"/>
          <w:szCs w:val="28"/>
        </w:rPr>
        <w:t>slums</w:t>
      </w:r>
      <w:r w:rsidR="00A15396" w:rsidRPr="005C5E5A">
        <w:rPr>
          <w:rFonts w:asciiTheme="majorHAnsi" w:hAnsiTheme="majorHAnsi" w:cstheme="majorHAnsi"/>
          <w:sz w:val="28"/>
          <w:szCs w:val="28"/>
        </w:rPr>
        <w:t xml:space="preserve"> in capital </w:t>
      </w:r>
      <w:r w:rsidR="006B779E" w:rsidRPr="005C5E5A">
        <w:rPr>
          <w:rFonts w:asciiTheme="majorHAnsi" w:hAnsiTheme="majorHAnsi" w:cstheme="majorHAnsi"/>
          <w:sz w:val="28"/>
          <w:szCs w:val="28"/>
        </w:rPr>
        <w:t>cit</w:t>
      </w:r>
      <w:r w:rsidR="00922CD8">
        <w:rPr>
          <w:rFonts w:asciiTheme="majorHAnsi" w:hAnsiTheme="majorHAnsi" w:cstheme="majorHAnsi"/>
          <w:sz w:val="28"/>
          <w:szCs w:val="28"/>
        </w:rPr>
        <w:t>ies</w:t>
      </w:r>
      <w:r w:rsidR="00A15396" w:rsidRPr="005C5E5A">
        <w:rPr>
          <w:rFonts w:asciiTheme="majorHAnsi" w:hAnsiTheme="majorHAnsi" w:cstheme="majorHAnsi"/>
          <w:sz w:val="28"/>
          <w:szCs w:val="28"/>
        </w:rPr>
        <w:t xml:space="preserve"> in Anglophone Africa</w:t>
      </w:r>
      <w:r w:rsidR="00957633" w:rsidRPr="005C5E5A">
        <w:rPr>
          <w:rFonts w:asciiTheme="majorHAnsi" w:hAnsiTheme="majorHAnsi" w:cstheme="majorHAnsi"/>
          <w:sz w:val="28"/>
          <w:szCs w:val="28"/>
        </w:rPr>
        <w:t xml:space="preserve">, this </w:t>
      </w:r>
      <w:r w:rsidR="00922CD8">
        <w:rPr>
          <w:rFonts w:asciiTheme="majorHAnsi" w:hAnsiTheme="majorHAnsi" w:cstheme="majorHAnsi"/>
          <w:sz w:val="28"/>
          <w:szCs w:val="28"/>
        </w:rPr>
        <w:t xml:space="preserve">tends to </w:t>
      </w:r>
      <w:r w:rsidR="00957633" w:rsidRPr="005C5E5A">
        <w:rPr>
          <w:rFonts w:asciiTheme="majorHAnsi" w:hAnsiTheme="majorHAnsi" w:cstheme="majorHAnsi"/>
          <w:sz w:val="28"/>
          <w:szCs w:val="28"/>
        </w:rPr>
        <w:t xml:space="preserve">give the false impression that private enrolment rates are pervasively high </w:t>
      </w:r>
      <w:r w:rsidR="00A15396" w:rsidRPr="005C5E5A">
        <w:rPr>
          <w:rFonts w:asciiTheme="majorHAnsi" w:hAnsiTheme="majorHAnsi" w:cstheme="majorHAnsi"/>
          <w:sz w:val="28"/>
          <w:szCs w:val="28"/>
        </w:rPr>
        <w:t xml:space="preserve">not </w:t>
      </w:r>
      <w:r w:rsidR="00957633" w:rsidRPr="005C5E5A">
        <w:rPr>
          <w:rFonts w:asciiTheme="majorHAnsi" w:hAnsiTheme="majorHAnsi" w:cstheme="majorHAnsi"/>
          <w:sz w:val="28"/>
          <w:szCs w:val="28"/>
        </w:rPr>
        <w:t>in other urban areas but also across the</w:t>
      </w:r>
      <w:r w:rsidR="00A15396" w:rsidRPr="005C5E5A">
        <w:rPr>
          <w:rFonts w:asciiTheme="majorHAnsi" w:hAnsiTheme="majorHAnsi" w:cstheme="majorHAnsi"/>
          <w:sz w:val="28"/>
          <w:szCs w:val="28"/>
        </w:rPr>
        <w:t>se</w:t>
      </w:r>
      <w:r w:rsidR="00957633" w:rsidRPr="005C5E5A">
        <w:rPr>
          <w:rFonts w:asciiTheme="majorHAnsi" w:hAnsiTheme="majorHAnsi" w:cstheme="majorHAnsi"/>
          <w:sz w:val="28"/>
          <w:szCs w:val="28"/>
        </w:rPr>
        <w:t xml:space="preserve"> countr</w:t>
      </w:r>
      <w:r w:rsidR="00922CD8">
        <w:rPr>
          <w:rFonts w:asciiTheme="majorHAnsi" w:hAnsiTheme="majorHAnsi" w:cstheme="majorHAnsi"/>
          <w:sz w:val="28"/>
          <w:szCs w:val="28"/>
        </w:rPr>
        <w:t xml:space="preserve">ies </w:t>
      </w:r>
      <w:r w:rsidR="00957633" w:rsidRPr="005C5E5A">
        <w:rPr>
          <w:rFonts w:asciiTheme="majorHAnsi" w:hAnsiTheme="majorHAnsi" w:cstheme="majorHAnsi"/>
          <w:sz w:val="28"/>
          <w:szCs w:val="28"/>
        </w:rPr>
        <w:t>as a whole.</w:t>
      </w:r>
      <w:r w:rsidR="00A15396" w:rsidRPr="005C5E5A">
        <w:rPr>
          <w:rFonts w:asciiTheme="majorHAnsi" w:hAnsiTheme="majorHAnsi" w:cstheme="majorHAnsi"/>
          <w:sz w:val="28"/>
          <w:szCs w:val="28"/>
        </w:rPr>
        <w:t xml:space="preserve"> </w:t>
      </w:r>
    </w:p>
    <w:p w:rsidR="00A15396" w:rsidRPr="005C5E5A" w:rsidRDefault="00A15396" w:rsidP="001B7F09">
      <w:pPr>
        <w:jc w:val="both"/>
        <w:rPr>
          <w:rFonts w:asciiTheme="majorHAnsi" w:hAnsiTheme="majorHAnsi" w:cstheme="majorHAnsi"/>
          <w:sz w:val="28"/>
          <w:szCs w:val="28"/>
        </w:rPr>
      </w:pPr>
      <w:r w:rsidRPr="005C5E5A">
        <w:rPr>
          <w:rFonts w:asciiTheme="majorHAnsi" w:hAnsiTheme="majorHAnsi" w:cstheme="majorHAnsi"/>
          <w:sz w:val="28"/>
          <w:szCs w:val="28"/>
        </w:rPr>
        <w:t xml:space="preserve">In francophone and FCAS countries, it is the relatively underdeveloped state of their public school systems which </w:t>
      </w:r>
      <w:r w:rsidR="00B6654A" w:rsidRPr="005C5E5A">
        <w:rPr>
          <w:rFonts w:asciiTheme="majorHAnsi" w:hAnsiTheme="majorHAnsi" w:cstheme="majorHAnsi"/>
          <w:sz w:val="28"/>
          <w:szCs w:val="28"/>
        </w:rPr>
        <w:t xml:space="preserve">is the principal reason for the relatively </w:t>
      </w:r>
      <w:r w:rsidRPr="005C5E5A">
        <w:rPr>
          <w:rFonts w:asciiTheme="majorHAnsi" w:hAnsiTheme="majorHAnsi" w:cstheme="majorHAnsi"/>
          <w:sz w:val="28"/>
          <w:szCs w:val="28"/>
        </w:rPr>
        <w:t>high incidence of private schools</w:t>
      </w:r>
      <w:r w:rsidR="00B6654A" w:rsidRPr="005C5E5A">
        <w:rPr>
          <w:rFonts w:asciiTheme="majorHAnsi" w:hAnsiTheme="majorHAnsi" w:cstheme="majorHAnsi"/>
          <w:sz w:val="28"/>
          <w:szCs w:val="28"/>
        </w:rPr>
        <w:t xml:space="preserve">. </w:t>
      </w:r>
      <w:r w:rsidR="00DB6772" w:rsidRPr="005C5E5A">
        <w:rPr>
          <w:rFonts w:asciiTheme="majorHAnsi" w:hAnsiTheme="majorHAnsi" w:cstheme="majorHAnsi"/>
          <w:sz w:val="28"/>
          <w:szCs w:val="28"/>
        </w:rPr>
        <w:t xml:space="preserve">A combination of relatively low </w:t>
      </w:r>
      <w:r w:rsidR="006B779E" w:rsidRPr="005C5E5A">
        <w:rPr>
          <w:rFonts w:asciiTheme="majorHAnsi" w:hAnsiTheme="majorHAnsi" w:cstheme="majorHAnsi"/>
          <w:sz w:val="28"/>
          <w:szCs w:val="28"/>
        </w:rPr>
        <w:t xml:space="preserve">public </w:t>
      </w:r>
      <w:r w:rsidR="00DB6772" w:rsidRPr="005C5E5A">
        <w:rPr>
          <w:rFonts w:asciiTheme="majorHAnsi" w:hAnsiTheme="majorHAnsi" w:cstheme="majorHAnsi"/>
          <w:sz w:val="28"/>
          <w:szCs w:val="28"/>
        </w:rPr>
        <w:t>education funding levels per capita coupled</w:t>
      </w:r>
      <w:r w:rsidR="006B779E" w:rsidRPr="005C5E5A">
        <w:rPr>
          <w:rFonts w:asciiTheme="majorHAnsi" w:hAnsiTheme="majorHAnsi" w:cstheme="majorHAnsi"/>
          <w:sz w:val="28"/>
          <w:szCs w:val="28"/>
        </w:rPr>
        <w:t>,</w:t>
      </w:r>
      <w:r w:rsidR="00067184" w:rsidRPr="005C5E5A">
        <w:rPr>
          <w:rFonts w:asciiTheme="majorHAnsi" w:hAnsiTheme="majorHAnsi" w:cstheme="majorHAnsi"/>
          <w:sz w:val="28"/>
          <w:szCs w:val="28"/>
        </w:rPr>
        <w:t xml:space="preserve"> </w:t>
      </w:r>
      <w:r w:rsidR="006B779E" w:rsidRPr="005C5E5A">
        <w:rPr>
          <w:rFonts w:asciiTheme="majorHAnsi" w:hAnsiTheme="majorHAnsi" w:cstheme="majorHAnsi"/>
          <w:sz w:val="28"/>
          <w:szCs w:val="28"/>
        </w:rPr>
        <w:t xml:space="preserve">particularly in francophone </w:t>
      </w:r>
      <w:r w:rsidR="00DB6772" w:rsidRPr="005C5E5A">
        <w:rPr>
          <w:rFonts w:asciiTheme="majorHAnsi" w:hAnsiTheme="majorHAnsi" w:cstheme="majorHAnsi"/>
          <w:sz w:val="28"/>
          <w:szCs w:val="28"/>
        </w:rPr>
        <w:t>countries</w:t>
      </w:r>
      <w:r w:rsidR="00067184" w:rsidRPr="005C5E5A">
        <w:rPr>
          <w:rFonts w:asciiTheme="majorHAnsi" w:hAnsiTheme="majorHAnsi" w:cstheme="majorHAnsi"/>
          <w:sz w:val="28"/>
          <w:szCs w:val="28"/>
        </w:rPr>
        <w:t>,</w:t>
      </w:r>
      <w:r w:rsidR="00DB6772" w:rsidRPr="005C5E5A">
        <w:rPr>
          <w:rFonts w:asciiTheme="majorHAnsi" w:hAnsiTheme="majorHAnsi" w:cstheme="majorHAnsi"/>
          <w:sz w:val="28"/>
          <w:szCs w:val="28"/>
        </w:rPr>
        <w:t xml:space="preserve"> with relatively </w:t>
      </w:r>
      <w:r w:rsidR="00784797" w:rsidRPr="005C5E5A">
        <w:rPr>
          <w:rFonts w:asciiTheme="majorHAnsi" w:hAnsiTheme="majorHAnsi" w:cstheme="majorHAnsi"/>
          <w:sz w:val="28"/>
          <w:szCs w:val="28"/>
        </w:rPr>
        <w:t xml:space="preserve">high unit costs has led to </w:t>
      </w:r>
      <w:r w:rsidR="00DB6772" w:rsidRPr="005C5E5A">
        <w:rPr>
          <w:rFonts w:asciiTheme="majorHAnsi" w:hAnsiTheme="majorHAnsi" w:cstheme="majorHAnsi"/>
          <w:sz w:val="28"/>
          <w:szCs w:val="28"/>
        </w:rPr>
        <w:t>low enrolment and completion rates for primary and especially secondary education</w:t>
      </w:r>
      <w:r w:rsidR="00343EAE" w:rsidRPr="005C5E5A">
        <w:rPr>
          <w:rFonts w:asciiTheme="majorHAnsi" w:hAnsiTheme="majorHAnsi" w:cstheme="majorHAnsi"/>
          <w:sz w:val="28"/>
          <w:szCs w:val="28"/>
        </w:rPr>
        <w:t xml:space="preserve"> in the public school system</w:t>
      </w:r>
      <w:r w:rsidR="00067184" w:rsidRPr="005C5E5A">
        <w:rPr>
          <w:rStyle w:val="FootnoteReference"/>
          <w:rFonts w:asciiTheme="majorHAnsi" w:hAnsiTheme="majorHAnsi" w:cstheme="majorHAnsi"/>
          <w:sz w:val="28"/>
          <w:szCs w:val="28"/>
        </w:rPr>
        <w:footnoteReference w:id="9"/>
      </w:r>
      <w:r w:rsidR="00DB6772" w:rsidRPr="005C5E5A">
        <w:rPr>
          <w:rFonts w:asciiTheme="majorHAnsi" w:hAnsiTheme="majorHAnsi" w:cstheme="majorHAnsi"/>
          <w:sz w:val="28"/>
          <w:szCs w:val="28"/>
        </w:rPr>
        <w:t>. In FCAS countries such as DRC, Guinea Bissau</w:t>
      </w:r>
      <w:r w:rsidR="00AC20B8" w:rsidRPr="005C5E5A">
        <w:rPr>
          <w:rFonts w:asciiTheme="majorHAnsi" w:hAnsiTheme="majorHAnsi" w:cstheme="majorHAnsi"/>
          <w:sz w:val="28"/>
          <w:szCs w:val="28"/>
        </w:rPr>
        <w:t>, Liberia,</w:t>
      </w:r>
      <w:r w:rsidR="00DB6772" w:rsidRPr="005C5E5A">
        <w:rPr>
          <w:rFonts w:asciiTheme="majorHAnsi" w:hAnsiTheme="majorHAnsi" w:cstheme="majorHAnsi"/>
          <w:sz w:val="28"/>
          <w:szCs w:val="28"/>
        </w:rPr>
        <w:t xml:space="preserve"> and Madagascar, protracted economic, political and military crises resulted in </w:t>
      </w:r>
      <w:r w:rsidR="00922CD8">
        <w:rPr>
          <w:rFonts w:asciiTheme="majorHAnsi" w:hAnsiTheme="majorHAnsi" w:cstheme="majorHAnsi"/>
          <w:sz w:val="28"/>
          <w:szCs w:val="28"/>
        </w:rPr>
        <w:t xml:space="preserve">dramatic declines in </w:t>
      </w:r>
      <w:r w:rsidR="00A12DD7" w:rsidRPr="005C5E5A">
        <w:rPr>
          <w:rFonts w:asciiTheme="majorHAnsi" w:hAnsiTheme="majorHAnsi" w:cstheme="majorHAnsi"/>
          <w:sz w:val="28"/>
          <w:szCs w:val="28"/>
        </w:rPr>
        <w:t>central government funding</w:t>
      </w:r>
      <w:r w:rsidR="00DB6772" w:rsidRPr="005C5E5A">
        <w:rPr>
          <w:rFonts w:asciiTheme="majorHAnsi" w:hAnsiTheme="majorHAnsi" w:cstheme="majorHAnsi"/>
          <w:sz w:val="28"/>
          <w:szCs w:val="28"/>
        </w:rPr>
        <w:t xml:space="preserve"> </w:t>
      </w:r>
      <w:r w:rsidR="00784797" w:rsidRPr="005C5E5A">
        <w:rPr>
          <w:rFonts w:asciiTheme="majorHAnsi" w:hAnsiTheme="majorHAnsi" w:cstheme="majorHAnsi"/>
          <w:sz w:val="28"/>
          <w:szCs w:val="28"/>
        </w:rPr>
        <w:t xml:space="preserve">of </w:t>
      </w:r>
      <w:r w:rsidR="00A12DD7" w:rsidRPr="005C5E5A">
        <w:rPr>
          <w:rFonts w:asciiTheme="majorHAnsi" w:hAnsiTheme="majorHAnsi" w:cstheme="majorHAnsi"/>
          <w:sz w:val="28"/>
          <w:szCs w:val="28"/>
        </w:rPr>
        <w:t>national schooling system</w:t>
      </w:r>
      <w:r w:rsidR="00784797" w:rsidRPr="005C5E5A">
        <w:rPr>
          <w:rFonts w:asciiTheme="majorHAnsi" w:hAnsiTheme="majorHAnsi" w:cstheme="majorHAnsi"/>
          <w:sz w:val="28"/>
          <w:szCs w:val="28"/>
        </w:rPr>
        <w:t>s</w:t>
      </w:r>
      <w:r w:rsidR="00A12DD7" w:rsidRPr="005C5E5A">
        <w:rPr>
          <w:rFonts w:asciiTheme="majorHAnsi" w:hAnsiTheme="majorHAnsi" w:cstheme="majorHAnsi"/>
          <w:sz w:val="28"/>
          <w:szCs w:val="28"/>
        </w:rPr>
        <w:t xml:space="preserve"> which has meant that</w:t>
      </w:r>
      <w:r w:rsidR="00067184" w:rsidRPr="005C5E5A">
        <w:rPr>
          <w:rFonts w:asciiTheme="majorHAnsi" w:hAnsiTheme="majorHAnsi" w:cstheme="majorHAnsi"/>
          <w:sz w:val="28"/>
          <w:szCs w:val="28"/>
        </w:rPr>
        <w:t xml:space="preserve"> either </w:t>
      </w:r>
      <w:r w:rsidR="00A12DD7" w:rsidRPr="005C5E5A">
        <w:rPr>
          <w:rFonts w:asciiTheme="majorHAnsi" w:hAnsiTheme="majorHAnsi" w:cstheme="majorHAnsi"/>
          <w:sz w:val="28"/>
          <w:szCs w:val="28"/>
        </w:rPr>
        <w:t>private for-</w:t>
      </w:r>
      <w:r w:rsidR="001703D9" w:rsidRPr="005C5E5A">
        <w:rPr>
          <w:rFonts w:asciiTheme="majorHAnsi" w:hAnsiTheme="majorHAnsi" w:cstheme="majorHAnsi"/>
          <w:sz w:val="28"/>
          <w:szCs w:val="28"/>
        </w:rPr>
        <w:t>profit</w:t>
      </w:r>
      <w:r w:rsidR="00A12DD7" w:rsidRPr="005C5E5A">
        <w:rPr>
          <w:rFonts w:asciiTheme="majorHAnsi" w:hAnsiTheme="majorHAnsi" w:cstheme="majorHAnsi"/>
          <w:sz w:val="28"/>
          <w:szCs w:val="28"/>
        </w:rPr>
        <w:t xml:space="preserve"> schools have been established </w:t>
      </w:r>
      <w:r w:rsidR="00067184" w:rsidRPr="005C5E5A">
        <w:rPr>
          <w:rFonts w:asciiTheme="majorHAnsi" w:hAnsiTheme="majorHAnsi" w:cstheme="majorHAnsi"/>
          <w:sz w:val="28"/>
          <w:szCs w:val="28"/>
        </w:rPr>
        <w:t>or</w:t>
      </w:r>
      <w:r w:rsidR="00784797" w:rsidRPr="005C5E5A">
        <w:rPr>
          <w:rFonts w:asciiTheme="majorHAnsi" w:hAnsiTheme="majorHAnsi" w:cstheme="majorHAnsi"/>
          <w:sz w:val="28"/>
          <w:szCs w:val="28"/>
        </w:rPr>
        <w:t xml:space="preserve">, where this is not feasible, </w:t>
      </w:r>
      <w:r w:rsidR="00A12DD7" w:rsidRPr="005C5E5A">
        <w:rPr>
          <w:rFonts w:asciiTheme="majorHAnsi" w:hAnsiTheme="majorHAnsi" w:cstheme="majorHAnsi"/>
          <w:sz w:val="28"/>
          <w:szCs w:val="28"/>
        </w:rPr>
        <w:t xml:space="preserve">parents and communities </w:t>
      </w:r>
      <w:r w:rsidR="00067184" w:rsidRPr="005C5E5A">
        <w:rPr>
          <w:rFonts w:asciiTheme="majorHAnsi" w:hAnsiTheme="majorHAnsi" w:cstheme="majorHAnsi"/>
          <w:sz w:val="28"/>
          <w:szCs w:val="28"/>
        </w:rPr>
        <w:t xml:space="preserve">(especially in rural areas) </w:t>
      </w:r>
      <w:r w:rsidR="00A12DD7" w:rsidRPr="005C5E5A">
        <w:rPr>
          <w:rFonts w:asciiTheme="majorHAnsi" w:hAnsiTheme="majorHAnsi" w:cstheme="majorHAnsi"/>
          <w:sz w:val="28"/>
          <w:szCs w:val="28"/>
        </w:rPr>
        <w:t xml:space="preserve">have had to take the </w:t>
      </w:r>
      <w:r w:rsidR="00784797" w:rsidRPr="005C5E5A">
        <w:rPr>
          <w:rFonts w:asciiTheme="majorHAnsi" w:hAnsiTheme="majorHAnsi" w:cstheme="majorHAnsi"/>
          <w:sz w:val="28"/>
          <w:szCs w:val="28"/>
        </w:rPr>
        <w:t xml:space="preserve">lead in in </w:t>
      </w:r>
      <w:r w:rsidR="00A12DD7" w:rsidRPr="005C5E5A">
        <w:rPr>
          <w:rFonts w:asciiTheme="majorHAnsi" w:hAnsiTheme="majorHAnsi" w:cstheme="majorHAnsi"/>
          <w:sz w:val="28"/>
          <w:szCs w:val="28"/>
        </w:rPr>
        <w:t>establish</w:t>
      </w:r>
      <w:r w:rsidR="00784797" w:rsidRPr="005C5E5A">
        <w:rPr>
          <w:rFonts w:asciiTheme="majorHAnsi" w:hAnsiTheme="majorHAnsi" w:cstheme="majorHAnsi"/>
          <w:sz w:val="28"/>
          <w:szCs w:val="28"/>
        </w:rPr>
        <w:t>ing</w:t>
      </w:r>
      <w:r w:rsidR="00A12DD7" w:rsidRPr="005C5E5A">
        <w:rPr>
          <w:rFonts w:asciiTheme="majorHAnsi" w:hAnsiTheme="majorHAnsi" w:cstheme="majorHAnsi"/>
          <w:sz w:val="28"/>
          <w:szCs w:val="28"/>
        </w:rPr>
        <w:t xml:space="preserve"> their </w:t>
      </w:r>
      <w:r w:rsidR="0080052F" w:rsidRPr="005C5E5A">
        <w:rPr>
          <w:rFonts w:asciiTheme="majorHAnsi" w:hAnsiTheme="majorHAnsi" w:cstheme="majorHAnsi"/>
          <w:sz w:val="28"/>
          <w:szCs w:val="28"/>
        </w:rPr>
        <w:t xml:space="preserve">own not-for-profit </w:t>
      </w:r>
      <w:r w:rsidR="00A12DD7" w:rsidRPr="005C5E5A">
        <w:rPr>
          <w:rFonts w:asciiTheme="majorHAnsi" w:hAnsiTheme="majorHAnsi" w:cstheme="majorHAnsi"/>
          <w:sz w:val="28"/>
          <w:szCs w:val="28"/>
        </w:rPr>
        <w:t>‘community’ schools</w:t>
      </w:r>
      <w:r w:rsidR="003A735C">
        <w:rPr>
          <w:rStyle w:val="FootnoteReference"/>
          <w:rFonts w:asciiTheme="majorHAnsi" w:hAnsiTheme="majorHAnsi" w:cstheme="majorHAnsi"/>
          <w:sz w:val="28"/>
          <w:szCs w:val="28"/>
        </w:rPr>
        <w:footnoteReference w:id="10"/>
      </w:r>
      <w:r w:rsidR="00A12DD7" w:rsidRPr="005C5E5A">
        <w:rPr>
          <w:rFonts w:asciiTheme="majorHAnsi" w:hAnsiTheme="majorHAnsi" w:cstheme="majorHAnsi"/>
          <w:sz w:val="28"/>
          <w:szCs w:val="28"/>
        </w:rPr>
        <w:t>.</w:t>
      </w:r>
      <w:r w:rsidR="0080052F" w:rsidRPr="005C5E5A">
        <w:rPr>
          <w:rFonts w:asciiTheme="majorHAnsi" w:hAnsiTheme="majorHAnsi" w:cstheme="majorHAnsi"/>
          <w:sz w:val="28"/>
          <w:szCs w:val="28"/>
        </w:rPr>
        <w:t xml:space="preserve"> This amounts, therefore, to a kind of enforced privatisation of the school system in order that children in these crisis situations can continue to be educated</w:t>
      </w:r>
      <w:r w:rsidR="00343EAE" w:rsidRPr="005C5E5A">
        <w:rPr>
          <w:rFonts w:asciiTheme="majorHAnsi" w:hAnsiTheme="majorHAnsi" w:cstheme="majorHAnsi"/>
          <w:sz w:val="28"/>
          <w:szCs w:val="28"/>
        </w:rPr>
        <w:t xml:space="preserve"> which is far removed </w:t>
      </w:r>
      <w:r w:rsidR="0080052F" w:rsidRPr="005C5E5A">
        <w:rPr>
          <w:rFonts w:asciiTheme="majorHAnsi" w:hAnsiTheme="majorHAnsi" w:cstheme="majorHAnsi"/>
          <w:sz w:val="28"/>
          <w:szCs w:val="28"/>
        </w:rPr>
        <w:t xml:space="preserve">from the simplistic </w:t>
      </w:r>
      <w:r w:rsidR="00784797" w:rsidRPr="005C5E5A">
        <w:rPr>
          <w:rFonts w:asciiTheme="majorHAnsi" w:hAnsiTheme="majorHAnsi" w:cstheme="majorHAnsi"/>
          <w:sz w:val="28"/>
          <w:szCs w:val="28"/>
        </w:rPr>
        <w:t xml:space="preserve">schooling </w:t>
      </w:r>
      <w:r w:rsidR="0080052F" w:rsidRPr="005C5E5A">
        <w:rPr>
          <w:rFonts w:asciiTheme="majorHAnsi" w:hAnsiTheme="majorHAnsi" w:cstheme="majorHAnsi"/>
          <w:sz w:val="28"/>
          <w:szCs w:val="28"/>
        </w:rPr>
        <w:t xml:space="preserve">choice model of </w:t>
      </w:r>
      <w:r w:rsidR="00922CD8">
        <w:rPr>
          <w:rFonts w:asciiTheme="majorHAnsi" w:hAnsiTheme="majorHAnsi" w:cstheme="majorHAnsi"/>
          <w:sz w:val="28"/>
          <w:szCs w:val="28"/>
        </w:rPr>
        <w:t xml:space="preserve">well-established </w:t>
      </w:r>
      <w:r w:rsidR="0080052F" w:rsidRPr="005C5E5A">
        <w:rPr>
          <w:rFonts w:asciiTheme="majorHAnsi" w:hAnsiTheme="majorHAnsi" w:cstheme="majorHAnsi"/>
          <w:sz w:val="28"/>
          <w:szCs w:val="28"/>
        </w:rPr>
        <w:t>public schools competing with newly established for-profit private schools</w:t>
      </w:r>
      <w:r w:rsidRPr="005C5E5A">
        <w:rPr>
          <w:rFonts w:asciiTheme="majorHAnsi" w:hAnsiTheme="majorHAnsi" w:cstheme="majorHAnsi"/>
          <w:sz w:val="28"/>
          <w:szCs w:val="28"/>
        </w:rPr>
        <w:t xml:space="preserve">. </w:t>
      </w:r>
    </w:p>
    <w:p w:rsidR="00D14501" w:rsidRPr="005C5E5A" w:rsidRDefault="00454D34" w:rsidP="001B7F09">
      <w:pPr>
        <w:jc w:val="both"/>
        <w:rPr>
          <w:rFonts w:asciiTheme="majorHAnsi" w:hAnsiTheme="majorHAnsi" w:cstheme="majorHAnsi"/>
          <w:sz w:val="28"/>
          <w:szCs w:val="28"/>
        </w:rPr>
      </w:pPr>
      <w:r w:rsidRPr="005C5E5A">
        <w:rPr>
          <w:rFonts w:asciiTheme="majorHAnsi" w:hAnsiTheme="majorHAnsi" w:cstheme="majorHAnsi"/>
          <w:sz w:val="28"/>
          <w:szCs w:val="28"/>
        </w:rPr>
        <w:t>At the national level, t</w:t>
      </w:r>
      <w:r w:rsidR="001C0C51" w:rsidRPr="005C5E5A">
        <w:rPr>
          <w:rFonts w:asciiTheme="majorHAnsi" w:hAnsiTheme="majorHAnsi" w:cstheme="majorHAnsi"/>
          <w:sz w:val="28"/>
          <w:szCs w:val="28"/>
        </w:rPr>
        <w:t>he overa</w:t>
      </w:r>
      <w:r w:rsidRPr="005C5E5A">
        <w:rPr>
          <w:rFonts w:asciiTheme="majorHAnsi" w:hAnsiTheme="majorHAnsi" w:cstheme="majorHAnsi"/>
          <w:sz w:val="28"/>
          <w:szCs w:val="28"/>
        </w:rPr>
        <w:t xml:space="preserve">ll country incidence of </w:t>
      </w:r>
      <w:r w:rsidR="001C0C51" w:rsidRPr="005C5E5A">
        <w:rPr>
          <w:rFonts w:asciiTheme="majorHAnsi" w:hAnsiTheme="majorHAnsi" w:cstheme="majorHAnsi"/>
          <w:sz w:val="28"/>
          <w:szCs w:val="28"/>
        </w:rPr>
        <w:t xml:space="preserve">private </w:t>
      </w:r>
      <w:r w:rsidR="00D14501" w:rsidRPr="005C5E5A">
        <w:rPr>
          <w:rFonts w:asciiTheme="majorHAnsi" w:hAnsiTheme="majorHAnsi" w:cstheme="majorHAnsi"/>
          <w:sz w:val="28"/>
          <w:szCs w:val="28"/>
        </w:rPr>
        <w:t>primary schooling</w:t>
      </w:r>
      <w:r w:rsidR="001C0C51" w:rsidRPr="005C5E5A">
        <w:rPr>
          <w:rFonts w:asciiTheme="majorHAnsi" w:hAnsiTheme="majorHAnsi" w:cstheme="majorHAnsi"/>
          <w:sz w:val="28"/>
          <w:szCs w:val="28"/>
        </w:rPr>
        <w:t xml:space="preserve"> in SSA is negatively correlated</w:t>
      </w:r>
      <w:r w:rsidRPr="005C5E5A">
        <w:rPr>
          <w:rFonts w:asciiTheme="majorHAnsi" w:hAnsiTheme="majorHAnsi" w:cstheme="majorHAnsi"/>
          <w:sz w:val="28"/>
          <w:szCs w:val="28"/>
        </w:rPr>
        <w:t xml:space="preserve"> (albeit weakly)</w:t>
      </w:r>
      <w:r w:rsidR="001C0C51" w:rsidRPr="005C5E5A">
        <w:rPr>
          <w:rFonts w:asciiTheme="majorHAnsi" w:hAnsiTheme="majorHAnsi" w:cstheme="majorHAnsi"/>
          <w:sz w:val="28"/>
          <w:szCs w:val="28"/>
        </w:rPr>
        <w:t xml:space="preserve"> with overall economic development (</w:t>
      </w:r>
      <w:r w:rsidRPr="005C5E5A">
        <w:rPr>
          <w:rFonts w:asciiTheme="majorHAnsi" w:hAnsiTheme="majorHAnsi" w:cstheme="majorHAnsi"/>
          <w:sz w:val="28"/>
          <w:szCs w:val="28"/>
        </w:rPr>
        <w:t>as measured by GDP per capita)</w:t>
      </w:r>
      <w:r w:rsidR="00883B9B" w:rsidRPr="005C5E5A">
        <w:rPr>
          <w:rFonts w:asciiTheme="majorHAnsi" w:hAnsiTheme="majorHAnsi" w:cstheme="majorHAnsi"/>
          <w:sz w:val="28"/>
          <w:szCs w:val="28"/>
        </w:rPr>
        <w:t xml:space="preserve">, the financial commitment of governments to education as a whole (as measured by the share of </w:t>
      </w:r>
      <w:r w:rsidR="00D14501" w:rsidRPr="005C5E5A">
        <w:rPr>
          <w:rFonts w:asciiTheme="majorHAnsi" w:hAnsiTheme="majorHAnsi" w:cstheme="majorHAnsi"/>
          <w:sz w:val="28"/>
          <w:szCs w:val="28"/>
        </w:rPr>
        <w:t xml:space="preserve">public </w:t>
      </w:r>
      <w:r w:rsidR="00883B9B" w:rsidRPr="005C5E5A">
        <w:rPr>
          <w:rFonts w:asciiTheme="majorHAnsi" w:hAnsiTheme="majorHAnsi" w:cstheme="majorHAnsi"/>
          <w:sz w:val="28"/>
          <w:szCs w:val="28"/>
        </w:rPr>
        <w:t>education</w:t>
      </w:r>
      <w:r w:rsidR="00D14501" w:rsidRPr="005C5E5A">
        <w:rPr>
          <w:rFonts w:asciiTheme="majorHAnsi" w:hAnsiTheme="majorHAnsi" w:cstheme="majorHAnsi"/>
          <w:sz w:val="28"/>
          <w:szCs w:val="28"/>
        </w:rPr>
        <w:t xml:space="preserve"> expenditure</w:t>
      </w:r>
      <w:r w:rsidR="00883B9B" w:rsidRPr="005C5E5A">
        <w:rPr>
          <w:rFonts w:asciiTheme="majorHAnsi" w:hAnsiTheme="majorHAnsi" w:cstheme="majorHAnsi"/>
          <w:sz w:val="28"/>
          <w:szCs w:val="28"/>
        </w:rPr>
        <w:t xml:space="preserve"> in total public </w:t>
      </w:r>
      <w:r w:rsidR="00D14501" w:rsidRPr="005C5E5A">
        <w:rPr>
          <w:rFonts w:asciiTheme="majorHAnsi" w:hAnsiTheme="majorHAnsi" w:cstheme="majorHAnsi"/>
          <w:sz w:val="28"/>
          <w:szCs w:val="28"/>
        </w:rPr>
        <w:t>budgets</w:t>
      </w:r>
      <w:r w:rsidR="00883B9B" w:rsidRPr="005C5E5A">
        <w:rPr>
          <w:rFonts w:asciiTheme="majorHAnsi" w:hAnsiTheme="majorHAnsi" w:cstheme="majorHAnsi"/>
          <w:sz w:val="28"/>
          <w:szCs w:val="28"/>
        </w:rPr>
        <w:t>)</w:t>
      </w:r>
      <w:r w:rsidRPr="005C5E5A">
        <w:rPr>
          <w:rFonts w:asciiTheme="majorHAnsi" w:hAnsiTheme="majorHAnsi" w:cstheme="majorHAnsi"/>
          <w:sz w:val="28"/>
          <w:szCs w:val="28"/>
        </w:rPr>
        <w:t xml:space="preserve"> </w:t>
      </w:r>
      <w:r w:rsidR="001C0C51" w:rsidRPr="005C5E5A">
        <w:rPr>
          <w:rFonts w:asciiTheme="majorHAnsi" w:hAnsiTheme="majorHAnsi" w:cstheme="majorHAnsi"/>
          <w:sz w:val="28"/>
          <w:szCs w:val="28"/>
        </w:rPr>
        <w:t xml:space="preserve">and the overall </w:t>
      </w:r>
      <w:r w:rsidR="004B00B9" w:rsidRPr="005C5E5A">
        <w:rPr>
          <w:rFonts w:asciiTheme="majorHAnsi" w:hAnsiTheme="majorHAnsi" w:cstheme="majorHAnsi"/>
          <w:sz w:val="28"/>
          <w:szCs w:val="28"/>
        </w:rPr>
        <w:t xml:space="preserve">enrolment capacity and </w:t>
      </w:r>
      <w:r w:rsidR="001C0C51" w:rsidRPr="005C5E5A">
        <w:rPr>
          <w:rFonts w:asciiTheme="majorHAnsi" w:hAnsiTheme="majorHAnsi" w:cstheme="majorHAnsi"/>
          <w:sz w:val="28"/>
          <w:szCs w:val="28"/>
        </w:rPr>
        <w:t xml:space="preserve">performance of the primary school system (as </w:t>
      </w:r>
      <w:r w:rsidRPr="005C5E5A">
        <w:rPr>
          <w:rFonts w:asciiTheme="majorHAnsi" w:hAnsiTheme="majorHAnsi" w:cstheme="majorHAnsi"/>
          <w:sz w:val="28"/>
          <w:szCs w:val="28"/>
        </w:rPr>
        <w:t xml:space="preserve">proxied </w:t>
      </w:r>
      <w:r w:rsidR="001C0C51" w:rsidRPr="005C5E5A">
        <w:rPr>
          <w:rFonts w:asciiTheme="majorHAnsi" w:hAnsiTheme="majorHAnsi" w:cstheme="majorHAnsi"/>
          <w:sz w:val="28"/>
          <w:szCs w:val="28"/>
        </w:rPr>
        <w:t xml:space="preserve">the </w:t>
      </w:r>
      <w:r w:rsidR="004B00B9" w:rsidRPr="005C5E5A">
        <w:rPr>
          <w:rFonts w:asciiTheme="majorHAnsi" w:hAnsiTheme="majorHAnsi" w:cstheme="majorHAnsi"/>
          <w:sz w:val="28"/>
          <w:szCs w:val="28"/>
        </w:rPr>
        <w:t xml:space="preserve">gross enrolment rates and </w:t>
      </w:r>
      <w:r w:rsidR="001C0C51" w:rsidRPr="005C5E5A">
        <w:rPr>
          <w:rFonts w:asciiTheme="majorHAnsi" w:hAnsiTheme="majorHAnsi" w:cstheme="majorHAnsi"/>
          <w:sz w:val="28"/>
          <w:szCs w:val="28"/>
        </w:rPr>
        <w:t>primary school completion rate</w:t>
      </w:r>
      <w:r w:rsidR="00D14501" w:rsidRPr="005C5E5A">
        <w:rPr>
          <w:rFonts w:asciiTheme="majorHAnsi" w:hAnsiTheme="majorHAnsi" w:cstheme="majorHAnsi"/>
          <w:sz w:val="28"/>
          <w:szCs w:val="28"/>
        </w:rPr>
        <w:t>s</w:t>
      </w:r>
      <w:r w:rsidR="001C0C51" w:rsidRPr="005C5E5A">
        <w:rPr>
          <w:rFonts w:asciiTheme="majorHAnsi" w:hAnsiTheme="majorHAnsi" w:cstheme="majorHAnsi"/>
          <w:sz w:val="28"/>
          <w:szCs w:val="28"/>
        </w:rPr>
        <w:t xml:space="preserve">). </w:t>
      </w:r>
      <w:r w:rsidRPr="005C5E5A">
        <w:rPr>
          <w:rFonts w:asciiTheme="majorHAnsi" w:hAnsiTheme="majorHAnsi" w:cstheme="majorHAnsi"/>
          <w:sz w:val="28"/>
          <w:szCs w:val="28"/>
        </w:rPr>
        <w:t xml:space="preserve">Poorer countries and countries with </w:t>
      </w:r>
      <w:r w:rsidR="00883B9B" w:rsidRPr="005C5E5A">
        <w:rPr>
          <w:rFonts w:asciiTheme="majorHAnsi" w:hAnsiTheme="majorHAnsi" w:cstheme="majorHAnsi"/>
          <w:sz w:val="28"/>
          <w:szCs w:val="28"/>
        </w:rPr>
        <w:t>relatively low government commitment to education provision couple</w:t>
      </w:r>
      <w:r w:rsidR="00D14501" w:rsidRPr="005C5E5A">
        <w:rPr>
          <w:rFonts w:asciiTheme="majorHAnsi" w:hAnsiTheme="majorHAnsi" w:cstheme="majorHAnsi"/>
          <w:sz w:val="28"/>
          <w:szCs w:val="28"/>
        </w:rPr>
        <w:t>d</w:t>
      </w:r>
      <w:r w:rsidR="00883B9B" w:rsidRPr="005C5E5A">
        <w:rPr>
          <w:rFonts w:asciiTheme="majorHAnsi" w:hAnsiTheme="majorHAnsi" w:cstheme="majorHAnsi"/>
          <w:sz w:val="28"/>
          <w:szCs w:val="28"/>
        </w:rPr>
        <w:t xml:space="preserve"> with </w:t>
      </w:r>
      <w:r w:rsidRPr="005C5E5A">
        <w:rPr>
          <w:rFonts w:asciiTheme="majorHAnsi" w:hAnsiTheme="majorHAnsi" w:cstheme="majorHAnsi"/>
          <w:sz w:val="28"/>
          <w:szCs w:val="28"/>
        </w:rPr>
        <w:t>low primary school completion rates tend, therefore, to have higher incidences of PSP.</w:t>
      </w:r>
      <w:r w:rsidR="001C0C51" w:rsidRPr="005C5E5A">
        <w:rPr>
          <w:rFonts w:asciiTheme="majorHAnsi" w:hAnsiTheme="majorHAnsi" w:cstheme="majorHAnsi"/>
          <w:sz w:val="28"/>
          <w:szCs w:val="28"/>
        </w:rPr>
        <w:t xml:space="preserve"> </w:t>
      </w:r>
      <w:r w:rsidR="00067184" w:rsidRPr="005C5E5A">
        <w:rPr>
          <w:rFonts w:asciiTheme="majorHAnsi" w:hAnsiTheme="majorHAnsi" w:cstheme="majorHAnsi"/>
          <w:sz w:val="28"/>
          <w:szCs w:val="28"/>
        </w:rPr>
        <w:t xml:space="preserve">As expected, </w:t>
      </w:r>
      <w:r w:rsidR="00D14501" w:rsidRPr="005C5E5A">
        <w:rPr>
          <w:rFonts w:asciiTheme="majorHAnsi" w:hAnsiTheme="majorHAnsi" w:cstheme="majorHAnsi"/>
          <w:sz w:val="28"/>
          <w:szCs w:val="28"/>
        </w:rPr>
        <w:t xml:space="preserve">Francophone and FCAS countries </w:t>
      </w:r>
      <w:r w:rsidR="00065A14" w:rsidRPr="005C5E5A">
        <w:rPr>
          <w:rFonts w:asciiTheme="majorHAnsi" w:hAnsiTheme="majorHAnsi" w:cstheme="majorHAnsi"/>
          <w:sz w:val="28"/>
          <w:szCs w:val="28"/>
        </w:rPr>
        <w:t xml:space="preserve">in SSA </w:t>
      </w:r>
      <w:r w:rsidR="00D14501" w:rsidRPr="005C5E5A">
        <w:rPr>
          <w:rFonts w:asciiTheme="majorHAnsi" w:hAnsiTheme="majorHAnsi" w:cstheme="majorHAnsi"/>
          <w:sz w:val="28"/>
          <w:szCs w:val="28"/>
        </w:rPr>
        <w:t>are heavily represented among this group</w:t>
      </w:r>
      <w:r w:rsidR="00922CD8">
        <w:rPr>
          <w:rStyle w:val="FootnoteReference"/>
          <w:rFonts w:asciiTheme="majorHAnsi" w:hAnsiTheme="majorHAnsi" w:cstheme="majorHAnsi"/>
          <w:sz w:val="28"/>
          <w:szCs w:val="28"/>
        </w:rPr>
        <w:footnoteReference w:id="11"/>
      </w:r>
      <w:r w:rsidR="00D14501" w:rsidRPr="005C5E5A">
        <w:rPr>
          <w:rFonts w:asciiTheme="majorHAnsi" w:hAnsiTheme="majorHAnsi" w:cstheme="majorHAnsi"/>
          <w:sz w:val="28"/>
          <w:szCs w:val="28"/>
        </w:rPr>
        <w:t xml:space="preserve">. </w:t>
      </w:r>
    </w:p>
    <w:p w:rsidR="002378C6" w:rsidRPr="005C5E5A" w:rsidRDefault="00D14501" w:rsidP="001B7F09">
      <w:pPr>
        <w:jc w:val="both"/>
        <w:rPr>
          <w:rFonts w:asciiTheme="majorHAnsi" w:hAnsiTheme="majorHAnsi" w:cstheme="majorHAnsi"/>
          <w:sz w:val="28"/>
          <w:szCs w:val="28"/>
        </w:rPr>
      </w:pPr>
      <w:r w:rsidRPr="005C5E5A">
        <w:rPr>
          <w:rFonts w:asciiTheme="majorHAnsi" w:hAnsiTheme="majorHAnsi" w:cstheme="majorHAnsi"/>
          <w:sz w:val="28"/>
          <w:szCs w:val="28"/>
        </w:rPr>
        <w:t xml:space="preserve">Further afield, there </w:t>
      </w:r>
      <w:r w:rsidR="00454D34" w:rsidRPr="005C5E5A">
        <w:rPr>
          <w:rFonts w:asciiTheme="majorHAnsi" w:hAnsiTheme="majorHAnsi" w:cstheme="majorHAnsi"/>
          <w:sz w:val="28"/>
          <w:szCs w:val="28"/>
        </w:rPr>
        <w:t xml:space="preserve">also appears to be </w:t>
      </w:r>
      <w:r w:rsidRPr="005C5E5A">
        <w:rPr>
          <w:rFonts w:asciiTheme="majorHAnsi" w:hAnsiTheme="majorHAnsi" w:cstheme="majorHAnsi"/>
          <w:sz w:val="28"/>
          <w:szCs w:val="28"/>
        </w:rPr>
        <w:t>an inverse relationship between overall economic and educational development and PSP</w:t>
      </w:r>
      <w:r w:rsidR="00DB2291">
        <w:rPr>
          <w:rFonts w:asciiTheme="majorHAnsi" w:hAnsiTheme="majorHAnsi" w:cstheme="majorHAnsi"/>
          <w:sz w:val="28"/>
          <w:szCs w:val="28"/>
        </w:rPr>
        <w:t xml:space="preserve"> incidence</w:t>
      </w:r>
      <w:r w:rsidR="00065A14" w:rsidRPr="005C5E5A">
        <w:rPr>
          <w:rFonts w:asciiTheme="majorHAnsi" w:hAnsiTheme="majorHAnsi" w:cstheme="majorHAnsi"/>
          <w:sz w:val="28"/>
          <w:szCs w:val="28"/>
        </w:rPr>
        <w:t xml:space="preserve">.  In India, for example, </w:t>
      </w:r>
      <w:r w:rsidR="00454D34" w:rsidRPr="005C5E5A">
        <w:rPr>
          <w:rFonts w:asciiTheme="majorHAnsi" w:hAnsiTheme="majorHAnsi" w:cstheme="majorHAnsi"/>
          <w:sz w:val="28"/>
          <w:szCs w:val="28"/>
        </w:rPr>
        <w:t>‘the presence of private schooling is actually greatest in the econo</w:t>
      </w:r>
      <w:r w:rsidR="00DB2291">
        <w:rPr>
          <w:rFonts w:asciiTheme="majorHAnsi" w:hAnsiTheme="majorHAnsi" w:cstheme="majorHAnsi"/>
          <w:sz w:val="28"/>
          <w:szCs w:val="28"/>
        </w:rPr>
        <w:t>mically poorest states’ (Ashley et al, 2014:</w:t>
      </w:r>
      <w:r w:rsidR="00454D34" w:rsidRPr="005C5E5A">
        <w:rPr>
          <w:rFonts w:asciiTheme="majorHAnsi" w:hAnsiTheme="majorHAnsi" w:cstheme="majorHAnsi"/>
          <w:sz w:val="28"/>
          <w:szCs w:val="28"/>
        </w:rPr>
        <w:t>23)</w:t>
      </w:r>
      <w:r w:rsidR="004B00B9" w:rsidRPr="005C5E5A">
        <w:rPr>
          <w:rFonts w:asciiTheme="majorHAnsi" w:hAnsiTheme="majorHAnsi" w:cstheme="majorHAnsi"/>
          <w:sz w:val="28"/>
          <w:szCs w:val="28"/>
        </w:rPr>
        <w:t xml:space="preserve">. This would seem to suggest that </w:t>
      </w:r>
      <w:r w:rsidR="002378C6" w:rsidRPr="005C5E5A">
        <w:rPr>
          <w:rFonts w:asciiTheme="majorHAnsi" w:hAnsiTheme="majorHAnsi" w:cstheme="majorHAnsi"/>
          <w:sz w:val="28"/>
          <w:szCs w:val="28"/>
        </w:rPr>
        <w:t>i</w:t>
      </w:r>
      <w:r w:rsidR="001C0C51" w:rsidRPr="005C5E5A">
        <w:rPr>
          <w:rFonts w:asciiTheme="majorHAnsi" w:hAnsiTheme="majorHAnsi" w:cstheme="majorHAnsi"/>
          <w:sz w:val="28"/>
          <w:szCs w:val="28"/>
        </w:rPr>
        <w:t xml:space="preserve">n high incidence </w:t>
      </w:r>
      <w:r w:rsidR="00DB2291">
        <w:rPr>
          <w:rFonts w:asciiTheme="majorHAnsi" w:hAnsiTheme="majorHAnsi" w:cstheme="majorHAnsi"/>
          <w:sz w:val="28"/>
          <w:szCs w:val="28"/>
        </w:rPr>
        <w:t xml:space="preserve">PSP </w:t>
      </w:r>
      <w:r w:rsidR="001C0C51" w:rsidRPr="005C5E5A">
        <w:rPr>
          <w:rFonts w:asciiTheme="majorHAnsi" w:hAnsiTheme="majorHAnsi" w:cstheme="majorHAnsi"/>
          <w:sz w:val="28"/>
          <w:szCs w:val="28"/>
        </w:rPr>
        <w:t>countries, PSP (both for-private and not-for-profit) supplement</w:t>
      </w:r>
      <w:r w:rsidR="00DB2291">
        <w:rPr>
          <w:rFonts w:asciiTheme="majorHAnsi" w:hAnsiTheme="majorHAnsi" w:cstheme="majorHAnsi"/>
          <w:sz w:val="28"/>
          <w:szCs w:val="28"/>
        </w:rPr>
        <w:t>s</w:t>
      </w:r>
      <w:r w:rsidR="004B00B9" w:rsidRPr="005C5E5A">
        <w:rPr>
          <w:rFonts w:asciiTheme="majorHAnsi" w:hAnsiTheme="majorHAnsi" w:cstheme="majorHAnsi"/>
          <w:sz w:val="28"/>
          <w:szCs w:val="28"/>
        </w:rPr>
        <w:t xml:space="preserve"> rather than substitut</w:t>
      </w:r>
      <w:r w:rsidR="00065A14" w:rsidRPr="005C5E5A">
        <w:rPr>
          <w:rFonts w:asciiTheme="majorHAnsi" w:hAnsiTheme="majorHAnsi" w:cstheme="majorHAnsi"/>
          <w:sz w:val="28"/>
          <w:szCs w:val="28"/>
        </w:rPr>
        <w:t>e</w:t>
      </w:r>
      <w:r w:rsidR="00DB2291">
        <w:rPr>
          <w:rFonts w:asciiTheme="majorHAnsi" w:hAnsiTheme="majorHAnsi" w:cstheme="majorHAnsi"/>
          <w:sz w:val="28"/>
          <w:szCs w:val="28"/>
        </w:rPr>
        <w:t>s</w:t>
      </w:r>
      <w:r w:rsidR="004B00B9" w:rsidRPr="005C5E5A">
        <w:rPr>
          <w:rFonts w:asciiTheme="majorHAnsi" w:hAnsiTheme="majorHAnsi" w:cstheme="majorHAnsi"/>
          <w:sz w:val="28"/>
          <w:szCs w:val="28"/>
        </w:rPr>
        <w:t xml:space="preserve"> for </w:t>
      </w:r>
      <w:r w:rsidR="001C0C51" w:rsidRPr="005C5E5A">
        <w:rPr>
          <w:rFonts w:asciiTheme="majorHAnsi" w:hAnsiTheme="majorHAnsi" w:cstheme="majorHAnsi"/>
          <w:sz w:val="28"/>
          <w:szCs w:val="28"/>
        </w:rPr>
        <w:t xml:space="preserve">government </w:t>
      </w:r>
      <w:r w:rsidR="004B00B9" w:rsidRPr="005C5E5A">
        <w:rPr>
          <w:rFonts w:asciiTheme="majorHAnsi" w:hAnsiTheme="majorHAnsi" w:cstheme="majorHAnsi"/>
          <w:sz w:val="28"/>
          <w:szCs w:val="28"/>
        </w:rPr>
        <w:t xml:space="preserve">schooling provision. </w:t>
      </w:r>
    </w:p>
    <w:p w:rsidR="00B5253E" w:rsidRPr="005C5E5A" w:rsidRDefault="00B5253E" w:rsidP="001B7F09">
      <w:pPr>
        <w:jc w:val="both"/>
        <w:rPr>
          <w:rFonts w:asciiTheme="majorHAnsi" w:hAnsiTheme="majorHAnsi" w:cstheme="majorHAnsi"/>
          <w:i/>
          <w:sz w:val="28"/>
          <w:szCs w:val="28"/>
        </w:rPr>
      </w:pPr>
      <w:r w:rsidRPr="005C5E5A">
        <w:rPr>
          <w:rFonts w:asciiTheme="majorHAnsi" w:hAnsiTheme="majorHAnsi" w:cstheme="majorHAnsi"/>
          <w:i/>
          <w:sz w:val="28"/>
          <w:szCs w:val="28"/>
        </w:rPr>
        <w:t>4.4 School type</w:t>
      </w:r>
    </w:p>
    <w:p w:rsidR="009D5CEF" w:rsidRPr="005C5E5A" w:rsidRDefault="00B5253E" w:rsidP="003A735C">
      <w:pPr>
        <w:jc w:val="both"/>
        <w:rPr>
          <w:rFonts w:asciiTheme="majorHAnsi" w:hAnsiTheme="majorHAnsi" w:cstheme="majorHAnsi"/>
          <w:sz w:val="28"/>
          <w:szCs w:val="28"/>
        </w:rPr>
      </w:pPr>
      <w:r w:rsidRPr="005C5E5A">
        <w:rPr>
          <w:rFonts w:asciiTheme="majorHAnsi" w:hAnsiTheme="majorHAnsi" w:cstheme="majorHAnsi"/>
          <w:sz w:val="28"/>
          <w:szCs w:val="28"/>
        </w:rPr>
        <w:t xml:space="preserve">The share of private secondary school enrolments is higher </w:t>
      </w:r>
      <w:r w:rsidR="00DB2291">
        <w:rPr>
          <w:rFonts w:asciiTheme="majorHAnsi" w:hAnsiTheme="majorHAnsi" w:cstheme="majorHAnsi"/>
          <w:sz w:val="28"/>
          <w:szCs w:val="28"/>
        </w:rPr>
        <w:t xml:space="preserve">than share of private school enrolments </w:t>
      </w:r>
      <w:r w:rsidRPr="005C5E5A">
        <w:rPr>
          <w:rFonts w:asciiTheme="majorHAnsi" w:hAnsiTheme="majorHAnsi" w:cstheme="majorHAnsi"/>
          <w:sz w:val="28"/>
          <w:szCs w:val="28"/>
        </w:rPr>
        <w:t>in nearly three-quarters of (mainland)</w:t>
      </w:r>
      <w:r w:rsidR="00751C94" w:rsidRPr="005C5E5A">
        <w:rPr>
          <w:rStyle w:val="FootnoteReference"/>
          <w:rFonts w:asciiTheme="majorHAnsi" w:hAnsiTheme="majorHAnsi" w:cstheme="majorHAnsi"/>
          <w:sz w:val="28"/>
          <w:szCs w:val="28"/>
        </w:rPr>
        <w:footnoteReference w:id="12"/>
      </w:r>
      <w:r w:rsidRPr="005C5E5A">
        <w:rPr>
          <w:rFonts w:asciiTheme="majorHAnsi" w:hAnsiTheme="majorHAnsi" w:cstheme="majorHAnsi"/>
          <w:sz w:val="28"/>
          <w:szCs w:val="28"/>
        </w:rPr>
        <w:t xml:space="preserve"> countries in SSA (see Figure 3). </w:t>
      </w:r>
      <w:r w:rsidR="008F70A9" w:rsidRPr="005C5E5A">
        <w:rPr>
          <w:rFonts w:asciiTheme="majorHAnsi" w:hAnsiTheme="majorHAnsi" w:cstheme="majorHAnsi"/>
          <w:sz w:val="28"/>
          <w:szCs w:val="28"/>
        </w:rPr>
        <w:t xml:space="preserve"> This enrolment share difference is appreciably higher (five percentage points) in 40% of countries. Although private secondary schooling is </w:t>
      </w:r>
      <w:r w:rsidR="00065A14" w:rsidRPr="005C5E5A">
        <w:rPr>
          <w:rFonts w:asciiTheme="majorHAnsi" w:hAnsiTheme="majorHAnsi" w:cstheme="majorHAnsi"/>
          <w:sz w:val="28"/>
          <w:szCs w:val="28"/>
        </w:rPr>
        <w:t xml:space="preserve">typically </w:t>
      </w:r>
      <w:r w:rsidR="006C6430">
        <w:rPr>
          <w:rFonts w:asciiTheme="majorHAnsi" w:hAnsiTheme="majorHAnsi" w:cstheme="majorHAnsi"/>
          <w:sz w:val="28"/>
          <w:szCs w:val="28"/>
        </w:rPr>
        <w:t xml:space="preserve">considerably </w:t>
      </w:r>
      <w:r w:rsidR="006C6430" w:rsidRPr="005C5E5A">
        <w:rPr>
          <w:rFonts w:asciiTheme="majorHAnsi" w:hAnsiTheme="majorHAnsi" w:cstheme="majorHAnsi"/>
          <w:sz w:val="28"/>
          <w:szCs w:val="28"/>
        </w:rPr>
        <w:t xml:space="preserve">more costly then private primary schooling, it is the </w:t>
      </w:r>
      <w:r w:rsidR="006C6430">
        <w:rPr>
          <w:rFonts w:asciiTheme="majorHAnsi" w:hAnsiTheme="majorHAnsi" w:cstheme="majorHAnsi"/>
          <w:sz w:val="28"/>
          <w:szCs w:val="28"/>
        </w:rPr>
        <w:t>g</w:t>
      </w:r>
      <w:r w:rsidR="006C6430" w:rsidRPr="005C5E5A">
        <w:rPr>
          <w:rFonts w:asciiTheme="majorHAnsi" w:hAnsiTheme="majorHAnsi" w:cstheme="majorHAnsi"/>
          <w:sz w:val="28"/>
          <w:szCs w:val="28"/>
        </w:rPr>
        <w:t>reater scarcity</w:t>
      </w:r>
      <w:r w:rsidR="009D5CEF" w:rsidRPr="009D5CEF">
        <w:rPr>
          <w:rFonts w:asciiTheme="majorHAnsi" w:hAnsiTheme="majorHAnsi" w:cstheme="majorHAnsi"/>
          <w:sz w:val="28"/>
          <w:szCs w:val="28"/>
        </w:rPr>
        <w:t xml:space="preserve"> </w:t>
      </w:r>
      <w:r w:rsidR="009D5CEF" w:rsidRPr="005C5E5A">
        <w:rPr>
          <w:rFonts w:asciiTheme="majorHAnsi" w:hAnsiTheme="majorHAnsi" w:cstheme="majorHAnsi"/>
          <w:sz w:val="28"/>
          <w:szCs w:val="28"/>
        </w:rPr>
        <w:t>of secondary school places that it is likely to be the main reason for the larger incidence of private secondary school enrolments. Certainly gross enrolment ratios are much lower for secondary than primary education in much of SSA</w:t>
      </w:r>
      <w:r w:rsidR="009D5CEF" w:rsidRPr="005C5E5A">
        <w:rPr>
          <w:rStyle w:val="FootnoteReference"/>
          <w:rFonts w:asciiTheme="majorHAnsi" w:hAnsiTheme="majorHAnsi" w:cstheme="majorHAnsi"/>
          <w:sz w:val="28"/>
          <w:szCs w:val="28"/>
        </w:rPr>
        <w:footnoteReference w:id="13"/>
      </w:r>
      <w:r w:rsidR="009D5CEF" w:rsidRPr="005C5E5A">
        <w:rPr>
          <w:rFonts w:asciiTheme="majorHAnsi" w:hAnsiTheme="majorHAnsi" w:cstheme="majorHAnsi"/>
          <w:sz w:val="28"/>
          <w:szCs w:val="28"/>
        </w:rPr>
        <w:t xml:space="preserve">.       </w:t>
      </w:r>
    </w:p>
    <w:p w:rsidR="006C6430" w:rsidRPr="005C5E5A" w:rsidRDefault="006C6430" w:rsidP="006C6430">
      <w:pPr>
        <w:jc w:val="both"/>
        <w:rPr>
          <w:rFonts w:asciiTheme="majorHAnsi" w:hAnsiTheme="majorHAnsi" w:cstheme="majorHAnsi"/>
          <w:sz w:val="28"/>
          <w:szCs w:val="28"/>
        </w:rPr>
      </w:pPr>
      <w:r w:rsidRPr="005C5E5A">
        <w:rPr>
          <w:rFonts w:asciiTheme="majorHAnsi" w:hAnsiTheme="majorHAnsi" w:cstheme="majorHAnsi"/>
          <w:sz w:val="28"/>
          <w:szCs w:val="28"/>
        </w:rPr>
        <w:t xml:space="preserve"> </w:t>
      </w:r>
    </w:p>
    <w:p w:rsidR="009D5CEF" w:rsidRDefault="006C6430" w:rsidP="009D5CEF">
      <w:pPr>
        <w:rPr>
          <w:rFonts w:asciiTheme="majorHAnsi" w:hAnsiTheme="majorHAnsi" w:cstheme="majorHAnsi"/>
          <w:i/>
          <w:sz w:val="28"/>
          <w:szCs w:val="28"/>
        </w:rPr>
      </w:pPr>
      <w:r>
        <w:rPr>
          <w:rFonts w:asciiTheme="majorHAnsi" w:hAnsiTheme="majorHAnsi" w:cstheme="majorHAnsi"/>
          <w:i/>
          <w:sz w:val="28"/>
          <w:szCs w:val="28"/>
        </w:rPr>
        <w:t xml:space="preserve"> </w:t>
      </w:r>
    </w:p>
    <w:p w:rsidR="00B5253E" w:rsidRPr="006C6430" w:rsidRDefault="00474E2B" w:rsidP="009D5CEF">
      <w:pPr>
        <w:rPr>
          <w:rFonts w:asciiTheme="majorHAnsi" w:hAnsiTheme="majorHAnsi" w:cstheme="majorHAnsi"/>
          <w:i/>
          <w:sz w:val="28"/>
          <w:szCs w:val="28"/>
        </w:rPr>
      </w:pPr>
      <w:r>
        <w:rPr>
          <w:rFonts w:asciiTheme="majorHAnsi" w:hAnsiTheme="majorHAnsi" w:cstheme="majorHAnsi"/>
          <w:i/>
          <w:sz w:val="28"/>
          <w:szCs w:val="28"/>
        </w:rPr>
        <w:t xml:space="preserve">4.5 </w:t>
      </w:r>
      <w:r w:rsidR="00B5253E" w:rsidRPr="006C6430">
        <w:rPr>
          <w:rFonts w:asciiTheme="majorHAnsi" w:hAnsiTheme="majorHAnsi" w:cstheme="majorHAnsi"/>
          <w:i/>
          <w:sz w:val="28"/>
          <w:szCs w:val="28"/>
        </w:rPr>
        <w:t>Incidence trends</w:t>
      </w:r>
    </w:p>
    <w:p w:rsidR="000D57D6" w:rsidRDefault="00F06BDD" w:rsidP="00F06BDD">
      <w:pPr>
        <w:jc w:val="both"/>
        <w:rPr>
          <w:rFonts w:asciiTheme="majorHAnsi" w:hAnsiTheme="majorHAnsi" w:cstheme="majorHAnsi"/>
          <w:sz w:val="28"/>
          <w:szCs w:val="28"/>
        </w:rPr>
      </w:pPr>
      <w:r w:rsidRPr="005C5E5A">
        <w:rPr>
          <w:rFonts w:asciiTheme="majorHAnsi" w:hAnsiTheme="majorHAnsi" w:cstheme="majorHAnsi"/>
          <w:sz w:val="28"/>
          <w:szCs w:val="28"/>
        </w:rPr>
        <w:t>The o</w:t>
      </w:r>
      <w:r w:rsidR="00DB2291">
        <w:rPr>
          <w:rFonts w:asciiTheme="majorHAnsi" w:hAnsiTheme="majorHAnsi" w:cstheme="majorHAnsi"/>
          <w:sz w:val="28"/>
          <w:szCs w:val="28"/>
        </w:rPr>
        <w:t xml:space="preserve">verall enrolment shares of PSP </w:t>
      </w:r>
      <w:r w:rsidRPr="005C5E5A">
        <w:rPr>
          <w:rFonts w:asciiTheme="majorHAnsi" w:hAnsiTheme="majorHAnsi" w:cstheme="majorHAnsi"/>
          <w:sz w:val="28"/>
          <w:szCs w:val="28"/>
        </w:rPr>
        <w:t>increased by only around four percentage points for both primary and secondary schooling between the</w:t>
      </w:r>
      <w:r w:rsidR="00751C94" w:rsidRPr="005C5E5A">
        <w:rPr>
          <w:rFonts w:asciiTheme="majorHAnsi" w:hAnsiTheme="majorHAnsi" w:cstheme="majorHAnsi"/>
          <w:sz w:val="28"/>
          <w:szCs w:val="28"/>
        </w:rPr>
        <w:t xml:space="preserve"> early 2000s and the late 2010s</w:t>
      </w:r>
      <w:r w:rsidRPr="005C5E5A">
        <w:rPr>
          <w:rFonts w:asciiTheme="majorHAnsi" w:hAnsiTheme="majorHAnsi" w:cstheme="majorHAnsi"/>
          <w:sz w:val="28"/>
          <w:szCs w:val="28"/>
        </w:rPr>
        <w:t xml:space="preserve">. Again, however, </w:t>
      </w:r>
      <w:r w:rsidR="00751C94" w:rsidRPr="005C5E5A">
        <w:rPr>
          <w:rFonts w:asciiTheme="majorHAnsi" w:hAnsiTheme="majorHAnsi" w:cstheme="majorHAnsi"/>
          <w:sz w:val="28"/>
          <w:szCs w:val="28"/>
        </w:rPr>
        <w:t>these averages</w:t>
      </w:r>
      <w:r w:rsidR="00780EAB">
        <w:rPr>
          <w:rFonts w:asciiTheme="majorHAnsi" w:hAnsiTheme="majorHAnsi" w:cstheme="majorHAnsi"/>
          <w:sz w:val="28"/>
          <w:szCs w:val="28"/>
        </w:rPr>
        <w:t xml:space="preserve"> </w:t>
      </w:r>
      <w:r w:rsidR="00780EAB" w:rsidRPr="005C5E5A">
        <w:rPr>
          <w:rFonts w:asciiTheme="majorHAnsi" w:hAnsiTheme="majorHAnsi" w:cstheme="majorHAnsi"/>
          <w:sz w:val="28"/>
          <w:szCs w:val="28"/>
        </w:rPr>
        <w:t xml:space="preserve">mask </w:t>
      </w:r>
      <w:r w:rsidR="00DB2291">
        <w:rPr>
          <w:rFonts w:asciiTheme="majorHAnsi" w:hAnsiTheme="majorHAnsi" w:cstheme="majorHAnsi"/>
          <w:sz w:val="28"/>
          <w:szCs w:val="28"/>
        </w:rPr>
        <w:t xml:space="preserve">sizeable </w:t>
      </w:r>
      <w:r w:rsidR="00780EAB" w:rsidRPr="005C5E5A">
        <w:rPr>
          <w:rFonts w:asciiTheme="majorHAnsi" w:hAnsiTheme="majorHAnsi" w:cstheme="majorHAnsi"/>
          <w:sz w:val="28"/>
          <w:szCs w:val="28"/>
        </w:rPr>
        <w:t xml:space="preserve">variations between countries. For primary education, the private sector enrolment share increased by over 10 percentage points in six countries, remained largely unchanged in 11 countries and declined in </w:t>
      </w:r>
      <w:r w:rsidR="00DB2291">
        <w:rPr>
          <w:rFonts w:asciiTheme="majorHAnsi" w:hAnsiTheme="majorHAnsi" w:cstheme="majorHAnsi"/>
          <w:sz w:val="28"/>
          <w:szCs w:val="28"/>
        </w:rPr>
        <w:t xml:space="preserve">only </w:t>
      </w:r>
      <w:r w:rsidR="00780EAB" w:rsidRPr="005C5E5A">
        <w:rPr>
          <w:rFonts w:asciiTheme="majorHAnsi" w:hAnsiTheme="majorHAnsi" w:cstheme="majorHAnsi"/>
          <w:sz w:val="28"/>
          <w:szCs w:val="28"/>
        </w:rPr>
        <w:t>two</w:t>
      </w:r>
      <w:r w:rsidR="00DB2291">
        <w:rPr>
          <w:rFonts w:asciiTheme="majorHAnsi" w:hAnsiTheme="majorHAnsi" w:cstheme="majorHAnsi"/>
          <w:sz w:val="28"/>
          <w:szCs w:val="28"/>
        </w:rPr>
        <w:t xml:space="preserve"> countries</w:t>
      </w:r>
      <w:r w:rsidR="00780EAB" w:rsidRPr="005C5E5A">
        <w:rPr>
          <w:rFonts w:asciiTheme="majorHAnsi" w:hAnsiTheme="majorHAnsi" w:cstheme="majorHAnsi"/>
          <w:sz w:val="28"/>
          <w:szCs w:val="28"/>
        </w:rPr>
        <w:t xml:space="preserve">. By contrast, this pattern of change has been markedly different for private secondary education (see Table </w:t>
      </w:r>
      <w:r w:rsidR="003A735C">
        <w:rPr>
          <w:rFonts w:asciiTheme="majorHAnsi" w:hAnsiTheme="majorHAnsi" w:cstheme="majorHAnsi"/>
          <w:sz w:val="28"/>
          <w:szCs w:val="28"/>
        </w:rPr>
        <w:t>3</w:t>
      </w:r>
      <w:r w:rsidR="00780EAB" w:rsidRPr="005C5E5A">
        <w:rPr>
          <w:rFonts w:asciiTheme="majorHAnsi" w:hAnsiTheme="majorHAnsi" w:cstheme="majorHAnsi"/>
          <w:sz w:val="28"/>
          <w:szCs w:val="28"/>
        </w:rPr>
        <w:t>). In particular, whereas the enrolment share</w:t>
      </w:r>
      <w:r w:rsidR="00F1799F">
        <w:rPr>
          <w:rFonts w:asciiTheme="majorHAnsi" w:hAnsiTheme="majorHAnsi" w:cstheme="majorHAnsi"/>
          <w:sz w:val="28"/>
          <w:szCs w:val="28"/>
        </w:rPr>
        <w:t>s</w:t>
      </w:r>
      <w:r w:rsidR="00780EAB" w:rsidRPr="005C5E5A">
        <w:rPr>
          <w:rFonts w:asciiTheme="majorHAnsi" w:hAnsiTheme="majorHAnsi" w:cstheme="majorHAnsi"/>
          <w:sz w:val="28"/>
          <w:szCs w:val="28"/>
        </w:rPr>
        <w:t xml:space="preserve"> of </w:t>
      </w:r>
      <w:r w:rsidR="00F1799F">
        <w:rPr>
          <w:rFonts w:asciiTheme="majorHAnsi" w:hAnsiTheme="majorHAnsi" w:cstheme="majorHAnsi"/>
          <w:sz w:val="28"/>
          <w:szCs w:val="28"/>
        </w:rPr>
        <w:t>secondary private schools</w:t>
      </w:r>
      <w:r w:rsidR="00780EAB" w:rsidRPr="005C5E5A">
        <w:rPr>
          <w:rFonts w:asciiTheme="majorHAnsi" w:hAnsiTheme="majorHAnsi" w:cstheme="majorHAnsi"/>
          <w:sz w:val="28"/>
          <w:szCs w:val="28"/>
        </w:rPr>
        <w:t xml:space="preserve"> declined in over 10 countries</w:t>
      </w:r>
      <w:r w:rsidR="00C93045">
        <w:rPr>
          <w:rFonts w:asciiTheme="majorHAnsi" w:hAnsiTheme="majorHAnsi" w:cstheme="majorHAnsi"/>
          <w:sz w:val="28"/>
          <w:szCs w:val="28"/>
        </w:rPr>
        <w:t xml:space="preserve"> (37% of the total) which suggests that in these countries, the market for secondary PSP is becoming saturated</w:t>
      </w:r>
      <w:r w:rsidR="00780EAB" w:rsidRPr="005C5E5A">
        <w:rPr>
          <w:rFonts w:asciiTheme="majorHAnsi" w:hAnsiTheme="majorHAnsi" w:cstheme="majorHAnsi"/>
          <w:sz w:val="28"/>
          <w:szCs w:val="28"/>
        </w:rPr>
        <w:t>. Only in a small minority of countries has the rate of growth in the share of the private sector increased during the last 20 years. For most, it has remained unchanged.</w:t>
      </w:r>
      <w:r w:rsidR="00751C94" w:rsidRPr="005C5E5A">
        <w:rPr>
          <w:rFonts w:asciiTheme="majorHAnsi" w:hAnsiTheme="majorHAnsi" w:cstheme="majorHAnsi"/>
          <w:sz w:val="28"/>
          <w:szCs w:val="28"/>
        </w:rPr>
        <w:t xml:space="preserve"> </w:t>
      </w:r>
    </w:p>
    <w:p w:rsidR="00DD5861" w:rsidRPr="005C5E5A" w:rsidRDefault="00474E2B" w:rsidP="00751C94">
      <w:pPr>
        <w:rPr>
          <w:rFonts w:asciiTheme="majorHAnsi" w:hAnsiTheme="majorHAnsi" w:cstheme="majorHAnsi"/>
          <w:i/>
          <w:sz w:val="28"/>
          <w:szCs w:val="28"/>
        </w:rPr>
      </w:pPr>
      <w:r>
        <w:rPr>
          <w:rFonts w:asciiTheme="majorHAnsi" w:hAnsiTheme="majorHAnsi" w:cstheme="majorHAnsi"/>
          <w:i/>
          <w:sz w:val="28"/>
          <w:szCs w:val="28"/>
        </w:rPr>
        <w:t xml:space="preserve">4.6 </w:t>
      </w:r>
      <w:r w:rsidR="007821EC" w:rsidRPr="005C5E5A">
        <w:rPr>
          <w:rFonts w:asciiTheme="majorHAnsi" w:hAnsiTheme="majorHAnsi" w:cstheme="majorHAnsi"/>
          <w:i/>
          <w:sz w:val="28"/>
          <w:szCs w:val="28"/>
        </w:rPr>
        <w:t>Gender</w:t>
      </w:r>
      <w:r w:rsidR="00DD5861" w:rsidRPr="005C5E5A">
        <w:rPr>
          <w:rFonts w:asciiTheme="majorHAnsi" w:hAnsiTheme="majorHAnsi" w:cstheme="majorHAnsi"/>
          <w:i/>
          <w:sz w:val="28"/>
          <w:szCs w:val="28"/>
        </w:rPr>
        <w:t xml:space="preserve"> </w:t>
      </w:r>
    </w:p>
    <w:p w:rsidR="002506DA" w:rsidRPr="005C5E5A" w:rsidRDefault="002506DA" w:rsidP="001B7F09">
      <w:pPr>
        <w:jc w:val="both"/>
        <w:rPr>
          <w:rFonts w:asciiTheme="majorHAnsi" w:hAnsiTheme="majorHAnsi" w:cstheme="majorHAnsi"/>
          <w:sz w:val="28"/>
          <w:szCs w:val="28"/>
        </w:rPr>
      </w:pPr>
      <w:r w:rsidRPr="005C5E5A">
        <w:rPr>
          <w:rFonts w:asciiTheme="majorHAnsi" w:hAnsiTheme="majorHAnsi" w:cstheme="majorHAnsi"/>
          <w:sz w:val="28"/>
          <w:szCs w:val="28"/>
        </w:rPr>
        <w:t xml:space="preserve">The </w:t>
      </w:r>
      <w:r w:rsidR="00023F93" w:rsidRPr="005C5E5A">
        <w:rPr>
          <w:rFonts w:asciiTheme="majorHAnsi" w:hAnsiTheme="majorHAnsi" w:cstheme="majorHAnsi"/>
          <w:sz w:val="28"/>
          <w:szCs w:val="28"/>
        </w:rPr>
        <w:t xml:space="preserve">2014 </w:t>
      </w:r>
      <w:r w:rsidR="00F1799F">
        <w:rPr>
          <w:rFonts w:asciiTheme="majorHAnsi" w:hAnsiTheme="majorHAnsi" w:cstheme="majorHAnsi"/>
          <w:sz w:val="28"/>
          <w:szCs w:val="28"/>
        </w:rPr>
        <w:t>systemic r</w:t>
      </w:r>
      <w:r w:rsidRPr="005C5E5A">
        <w:rPr>
          <w:rFonts w:asciiTheme="majorHAnsi" w:hAnsiTheme="majorHAnsi" w:cstheme="majorHAnsi"/>
          <w:sz w:val="28"/>
          <w:szCs w:val="28"/>
        </w:rPr>
        <w:t xml:space="preserve">eview </w:t>
      </w:r>
      <w:r w:rsidR="00751C94" w:rsidRPr="005C5E5A">
        <w:rPr>
          <w:rFonts w:asciiTheme="majorHAnsi" w:hAnsiTheme="majorHAnsi" w:cstheme="majorHAnsi"/>
          <w:sz w:val="28"/>
          <w:szCs w:val="28"/>
        </w:rPr>
        <w:t xml:space="preserve">of PSP </w:t>
      </w:r>
      <w:r w:rsidRPr="005C5E5A">
        <w:rPr>
          <w:rFonts w:asciiTheme="majorHAnsi" w:hAnsiTheme="majorHAnsi" w:cstheme="majorHAnsi"/>
          <w:sz w:val="28"/>
          <w:szCs w:val="28"/>
        </w:rPr>
        <w:t xml:space="preserve">concludes that ‘there is rigorous evidence, largely from Pakistan and India, that private schooling is not equally accessed by </w:t>
      </w:r>
      <w:r w:rsidR="00F1799F">
        <w:rPr>
          <w:rFonts w:asciiTheme="majorHAnsi" w:hAnsiTheme="majorHAnsi" w:cstheme="majorHAnsi"/>
          <w:sz w:val="28"/>
          <w:szCs w:val="28"/>
        </w:rPr>
        <w:t>boys and girls</w:t>
      </w:r>
      <w:r w:rsidRPr="005C5E5A">
        <w:rPr>
          <w:rFonts w:asciiTheme="majorHAnsi" w:hAnsiTheme="majorHAnsi" w:cstheme="majorHAnsi"/>
          <w:sz w:val="28"/>
          <w:szCs w:val="28"/>
        </w:rPr>
        <w:t>’ and that gender disparity is generally greater in private than in public schools, (</w:t>
      </w:r>
      <w:r w:rsidR="00F1799F">
        <w:rPr>
          <w:rFonts w:asciiTheme="majorHAnsi" w:hAnsiTheme="majorHAnsi" w:cstheme="majorHAnsi"/>
          <w:sz w:val="28"/>
          <w:szCs w:val="28"/>
        </w:rPr>
        <w:t>op.cit:</w:t>
      </w:r>
      <w:r w:rsidRPr="005C5E5A">
        <w:rPr>
          <w:rFonts w:asciiTheme="majorHAnsi" w:hAnsiTheme="majorHAnsi" w:cstheme="majorHAnsi"/>
          <w:sz w:val="28"/>
          <w:szCs w:val="28"/>
        </w:rPr>
        <w:t xml:space="preserve">24). </w:t>
      </w:r>
      <w:r w:rsidR="00F268C2" w:rsidRPr="005C5E5A">
        <w:rPr>
          <w:rFonts w:asciiTheme="majorHAnsi" w:hAnsiTheme="majorHAnsi" w:cstheme="majorHAnsi"/>
          <w:sz w:val="28"/>
          <w:szCs w:val="28"/>
        </w:rPr>
        <w:t>In short, there is s</w:t>
      </w:r>
      <w:r w:rsidR="000E194D" w:rsidRPr="005C5E5A">
        <w:rPr>
          <w:rFonts w:asciiTheme="majorHAnsi" w:hAnsiTheme="majorHAnsi" w:cstheme="majorHAnsi"/>
          <w:sz w:val="28"/>
          <w:szCs w:val="28"/>
        </w:rPr>
        <w:t xml:space="preserve">trong selection bias towards boys.  </w:t>
      </w:r>
      <w:r w:rsidRPr="005C5E5A">
        <w:rPr>
          <w:rFonts w:asciiTheme="majorHAnsi" w:hAnsiTheme="majorHAnsi" w:cstheme="majorHAnsi"/>
          <w:sz w:val="28"/>
          <w:szCs w:val="28"/>
        </w:rPr>
        <w:t xml:space="preserve"> </w:t>
      </w:r>
    </w:p>
    <w:p w:rsidR="00C93045" w:rsidRDefault="00C93045" w:rsidP="00C93045">
      <w:pPr>
        <w:jc w:val="both"/>
      </w:pPr>
      <w:r w:rsidRPr="005C5E5A">
        <w:rPr>
          <w:rFonts w:asciiTheme="majorHAnsi" w:hAnsiTheme="majorHAnsi" w:cstheme="majorHAnsi"/>
          <w:sz w:val="28"/>
          <w:szCs w:val="28"/>
        </w:rPr>
        <w:t>The MICS</w:t>
      </w:r>
      <w:r>
        <w:rPr>
          <w:rFonts w:asciiTheme="majorHAnsi" w:hAnsiTheme="majorHAnsi" w:cstheme="majorHAnsi"/>
          <w:sz w:val="28"/>
          <w:szCs w:val="28"/>
        </w:rPr>
        <w:t xml:space="preserve"> </w:t>
      </w:r>
      <w:r w:rsidRPr="005C5E5A">
        <w:rPr>
          <w:rFonts w:asciiTheme="majorHAnsi" w:hAnsiTheme="majorHAnsi" w:cstheme="majorHAnsi"/>
          <w:sz w:val="28"/>
          <w:szCs w:val="28"/>
        </w:rPr>
        <w:t xml:space="preserve">survey data indicates that this is </w:t>
      </w:r>
      <w:r>
        <w:rPr>
          <w:rFonts w:asciiTheme="majorHAnsi" w:hAnsiTheme="majorHAnsi" w:cstheme="majorHAnsi"/>
          <w:sz w:val="28"/>
          <w:szCs w:val="28"/>
        </w:rPr>
        <w:t xml:space="preserve">certainly </w:t>
      </w:r>
      <w:r w:rsidRPr="005C5E5A">
        <w:rPr>
          <w:rFonts w:asciiTheme="majorHAnsi" w:hAnsiTheme="majorHAnsi" w:cstheme="majorHAnsi"/>
          <w:sz w:val="28"/>
          <w:szCs w:val="28"/>
        </w:rPr>
        <w:t xml:space="preserve">not the case in SSA. In the seven MICS6 survey countries, there is almost complete gender parity with respect to enrolments at private primary schools regardless of location. For private secondary schooling, the overall enrolment share of female students is, in fact, appreciably higher in five of the seven countries (see Table </w:t>
      </w:r>
      <w:r w:rsidR="003A735C">
        <w:rPr>
          <w:rFonts w:asciiTheme="majorHAnsi" w:hAnsiTheme="majorHAnsi" w:cstheme="majorHAnsi"/>
          <w:sz w:val="28"/>
          <w:szCs w:val="28"/>
        </w:rPr>
        <w:t>4</w:t>
      </w:r>
      <w:r w:rsidRPr="005C5E5A">
        <w:rPr>
          <w:rFonts w:asciiTheme="majorHAnsi" w:hAnsiTheme="majorHAnsi" w:cstheme="majorHAnsi"/>
          <w:sz w:val="28"/>
          <w:szCs w:val="28"/>
        </w:rPr>
        <w:t xml:space="preserve">). Similarly, </w:t>
      </w:r>
    </w:p>
    <w:p w:rsidR="001E3298" w:rsidRPr="005C5E5A" w:rsidRDefault="00C93045" w:rsidP="001B7F09">
      <w:pPr>
        <w:jc w:val="both"/>
        <w:rPr>
          <w:rFonts w:asciiTheme="majorHAnsi" w:hAnsiTheme="majorHAnsi" w:cstheme="majorHAnsi"/>
          <w:sz w:val="28"/>
          <w:szCs w:val="28"/>
        </w:rPr>
      </w:pPr>
      <w:r w:rsidRPr="005C5E5A">
        <w:rPr>
          <w:rFonts w:asciiTheme="majorHAnsi" w:hAnsiTheme="majorHAnsi" w:cstheme="majorHAnsi"/>
          <w:sz w:val="28"/>
          <w:szCs w:val="28"/>
        </w:rPr>
        <w:t xml:space="preserve">among each gender group, while the percentages attending private schools are roughly equal for primary schooling enrolments, they are slightly higher among </w:t>
      </w:r>
      <w:r w:rsidR="00BD393B" w:rsidRPr="005C5E5A">
        <w:rPr>
          <w:rFonts w:asciiTheme="majorHAnsi" w:hAnsiTheme="majorHAnsi" w:cstheme="majorHAnsi"/>
          <w:sz w:val="28"/>
          <w:szCs w:val="28"/>
        </w:rPr>
        <w:t>female students for secondary schooling</w:t>
      </w:r>
      <w:r w:rsidR="008A362C" w:rsidRPr="005C5E5A">
        <w:rPr>
          <w:rFonts w:asciiTheme="majorHAnsi" w:hAnsiTheme="majorHAnsi" w:cstheme="majorHAnsi"/>
          <w:sz w:val="28"/>
          <w:szCs w:val="28"/>
        </w:rPr>
        <w:t xml:space="preserve"> (see Table </w:t>
      </w:r>
      <w:r w:rsidR="003A735C">
        <w:rPr>
          <w:rFonts w:asciiTheme="majorHAnsi" w:hAnsiTheme="majorHAnsi" w:cstheme="majorHAnsi"/>
          <w:sz w:val="28"/>
          <w:szCs w:val="28"/>
        </w:rPr>
        <w:t>5</w:t>
      </w:r>
      <w:r w:rsidR="008A362C" w:rsidRPr="005C5E5A">
        <w:rPr>
          <w:rFonts w:asciiTheme="majorHAnsi" w:hAnsiTheme="majorHAnsi" w:cstheme="majorHAnsi"/>
          <w:sz w:val="28"/>
          <w:szCs w:val="28"/>
        </w:rPr>
        <w:t>)</w:t>
      </w:r>
      <w:r w:rsidR="00BD393B" w:rsidRPr="005C5E5A">
        <w:rPr>
          <w:rFonts w:asciiTheme="majorHAnsi" w:hAnsiTheme="majorHAnsi" w:cstheme="majorHAnsi"/>
          <w:sz w:val="28"/>
          <w:szCs w:val="28"/>
        </w:rPr>
        <w:t xml:space="preserve">.  </w:t>
      </w:r>
      <w:r w:rsidR="00E54597" w:rsidRPr="005C5E5A">
        <w:rPr>
          <w:rFonts w:asciiTheme="majorHAnsi" w:hAnsiTheme="majorHAnsi" w:cstheme="majorHAnsi"/>
          <w:sz w:val="28"/>
          <w:szCs w:val="28"/>
        </w:rPr>
        <w:t xml:space="preserve">This pattern is borne out with respect to the gender parity indexes </w:t>
      </w:r>
      <w:r w:rsidR="00751C94" w:rsidRPr="005C5E5A">
        <w:rPr>
          <w:rFonts w:asciiTheme="majorHAnsi" w:hAnsiTheme="majorHAnsi" w:cstheme="majorHAnsi"/>
          <w:sz w:val="28"/>
          <w:szCs w:val="28"/>
        </w:rPr>
        <w:t xml:space="preserve">(GPI) </w:t>
      </w:r>
      <w:r w:rsidR="00E54597" w:rsidRPr="005C5E5A">
        <w:rPr>
          <w:rFonts w:asciiTheme="majorHAnsi" w:hAnsiTheme="majorHAnsi" w:cstheme="majorHAnsi"/>
          <w:sz w:val="28"/>
          <w:szCs w:val="28"/>
        </w:rPr>
        <w:t xml:space="preserve">for private schools and for total enrolments. Table </w:t>
      </w:r>
      <w:r w:rsidR="003A735C">
        <w:rPr>
          <w:rFonts w:asciiTheme="majorHAnsi" w:hAnsiTheme="majorHAnsi" w:cstheme="majorHAnsi"/>
          <w:sz w:val="28"/>
          <w:szCs w:val="28"/>
        </w:rPr>
        <w:t>3</w:t>
      </w:r>
      <w:r w:rsidR="00E54597" w:rsidRPr="005C5E5A">
        <w:rPr>
          <w:rFonts w:asciiTheme="majorHAnsi" w:hAnsiTheme="majorHAnsi" w:cstheme="majorHAnsi"/>
          <w:sz w:val="28"/>
          <w:szCs w:val="28"/>
        </w:rPr>
        <w:t xml:space="preserve"> shows that for primary education, the GPIs for private education are the same or slightly higher than for the primary school population as a whole while they are appreciably higher for secondary school private education</w:t>
      </w:r>
      <w:r w:rsidR="00F1799F">
        <w:rPr>
          <w:rFonts w:asciiTheme="majorHAnsi" w:hAnsiTheme="majorHAnsi" w:cstheme="majorHAnsi"/>
          <w:sz w:val="28"/>
          <w:szCs w:val="28"/>
        </w:rPr>
        <w:t xml:space="preserve">. This </w:t>
      </w:r>
      <w:r w:rsidR="00E54597" w:rsidRPr="005C5E5A">
        <w:rPr>
          <w:rFonts w:asciiTheme="majorHAnsi" w:hAnsiTheme="majorHAnsi" w:cstheme="majorHAnsi"/>
          <w:sz w:val="28"/>
          <w:szCs w:val="28"/>
        </w:rPr>
        <w:t>suggests that there is a female preference f</w:t>
      </w:r>
      <w:r w:rsidR="00D611D3" w:rsidRPr="005C5E5A">
        <w:rPr>
          <w:rFonts w:asciiTheme="majorHAnsi" w:hAnsiTheme="majorHAnsi" w:cstheme="majorHAnsi"/>
          <w:sz w:val="28"/>
          <w:szCs w:val="28"/>
        </w:rPr>
        <w:t>or private education</w:t>
      </w:r>
      <w:r w:rsidR="00E54597" w:rsidRPr="005C5E5A">
        <w:rPr>
          <w:rFonts w:asciiTheme="majorHAnsi" w:hAnsiTheme="majorHAnsi" w:cstheme="majorHAnsi"/>
          <w:sz w:val="28"/>
          <w:szCs w:val="28"/>
        </w:rPr>
        <w:t xml:space="preserve"> and that </w:t>
      </w:r>
      <w:r w:rsidR="00D611D3" w:rsidRPr="005C5E5A">
        <w:rPr>
          <w:rFonts w:asciiTheme="majorHAnsi" w:hAnsiTheme="majorHAnsi" w:cstheme="majorHAnsi"/>
          <w:sz w:val="28"/>
          <w:szCs w:val="28"/>
        </w:rPr>
        <w:t xml:space="preserve">the provision of </w:t>
      </w:r>
      <w:r w:rsidR="00E54597" w:rsidRPr="005C5E5A">
        <w:rPr>
          <w:rFonts w:asciiTheme="majorHAnsi" w:hAnsiTheme="majorHAnsi" w:cstheme="majorHAnsi"/>
          <w:sz w:val="28"/>
          <w:szCs w:val="28"/>
        </w:rPr>
        <w:t xml:space="preserve">private </w:t>
      </w:r>
      <w:r w:rsidR="00D611D3" w:rsidRPr="005C5E5A">
        <w:rPr>
          <w:rFonts w:asciiTheme="majorHAnsi" w:hAnsiTheme="majorHAnsi" w:cstheme="majorHAnsi"/>
          <w:sz w:val="28"/>
          <w:szCs w:val="28"/>
        </w:rPr>
        <w:t xml:space="preserve">schooling </w:t>
      </w:r>
      <w:r w:rsidR="00F1799F">
        <w:rPr>
          <w:rFonts w:asciiTheme="majorHAnsi" w:hAnsiTheme="majorHAnsi" w:cstheme="majorHAnsi"/>
          <w:sz w:val="28"/>
          <w:szCs w:val="28"/>
        </w:rPr>
        <w:t xml:space="preserve">frequently </w:t>
      </w:r>
      <w:r w:rsidR="00D611D3" w:rsidRPr="005C5E5A">
        <w:rPr>
          <w:rFonts w:asciiTheme="majorHAnsi" w:hAnsiTheme="majorHAnsi" w:cstheme="majorHAnsi"/>
          <w:sz w:val="28"/>
          <w:szCs w:val="28"/>
        </w:rPr>
        <w:t xml:space="preserve">increases </w:t>
      </w:r>
      <w:r w:rsidR="006F670C" w:rsidRPr="005C5E5A">
        <w:rPr>
          <w:rFonts w:asciiTheme="majorHAnsi" w:hAnsiTheme="majorHAnsi" w:cstheme="majorHAnsi"/>
          <w:sz w:val="28"/>
          <w:szCs w:val="28"/>
        </w:rPr>
        <w:t>gender enrolment imbalances</w:t>
      </w:r>
      <w:r w:rsidR="00D611D3" w:rsidRPr="005C5E5A">
        <w:rPr>
          <w:rFonts w:asciiTheme="majorHAnsi" w:hAnsiTheme="majorHAnsi" w:cstheme="majorHAnsi"/>
          <w:sz w:val="28"/>
          <w:szCs w:val="28"/>
        </w:rPr>
        <w:t xml:space="preserve"> in favour of girls.</w:t>
      </w:r>
    </w:p>
    <w:p w:rsidR="0035064C" w:rsidRDefault="0035064C">
      <w:pPr>
        <w:rPr>
          <w:rFonts w:asciiTheme="majorHAnsi" w:hAnsiTheme="majorHAnsi" w:cstheme="majorHAnsi"/>
          <w:i/>
          <w:sz w:val="28"/>
          <w:szCs w:val="28"/>
        </w:rPr>
      </w:pPr>
      <w:r>
        <w:rPr>
          <w:rFonts w:asciiTheme="majorHAnsi" w:hAnsiTheme="majorHAnsi" w:cstheme="majorHAnsi"/>
          <w:i/>
          <w:sz w:val="28"/>
          <w:szCs w:val="28"/>
        </w:rPr>
        <w:br w:type="page"/>
      </w:r>
    </w:p>
    <w:p w:rsidR="007821EC" w:rsidRPr="005C5E5A" w:rsidRDefault="00474E2B" w:rsidP="001B7F09">
      <w:pPr>
        <w:jc w:val="both"/>
        <w:rPr>
          <w:rFonts w:asciiTheme="majorHAnsi" w:hAnsiTheme="majorHAnsi" w:cstheme="majorHAnsi"/>
          <w:i/>
          <w:sz w:val="28"/>
          <w:szCs w:val="28"/>
        </w:rPr>
      </w:pPr>
      <w:r>
        <w:rPr>
          <w:rFonts w:asciiTheme="majorHAnsi" w:hAnsiTheme="majorHAnsi" w:cstheme="majorHAnsi"/>
          <w:i/>
          <w:sz w:val="28"/>
          <w:szCs w:val="28"/>
        </w:rPr>
        <w:t xml:space="preserve">4.7 </w:t>
      </w:r>
      <w:r w:rsidR="007821EC" w:rsidRPr="005C5E5A">
        <w:rPr>
          <w:rFonts w:asciiTheme="majorHAnsi" w:hAnsiTheme="majorHAnsi" w:cstheme="majorHAnsi"/>
          <w:i/>
          <w:sz w:val="28"/>
          <w:szCs w:val="28"/>
        </w:rPr>
        <w:t>Location</w:t>
      </w:r>
    </w:p>
    <w:p w:rsidR="00EF055F" w:rsidRPr="005C5E5A" w:rsidRDefault="001642A9" w:rsidP="00806557">
      <w:pPr>
        <w:jc w:val="both"/>
        <w:rPr>
          <w:rFonts w:asciiTheme="majorHAnsi" w:hAnsiTheme="majorHAnsi" w:cstheme="majorHAnsi"/>
          <w:sz w:val="28"/>
          <w:szCs w:val="28"/>
        </w:rPr>
      </w:pPr>
      <w:r>
        <w:rPr>
          <w:rFonts w:asciiTheme="majorHAnsi" w:hAnsiTheme="majorHAnsi" w:cstheme="majorHAnsi"/>
          <w:sz w:val="28"/>
          <w:szCs w:val="28"/>
        </w:rPr>
        <w:t>E</w:t>
      </w:r>
      <w:r w:rsidR="00DD445B" w:rsidRPr="005C5E5A">
        <w:rPr>
          <w:rFonts w:asciiTheme="majorHAnsi" w:hAnsiTheme="majorHAnsi" w:cstheme="majorHAnsi"/>
          <w:sz w:val="28"/>
          <w:szCs w:val="28"/>
        </w:rPr>
        <w:t xml:space="preserve">ven though </w:t>
      </w:r>
      <w:r w:rsidR="00804927" w:rsidRPr="005C5E5A">
        <w:rPr>
          <w:rFonts w:asciiTheme="majorHAnsi" w:hAnsiTheme="majorHAnsi" w:cstheme="majorHAnsi"/>
          <w:sz w:val="28"/>
          <w:szCs w:val="28"/>
        </w:rPr>
        <w:t xml:space="preserve">the </w:t>
      </w:r>
      <w:r>
        <w:rPr>
          <w:rFonts w:asciiTheme="majorHAnsi" w:hAnsiTheme="majorHAnsi" w:cstheme="majorHAnsi"/>
          <w:sz w:val="28"/>
          <w:szCs w:val="28"/>
        </w:rPr>
        <w:t xml:space="preserve">large majority of school-aged </w:t>
      </w:r>
      <w:r w:rsidR="00944AA4" w:rsidRPr="005C5E5A">
        <w:rPr>
          <w:rFonts w:asciiTheme="majorHAnsi" w:hAnsiTheme="majorHAnsi" w:cstheme="majorHAnsi"/>
          <w:sz w:val="28"/>
          <w:szCs w:val="28"/>
        </w:rPr>
        <w:t>population</w:t>
      </w:r>
      <w:r>
        <w:rPr>
          <w:rFonts w:asciiTheme="majorHAnsi" w:hAnsiTheme="majorHAnsi" w:cstheme="majorHAnsi"/>
          <w:sz w:val="28"/>
          <w:szCs w:val="28"/>
        </w:rPr>
        <w:t xml:space="preserve"> in t</w:t>
      </w:r>
      <w:r w:rsidR="009E2FD1" w:rsidRPr="005C5E5A">
        <w:rPr>
          <w:rFonts w:asciiTheme="majorHAnsi" w:hAnsiTheme="majorHAnsi" w:cstheme="majorHAnsi"/>
          <w:sz w:val="28"/>
          <w:szCs w:val="28"/>
        </w:rPr>
        <w:t>he</w:t>
      </w:r>
      <w:r>
        <w:rPr>
          <w:rFonts w:asciiTheme="majorHAnsi" w:hAnsiTheme="majorHAnsi" w:cstheme="majorHAnsi"/>
          <w:sz w:val="28"/>
          <w:szCs w:val="28"/>
        </w:rPr>
        <w:t xml:space="preserve"> seven MICS </w:t>
      </w:r>
      <w:r w:rsidR="009E2FD1" w:rsidRPr="005C5E5A">
        <w:rPr>
          <w:rFonts w:asciiTheme="majorHAnsi" w:hAnsiTheme="majorHAnsi" w:cstheme="majorHAnsi"/>
          <w:sz w:val="28"/>
          <w:szCs w:val="28"/>
        </w:rPr>
        <w:t xml:space="preserve">countries </w:t>
      </w:r>
      <w:r w:rsidR="00944AA4" w:rsidRPr="005C5E5A">
        <w:rPr>
          <w:rFonts w:asciiTheme="majorHAnsi" w:hAnsiTheme="majorHAnsi" w:cstheme="majorHAnsi"/>
          <w:sz w:val="28"/>
          <w:szCs w:val="28"/>
        </w:rPr>
        <w:t>re</w:t>
      </w:r>
      <w:r>
        <w:rPr>
          <w:rFonts w:asciiTheme="majorHAnsi" w:hAnsiTheme="majorHAnsi" w:cstheme="majorHAnsi"/>
          <w:sz w:val="28"/>
          <w:szCs w:val="28"/>
        </w:rPr>
        <w:t xml:space="preserve">side in </w:t>
      </w:r>
      <w:r w:rsidR="00944AA4" w:rsidRPr="005C5E5A">
        <w:rPr>
          <w:rFonts w:asciiTheme="majorHAnsi" w:hAnsiTheme="majorHAnsi" w:cstheme="majorHAnsi"/>
          <w:sz w:val="28"/>
          <w:szCs w:val="28"/>
        </w:rPr>
        <w:t>rural</w:t>
      </w:r>
      <w:r>
        <w:rPr>
          <w:rFonts w:asciiTheme="majorHAnsi" w:hAnsiTheme="majorHAnsi" w:cstheme="majorHAnsi"/>
          <w:sz w:val="28"/>
          <w:szCs w:val="28"/>
        </w:rPr>
        <w:t xml:space="preserve"> area</w:t>
      </w:r>
      <w:r w:rsidR="00944AA4" w:rsidRPr="005C5E5A">
        <w:rPr>
          <w:rFonts w:asciiTheme="majorHAnsi" w:hAnsiTheme="majorHAnsi" w:cstheme="majorHAnsi"/>
          <w:sz w:val="28"/>
          <w:szCs w:val="28"/>
        </w:rPr>
        <w:t xml:space="preserve"> (see Table </w:t>
      </w:r>
      <w:r w:rsidR="003A735C">
        <w:rPr>
          <w:rFonts w:asciiTheme="majorHAnsi" w:hAnsiTheme="majorHAnsi" w:cstheme="majorHAnsi"/>
          <w:sz w:val="28"/>
          <w:szCs w:val="28"/>
        </w:rPr>
        <w:t>6</w:t>
      </w:r>
      <w:r w:rsidR="00944AA4" w:rsidRPr="005C5E5A">
        <w:rPr>
          <w:rFonts w:asciiTheme="majorHAnsi" w:hAnsiTheme="majorHAnsi" w:cstheme="majorHAnsi"/>
          <w:sz w:val="28"/>
          <w:szCs w:val="28"/>
        </w:rPr>
        <w:t>)</w:t>
      </w:r>
      <w:r w:rsidR="00DD445B" w:rsidRPr="005C5E5A">
        <w:rPr>
          <w:rFonts w:asciiTheme="majorHAnsi" w:hAnsiTheme="majorHAnsi" w:cstheme="majorHAnsi"/>
          <w:sz w:val="28"/>
          <w:szCs w:val="28"/>
        </w:rPr>
        <w:t xml:space="preserve">, </w:t>
      </w:r>
      <w:r w:rsidR="00CB1A88" w:rsidRPr="005C5E5A">
        <w:rPr>
          <w:rFonts w:asciiTheme="majorHAnsi" w:hAnsiTheme="majorHAnsi" w:cstheme="majorHAnsi"/>
          <w:sz w:val="28"/>
          <w:szCs w:val="28"/>
        </w:rPr>
        <w:t>t</w:t>
      </w:r>
      <w:r w:rsidR="006F670C" w:rsidRPr="005C5E5A">
        <w:rPr>
          <w:rFonts w:asciiTheme="majorHAnsi" w:hAnsiTheme="majorHAnsi" w:cstheme="majorHAnsi"/>
          <w:sz w:val="28"/>
          <w:szCs w:val="28"/>
        </w:rPr>
        <w:t>here is a strong urban bias with respect to private school enrolments particularly at the s</w:t>
      </w:r>
      <w:r w:rsidR="00751C94" w:rsidRPr="005C5E5A">
        <w:rPr>
          <w:rFonts w:asciiTheme="majorHAnsi" w:hAnsiTheme="majorHAnsi" w:cstheme="majorHAnsi"/>
          <w:sz w:val="28"/>
          <w:szCs w:val="28"/>
        </w:rPr>
        <w:t>econdary school level</w:t>
      </w:r>
      <w:r w:rsidR="006F670C" w:rsidRPr="005C5E5A">
        <w:rPr>
          <w:rFonts w:asciiTheme="majorHAnsi" w:hAnsiTheme="majorHAnsi" w:cstheme="majorHAnsi"/>
          <w:sz w:val="28"/>
          <w:szCs w:val="28"/>
        </w:rPr>
        <w:t>.</w:t>
      </w:r>
      <w:r w:rsidR="00CB1A88" w:rsidRPr="005C5E5A">
        <w:rPr>
          <w:rFonts w:asciiTheme="majorHAnsi" w:hAnsiTheme="majorHAnsi" w:cstheme="majorHAnsi"/>
          <w:sz w:val="28"/>
          <w:szCs w:val="28"/>
        </w:rPr>
        <w:t xml:space="preserve"> This urban bias is most acute in Sierra Leone, where despite the fact that rural dwellers account for </w:t>
      </w:r>
      <w:r>
        <w:rPr>
          <w:rFonts w:asciiTheme="majorHAnsi" w:hAnsiTheme="majorHAnsi" w:cstheme="majorHAnsi"/>
          <w:sz w:val="28"/>
          <w:szCs w:val="28"/>
        </w:rPr>
        <w:t>55%</w:t>
      </w:r>
      <w:r w:rsidR="00CB1A88" w:rsidRPr="005C5E5A">
        <w:rPr>
          <w:rFonts w:asciiTheme="majorHAnsi" w:hAnsiTheme="majorHAnsi" w:cstheme="majorHAnsi"/>
          <w:sz w:val="28"/>
          <w:szCs w:val="28"/>
        </w:rPr>
        <w:t xml:space="preserve"> of the </w:t>
      </w:r>
      <w:r>
        <w:rPr>
          <w:rFonts w:asciiTheme="majorHAnsi" w:hAnsiTheme="majorHAnsi" w:cstheme="majorHAnsi"/>
          <w:sz w:val="28"/>
          <w:szCs w:val="28"/>
        </w:rPr>
        <w:t>total school aged population</w:t>
      </w:r>
      <w:r w:rsidR="00CB1A88" w:rsidRPr="005C5E5A">
        <w:rPr>
          <w:rFonts w:asciiTheme="majorHAnsi" w:hAnsiTheme="majorHAnsi" w:cstheme="majorHAnsi"/>
          <w:sz w:val="28"/>
          <w:szCs w:val="28"/>
        </w:rPr>
        <w:t xml:space="preserve">, only 17% of private primary and 9% of private secondary school enrolments are in rural areas. </w:t>
      </w:r>
      <w:r w:rsidR="008671A3" w:rsidRPr="005C5E5A">
        <w:rPr>
          <w:rFonts w:asciiTheme="majorHAnsi" w:hAnsiTheme="majorHAnsi" w:cstheme="majorHAnsi"/>
          <w:sz w:val="28"/>
          <w:szCs w:val="28"/>
        </w:rPr>
        <w:t>Guinea Bissau and Madagascar are only t</w:t>
      </w:r>
      <w:r w:rsidR="00CB1A88" w:rsidRPr="005C5E5A">
        <w:rPr>
          <w:rFonts w:asciiTheme="majorHAnsi" w:hAnsiTheme="majorHAnsi" w:cstheme="majorHAnsi"/>
          <w:sz w:val="28"/>
          <w:szCs w:val="28"/>
        </w:rPr>
        <w:t>he two countries where</w:t>
      </w:r>
      <w:r w:rsidR="008671A3" w:rsidRPr="005C5E5A">
        <w:rPr>
          <w:rFonts w:asciiTheme="majorHAnsi" w:hAnsiTheme="majorHAnsi" w:cstheme="majorHAnsi"/>
          <w:sz w:val="28"/>
          <w:szCs w:val="28"/>
        </w:rPr>
        <w:t xml:space="preserve"> rural schools account for at least half of private primary school enrolments.</w:t>
      </w:r>
      <w:r w:rsidR="00E813DB" w:rsidRPr="005C5E5A">
        <w:rPr>
          <w:rFonts w:asciiTheme="majorHAnsi" w:hAnsiTheme="majorHAnsi" w:cstheme="majorHAnsi"/>
          <w:sz w:val="28"/>
          <w:szCs w:val="28"/>
        </w:rPr>
        <w:t xml:space="preserve"> Only in Ghana and Madagascar do rural private secondary schools enrol more than 30% of total private secondary school students.</w:t>
      </w:r>
    </w:p>
    <w:p w:rsidR="0003742F" w:rsidRDefault="0003742F" w:rsidP="0003742F">
      <w:pPr>
        <w:jc w:val="both"/>
        <w:rPr>
          <w:rFonts w:asciiTheme="majorHAnsi" w:hAnsiTheme="majorHAnsi" w:cstheme="majorHAnsi"/>
          <w:sz w:val="28"/>
          <w:szCs w:val="28"/>
        </w:rPr>
      </w:pPr>
      <w:r w:rsidRPr="005C5E5A">
        <w:rPr>
          <w:rFonts w:asciiTheme="majorHAnsi" w:hAnsiTheme="majorHAnsi" w:cstheme="majorHAnsi"/>
          <w:sz w:val="28"/>
          <w:szCs w:val="28"/>
        </w:rPr>
        <w:t>T</w:t>
      </w:r>
      <w:r w:rsidR="003A735C">
        <w:rPr>
          <w:rFonts w:asciiTheme="majorHAnsi" w:hAnsiTheme="majorHAnsi" w:cstheme="majorHAnsi"/>
          <w:sz w:val="28"/>
          <w:szCs w:val="28"/>
        </w:rPr>
        <w:t>able 7</w:t>
      </w:r>
      <w:r w:rsidRPr="005C5E5A">
        <w:rPr>
          <w:rFonts w:asciiTheme="majorHAnsi" w:hAnsiTheme="majorHAnsi" w:cstheme="majorHAnsi"/>
          <w:sz w:val="28"/>
          <w:szCs w:val="28"/>
        </w:rPr>
        <w:t xml:space="preserve"> shows that </w:t>
      </w:r>
      <w:r w:rsidR="001642A9">
        <w:rPr>
          <w:rFonts w:asciiTheme="majorHAnsi" w:hAnsiTheme="majorHAnsi" w:cstheme="majorHAnsi"/>
          <w:sz w:val="28"/>
          <w:szCs w:val="28"/>
        </w:rPr>
        <w:t xml:space="preserve">in rural areas </w:t>
      </w:r>
      <w:r w:rsidRPr="005C5E5A">
        <w:rPr>
          <w:rFonts w:asciiTheme="majorHAnsi" w:hAnsiTheme="majorHAnsi" w:cstheme="majorHAnsi"/>
          <w:sz w:val="28"/>
          <w:szCs w:val="28"/>
        </w:rPr>
        <w:t xml:space="preserve">private </w:t>
      </w:r>
      <w:r w:rsidR="001642A9">
        <w:rPr>
          <w:rFonts w:asciiTheme="majorHAnsi" w:hAnsiTheme="majorHAnsi" w:cstheme="majorHAnsi"/>
          <w:sz w:val="28"/>
          <w:szCs w:val="28"/>
        </w:rPr>
        <w:t xml:space="preserve">primary </w:t>
      </w:r>
      <w:r w:rsidRPr="005C5E5A">
        <w:rPr>
          <w:rFonts w:asciiTheme="majorHAnsi" w:hAnsiTheme="majorHAnsi" w:cstheme="majorHAnsi"/>
          <w:sz w:val="28"/>
          <w:szCs w:val="28"/>
        </w:rPr>
        <w:t xml:space="preserve">schools account for under 10% of total primary school enrolment in four out of the seven MICS6 countries. By contrast, over 20% of urban primary school students attend private schools in all these countries </w:t>
      </w:r>
      <w:r w:rsidR="001642A9">
        <w:rPr>
          <w:rFonts w:asciiTheme="majorHAnsi" w:hAnsiTheme="majorHAnsi" w:cstheme="majorHAnsi"/>
          <w:sz w:val="28"/>
          <w:szCs w:val="28"/>
        </w:rPr>
        <w:t xml:space="preserve">with the </w:t>
      </w:r>
      <w:r w:rsidRPr="005C5E5A">
        <w:rPr>
          <w:rFonts w:asciiTheme="majorHAnsi" w:hAnsiTheme="majorHAnsi" w:cstheme="majorHAnsi"/>
          <w:sz w:val="28"/>
          <w:szCs w:val="28"/>
        </w:rPr>
        <w:t>except</w:t>
      </w:r>
      <w:r w:rsidR="001642A9">
        <w:rPr>
          <w:rFonts w:asciiTheme="majorHAnsi" w:hAnsiTheme="majorHAnsi" w:cstheme="majorHAnsi"/>
          <w:sz w:val="28"/>
          <w:szCs w:val="28"/>
        </w:rPr>
        <w:t>ion</w:t>
      </w:r>
      <w:r w:rsidRPr="005C5E5A">
        <w:rPr>
          <w:rFonts w:asciiTheme="majorHAnsi" w:hAnsiTheme="majorHAnsi" w:cstheme="majorHAnsi"/>
          <w:sz w:val="28"/>
          <w:szCs w:val="28"/>
        </w:rPr>
        <w:t xml:space="preserve"> Zimbabwe (which has had an exceptionally well developed school system since the mid-late 1980s).  A broadly similar incidence pattern is evident for private secondary schooling in both rural and urban areas.    </w:t>
      </w:r>
    </w:p>
    <w:p w:rsidR="006F670C" w:rsidRPr="005C5E5A" w:rsidRDefault="00E813DB" w:rsidP="00806557">
      <w:pPr>
        <w:jc w:val="both"/>
        <w:rPr>
          <w:rFonts w:asciiTheme="majorHAnsi" w:hAnsiTheme="majorHAnsi" w:cstheme="majorHAnsi"/>
          <w:sz w:val="28"/>
          <w:szCs w:val="28"/>
        </w:rPr>
      </w:pPr>
      <w:r w:rsidRPr="005C5E5A">
        <w:rPr>
          <w:rFonts w:asciiTheme="majorHAnsi" w:hAnsiTheme="majorHAnsi" w:cstheme="majorHAnsi"/>
          <w:sz w:val="28"/>
          <w:szCs w:val="28"/>
        </w:rPr>
        <w:t>The thinness of private schooling markets in rural areas is largely due to sparse</w:t>
      </w:r>
      <w:r w:rsidR="00283BDE" w:rsidRPr="005C5E5A">
        <w:rPr>
          <w:rFonts w:asciiTheme="majorHAnsi" w:hAnsiTheme="majorHAnsi" w:cstheme="majorHAnsi"/>
          <w:sz w:val="28"/>
          <w:szCs w:val="28"/>
        </w:rPr>
        <w:t>ly scattered</w:t>
      </w:r>
      <w:r w:rsidRPr="005C5E5A">
        <w:rPr>
          <w:rFonts w:asciiTheme="majorHAnsi" w:hAnsiTheme="majorHAnsi" w:cstheme="majorHAnsi"/>
          <w:sz w:val="28"/>
          <w:szCs w:val="28"/>
        </w:rPr>
        <w:t>, low density populations a</w:t>
      </w:r>
      <w:r w:rsidR="001642A9">
        <w:rPr>
          <w:rFonts w:asciiTheme="majorHAnsi" w:hAnsiTheme="majorHAnsi" w:cstheme="majorHAnsi"/>
          <w:sz w:val="28"/>
          <w:szCs w:val="28"/>
        </w:rPr>
        <w:t xml:space="preserve">long with </w:t>
      </w:r>
      <w:r w:rsidRPr="005C5E5A">
        <w:rPr>
          <w:rFonts w:asciiTheme="majorHAnsi" w:hAnsiTheme="majorHAnsi" w:cstheme="majorHAnsi"/>
          <w:sz w:val="28"/>
          <w:szCs w:val="28"/>
        </w:rPr>
        <w:t xml:space="preserve">much higher poverty levels among the </w:t>
      </w:r>
      <w:r w:rsidR="00283BDE" w:rsidRPr="005C5E5A">
        <w:rPr>
          <w:rFonts w:asciiTheme="majorHAnsi" w:hAnsiTheme="majorHAnsi" w:cstheme="majorHAnsi"/>
          <w:sz w:val="28"/>
          <w:szCs w:val="28"/>
        </w:rPr>
        <w:t xml:space="preserve">rural </w:t>
      </w:r>
      <w:r w:rsidRPr="005C5E5A">
        <w:rPr>
          <w:rFonts w:asciiTheme="majorHAnsi" w:hAnsiTheme="majorHAnsi" w:cstheme="majorHAnsi"/>
          <w:sz w:val="28"/>
          <w:szCs w:val="28"/>
        </w:rPr>
        <w:t xml:space="preserve">population as a whole. </w:t>
      </w:r>
      <w:r w:rsidR="002D231D" w:rsidRPr="005C5E5A">
        <w:rPr>
          <w:rFonts w:asciiTheme="majorHAnsi" w:hAnsiTheme="majorHAnsi" w:cstheme="majorHAnsi"/>
          <w:sz w:val="28"/>
          <w:szCs w:val="28"/>
        </w:rPr>
        <w:t xml:space="preserve">As discussed earlier, it is only in countries such as Guinea Bissau and </w:t>
      </w:r>
      <w:r w:rsidR="0004542A" w:rsidRPr="005C5E5A">
        <w:rPr>
          <w:rFonts w:asciiTheme="majorHAnsi" w:hAnsiTheme="majorHAnsi" w:cstheme="majorHAnsi"/>
          <w:sz w:val="28"/>
          <w:szCs w:val="28"/>
        </w:rPr>
        <w:t>Madagascar where the paucity of public schooling provision in rural areas has obliged parents and communities as a whole to establish their own private ‘community’ schools</w:t>
      </w:r>
      <w:r w:rsidR="000B258D">
        <w:rPr>
          <w:rFonts w:asciiTheme="majorHAnsi" w:hAnsiTheme="majorHAnsi" w:cstheme="majorHAnsi"/>
          <w:sz w:val="28"/>
          <w:szCs w:val="28"/>
        </w:rPr>
        <w:t xml:space="preserve"> that the incidence of PSP is relatively high</w:t>
      </w:r>
      <w:r w:rsidR="0004542A" w:rsidRPr="005C5E5A">
        <w:rPr>
          <w:rFonts w:asciiTheme="majorHAnsi" w:hAnsiTheme="majorHAnsi" w:cstheme="majorHAnsi"/>
          <w:sz w:val="28"/>
          <w:szCs w:val="28"/>
        </w:rPr>
        <w:t>.</w:t>
      </w:r>
    </w:p>
    <w:p w:rsidR="0035064C" w:rsidRDefault="0035064C" w:rsidP="0080622D">
      <w:pPr>
        <w:jc w:val="both"/>
        <w:rPr>
          <w:rFonts w:asciiTheme="majorHAnsi" w:hAnsiTheme="majorHAnsi" w:cstheme="majorHAnsi"/>
          <w:sz w:val="28"/>
          <w:szCs w:val="28"/>
        </w:rPr>
      </w:pPr>
    </w:p>
    <w:p w:rsidR="00241C4E" w:rsidRPr="0035064C" w:rsidRDefault="00C93045" w:rsidP="00806557">
      <w:pPr>
        <w:jc w:val="both"/>
      </w:pPr>
      <w:r w:rsidRPr="005C5E5A">
        <w:rPr>
          <w:rFonts w:asciiTheme="majorHAnsi" w:hAnsiTheme="majorHAnsi" w:cstheme="majorHAnsi"/>
          <w:sz w:val="28"/>
          <w:szCs w:val="28"/>
        </w:rPr>
        <w:t xml:space="preserve">The concentration of private schooling in urban areas contributes significantly to growing rural-urban inequalities in education provision in many countries which, in turn, is fuelling growing economic inequality (see Bennell, forthcoming). This is reflected, in particular, by the extent to which </w:t>
      </w:r>
      <w:r>
        <w:rPr>
          <w:rFonts w:asciiTheme="majorHAnsi" w:hAnsiTheme="majorHAnsi" w:cstheme="majorHAnsi"/>
          <w:sz w:val="28"/>
          <w:szCs w:val="28"/>
        </w:rPr>
        <w:t xml:space="preserve">schooling </w:t>
      </w:r>
      <w:r w:rsidRPr="005C5E5A">
        <w:rPr>
          <w:rFonts w:asciiTheme="majorHAnsi" w:hAnsiTheme="majorHAnsi" w:cstheme="majorHAnsi"/>
          <w:sz w:val="28"/>
          <w:szCs w:val="28"/>
        </w:rPr>
        <w:t xml:space="preserve">is </w:t>
      </w:r>
      <w:r>
        <w:rPr>
          <w:rFonts w:asciiTheme="majorHAnsi" w:hAnsiTheme="majorHAnsi" w:cstheme="majorHAnsi"/>
          <w:sz w:val="28"/>
          <w:szCs w:val="28"/>
        </w:rPr>
        <w:t xml:space="preserve">being </w:t>
      </w:r>
      <w:r w:rsidRPr="005C5E5A">
        <w:rPr>
          <w:rFonts w:asciiTheme="majorHAnsi" w:hAnsiTheme="majorHAnsi" w:cstheme="majorHAnsi"/>
          <w:sz w:val="28"/>
          <w:szCs w:val="28"/>
        </w:rPr>
        <w:t xml:space="preserve">increasingly </w:t>
      </w:r>
      <w:r>
        <w:rPr>
          <w:rFonts w:asciiTheme="majorHAnsi" w:hAnsiTheme="majorHAnsi" w:cstheme="majorHAnsi"/>
          <w:sz w:val="28"/>
          <w:szCs w:val="28"/>
        </w:rPr>
        <w:t>p</w:t>
      </w:r>
      <w:r w:rsidRPr="005C5E5A">
        <w:rPr>
          <w:rFonts w:asciiTheme="majorHAnsi" w:hAnsiTheme="majorHAnsi" w:cstheme="majorHAnsi"/>
          <w:sz w:val="28"/>
          <w:szCs w:val="28"/>
        </w:rPr>
        <w:t>rivatised in capital city conurbations</w:t>
      </w:r>
      <w:r>
        <w:rPr>
          <w:rFonts w:asciiTheme="majorHAnsi" w:hAnsiTheme="majorHAnsi" w:cstheme="majorHAnsi"/>
          <w:sz w:val="28"/>
          <w:szCs w:val="28"/>
        </w:rPr>
        <w:t>.</w:t>
      </w:r>
      <w:r w:rsidRPr="005C5E5A">
        <w:rPr>
          <w:rFonts w:asciiTheme="majorHAnsi" w:hAnsiTheme="majorHAnsi" w:cstheme="majorHAnsi"/>
          <w:sz w:val="28"/>
          <w:szCs w:val="28"/>
        </w:rPr>
        <w:t xml:space="preserve"> In five out of the 10 capital cities </w:t>
      </w:r>
      <w:r>
        <w:rPr>
          <w:rFonts w:asciiTheme="majorHAnsi" w:hAnsiTheme="majorHAnsi" w:cstheme="majorHAnsi"/>
          <w:sz w:val="28"/>
          <w:szCs w:val="28"/>
        </w:rPr>
        <w:t xml:space="preserve">in SSA </w:t>
      </w:r>
      <w:r w:rsidRPr="005C5E5A">
        <w:rPr>
          <w:rFonts w:asciiTheme="majorHAnsi" w:hAnsiTheme="majorHAnsi" w:cstheme="majorHAnsi"/>
          <w:sz w:val="28"/>
          <w:szCs w:val="28"/>
        </w:rPr>
        <w:t xml:space="preserve">where data is available, private primary schools now account for over half of all </w:t>
      </w:r>
      <w:r w:rsidR="0080622D" w:rsidRPr="005C5E5A">
        <w:rPr>
          <w:rFonts w:asciiTheme="majorHAnsi" w:hAnsiTheme="majorHAnsi" w:cstheme="majorHAnsi"/>
          <w:sz w:val="28"/>
          <w:szCs w:val="28"/>
        </w:rPr>
        <w:t xml:space="preserve">enrolments in five of these cities (see Figure 5). The </w:t>
      </w:r>
      <w:r w:rsidRPr="005C5E5A">
        <w:rPr>
          <w:rFonts w:asciiTheme="majorHAnsi" w:hAnsiTheme="majorHAnsi" w:cstheme="majorHAnsi"/>
          <w:sz w:val="28"/>
          <w:szCs w:val="28"/>
        </w:rPr>
        <w:t xml:space="preserve">enrolment shares of private secondary schools are generally somewhat lower (but still noticeably large) </w:t>
      </w:r>
      <w:r w:rsidR="00736BD0" w:rsidRPr="005C5E5A">
        <w:rPr>
          <w:rFonts w:asciiTheme="majorHAnsi" w:hAnsiTheme="majorHAnsi" w:cstheme="majorHAnsi"/>
          <w:sz w:val="28"/>
          <w:szCs w:val="28"/>
        </w:rPr>
        <w:t>which, in part, reflects the key function of private education in ensuring that privately educated students are better able to secure places in government and elite pri</w:t>
      </w:r>
      <w:r w:rsidR="00B62D88" w:rsidRPr="005C5E5A">
        <w:rPr>
          <w:rFonts w:asciiTheme="majorHAnsi" w:hAnsiTheme="majorHAnsi" w:cstheme="majorHAnsi"/>
          <w:sz w:val="28"/>
          <w:szCs w:val="28"/>
        </w:rPr>
        <w:t xml:space="preserve">vate secondary schools. </w:t>
      </w:r>
      <w:r w:rsidR="00F25CA9" w:rsidRPr="005C5E5A">
        <w:rPr>
          <w:rFonts w:asciiTheme="majorHAnsi" w:hAnsiTheme="majorHAnsi" w:cstheme="majorHAnsi"/>
          <w:sz w:val="28"/>
          <w:szCs w:val="28"/>
        </w:rPr>
        <w:t>T</w:t>
      </w:r>
      <w:r w:rsidR="004C490A" w:rsidRPr="005C5E5A">
        <w:rPr>
          <w:rFonts w:asciiTheme="majorHAnsi" w:hAnsiTheme="majorHAnsi" w:cstheme="majorHAnsi"/>
          <w:sz w:val="28"/>
          <w:szCs w:val="28"/>
        </w:rPr>
        <w:t xml:space="preserve">ime series data is </w:t>
      </w:r>
      <w:r w:rsidR="00F25CA9" w:rsidRPr="005C5E5A">
        <w:rPr>
          <w:rFonts w:asciiTheme="majorHAnsi" w:hAnsiTheme="majorHAnsi" w:cstheme="majorHAnsi"/>
          <w:sz w:val="28"/>
          <w:szCs w:val="28"/>
        </w:rPr>
        <w:t>limited, but it appears that in cities such as Kampala and Lagos, the extent to which private sector enrolments are supplanting publi</w:t>
      </w:r>
      <w:r w:rsidR="004C490A" w:rsidRPr="005C5E5A">
        <w:rPr>
          <w:rFonts w:asciiTheme="majorHAnsi" w:hAnsiTheme="majorHAnsi" w:cstheme="majorHAnsi"/>
          <w:sz w:val="28"/>
          <w:szCs w:val="28"/>
        </w:rPr>
        <w:t xml:space="preserve">c provision has led to </w:t>
      </w:r>
      <w:r w:rsidR="00F25CA9" w:rsidRPr="005C5E5A">
        <w:rPr>
          <w:rFonts w:asciiTheme="majorHAnsi" w:hAnsiTheme="majorHAnsi" w:cstheme="majorHAnsi"/>
          <w:sz w:val="28"/>
          <w:szCs w:val="28"/>
        </w:rPr>
        <w:t>sizeable (absolute falls) in enrolments in government primary schools</w:t>
      </w:r>
      <w:r w:rsidR="004C490A" w:rsidRPr="005C5E5A">
        <w:rPr>
          <w:rFonts w:asciiTheme="majorHAnsi" w:hAnsiTheme="majorHAnsi" w:cstheme="majorHAnsi"/>
          <w:sz w:val="28"/>
          <w:szCs w:val="28"/>
        </w:rPr>
        <w:t>.</w:t>
      </w:r>
    </w:p>
    <w:p w:rsidR="0003742F" w:rsidRPr="005C5E5A" w:rsidRDefault="0003742F" w:rsidP="0035064C">
      <w:pPr>
        <w:tabs>
          <w:tab w:val="right" w:pos="9026"/>
        </w:tabs>
        <w:jc w:val="both"/>
        <w:rPr>
          <w:rFonts w:asciiTheme="majorHAnsi" w:hAnsiTheme="majorHAnsi" w:cstheme="majorHAnsi"/>
          <w:sz w:val="28"/>
          <w:szCs w:val="28"/>
        </w:rPr>
      </w:pPr>
      <w:r w:rsidRPr="005C5E5A">
        <w:rPr>
          <w:rFonts w:asciiTheme="majorHAnsi" w:hAnsiTheme="majorHAnsi" w:cstheme="majorHAnsi"/>
          <w:sz w:val="28"/>
          <w:szCs w:val="28"/>
        </w:rPr>
        <w:t xml:space="preserve"> </w:t>
      </w:r>
      <w:r w:rsidR="0035064C">
        <w:rPr>
          <w:rFonts w:asciiTheme="majorHAnsi" w:hAnsiTheme="majorHAnsi" w:cstheme="majorHAnsi"/>
          <w:sz w:val="28"/>
          <w:szCs w:val="28"/>
        </w:rPr>
        <w:tab/>
      </w:r>
    </w:p>
    <w:p w:rsidR="0003742F" w:rsidRPr="005C5E5A" w:rsidRDefault="009E2FD1" w:rsidP="00806557">
      <w:pPr>
        <w:jc w:val="both"/>
        <w:rPr>
          <w:rFonts w:asciiTheme="majorHAnsi" w:hAnsiTheme="majorHAnsi" w:cstheme="majorHAnsi"/>
          <w:sz w:val="28"/>
          <w:szCs w:val="28"/>
        </w:rPr>
      </w:pPr>
      <w:r w:rsidRPr="005C5E5A">
        <w:rPr>
          <w:rFonts w:asciiTheme="majorHAnsi" w:hAnsiTheme="majorHAnsi" w:cstheme="majorHAnsi"/>
          <w:sz w:val="28"/>
          <w:szCs w:val="28"/>
        </w:rPr>
        <w:t>The MICS6</w:t>
      </w:r>
      <w:r w:rsidR="0003742F" w:rsidRPr="005C5E5A">
        <w:rPr>
          <w:rFonts w:asciiTheme="majorHAnsi" w:hAnsiTheme="majorHAnsi" w:cstheme="majorHAnsi"/>
          <w:sz w:val="28"/>
          <w:szCs w:val="28"/>
        </w:rPr>
        <w:t xml:space="preserve"> </w:t>
      </w:r>
      <w:r w:rsidRPr="005C5E5A">
        <w:rPr>
          <w:rFonts w:asciiTheme="majorHAnsi" w:hAnsiTheme="majorHAnsi" w:cstheme="majorHAnsi"/>
          <w:sz w:val="28"/>
          <w:szCs w:val="28"/>
        </w:rPr>
        <w:t xml:space="preserve">survey data enables PSP to be broken down by </w:t>
      </w:r>
      <w:r w:rsidR="00806970" w:rsidRPr="005C5E5A">
        <w:rPr>
          <w:rFonts w:asciiTheme="majorHAnsi" w:hAnsiTheme="majorHAnsi" w:cstheme="majorHAnsi"/>
          <w:sz w:val="28"/>
          <w:szCs w:val="28"/>
        </w:rPr>
        <w:t>location</w:t>
      </w:r>
      <w:r w:rsidRPr="005C5E5A">
        <w:rPr>
          <w:rFonts w:asciiTheme="majorHAnsi" w:hAnsiTheme="majorHAnsi" w:cstheme="majorHAnsi"/>
          <w:sz w:val="28"/>
          <w:szCs w:val="28"/>
        </w:rPr>
        <w:t xml:space="preserve">. Since the </w:t>
      </w:r>
      <w:r w:rsidR="00B437A2" w:rsidRPr="005C5E5A">
        <w:rPr>
          <w:rFonts w:asciiTheme="majorHAnsi" w:hAnsiTheme="majorHAnsi" w:cstheme="majorHAnsi"/>
          <w:sz w:val="28"/>
          <w:szCs w:val="28"/>
        </w:rPr>
        <w:t xml:space="preserve">nature of </w:t>
      </w:r>
      <w:r w:rsidRPr="005C5E5A">
        <w:rPr>
          <w:rFonts w:asciiTheme="majorHAnsi" w:hAnsiTheme="majorHAnsi" w:cstheme="majorHAnsi"/>
          <w:sz w:val="28"/>
          <w:szCs w:val="28"/>
        </w:rPr>
        <w:t>school</w:t>
      </w:r>
      <w:r w:rsidR="00B437A2" w:rsidRPr="005C5E5A">
        <w:rPr>
          <w:rFonts w:asciiTheme="majorHAnsi" w:hAnsiTheme="majorHAnsi" w:cstheme="majorHAnsi"/>
          <w:sz w:val="28"/>
          <w:szCs w:val="28"/>
        </w:rPr>
        <w:t>ing</w:t>
      </w:r>
      <w:r w:rsidRPr="005C5E5A">
        <w:rPr>
          <w:rFonts w:asciiTheme="majorHAnsi" w:hAnsiTheme="majorHAnsi" w:cstheme="majorHAnsi"/>
          <w:sz w:val="28"/>
          <w:szCs w:val="28"/>
        </w:rPr>
        <w:t xml:space="preserve"> markets </w:t>
      </w:r>
      <w:r w:rsidR="000B258D">
        <w:rPr>
          <w:rFonts w:asciiTheme="majorHAnsi" w:hAnsiTheme="majorHAnsi" w:cstheme="majorHAnsi"/>
          <w:sz w:val="28"/>
          <w:szCs w:val="28"/>
        </w:rPr>
        <w:t>is</w:t>
      </w:r>
      <w:r w:rsidRPr="005C5E5A">
        <w:rPr>
          <w:rFonts w:asciiTheme="majorHAnsi" w:hAnsiTheme="majorHAnsi" w:cstheme="majorHAnsi"/>
          <w:sz w:val="28"/>
          <w:szCs w:val="28"/>
        </w:rPr>
        <w:t xml:space="preserve"> so distinctively d</w:t>
      </w:r>
      <w:r w:rsidR="00B437A2" w:rsidRPr="005C5E5A">
        <w:rPr>
          <w:rFonts w:asciiTheme="majorHAnsi" w:hAnsiTheme="majorHAnsi" w:cstheme="majorHAnsi"/>
          <w:sz w:val="28"/>
          <w:szCs w:val="28"/>
        </w:rPr>
        <w:t xml:space="preserve">ifferent in </w:t>
      </w:r>
      <w:r w:rsidR="00806970" w:rsidRPr="005C5E5A">
        <w:rPr>
          <w:rFonts w:asciiTheme="majorHAnsi" w:hAnsiTheme="majorHAnsi" w:cstheme="majorHAnsi"/>
          <w:sz w:val="28"/>
          <w:szCs w:val="28"/>
        </w:rPr>
        <w:t>rural and urban</w:t>
      </w:r>
      <w:r w:rsidR="005A61A4" w:rsidRPr="005C5E5A">
        <w:rPr>
          <w:rFonts w:asciiTheme="majorHAnsi" w:hAnsiTheme="majorHAnsi" w:cstheme="majorHAnsi"/>
          <w:sz w:val="28"/>
          <w:szCs w:val="28"/>
        </w:rPr>
        <w:t xml:space="preserve"> areas</w:t>
      </w:r>
      <w:r w:rsidR="00B437A2" w:rsidRPr="005C5E5A">
        <w:rPr>
          <w:rFonts w:asciiTheme="majorHAnsi" w:hAnsiTheme="majorHAnsi" w:cstheme="majorHAnsi"/>
          <w:sz w:val="28"/>
          <w:szCs w:val="28"/>
        </w:rPr>
        <w:t xml:space="preserve">, this enables a more in-depth analysis of </w:t>
      </w:r>
      <w:r w:rsidRPr="005C5E5A">
        <w:rPr>
          <w:rFonts w:asciiTheme="majorHAnsi" w:hAnsiTheme="majorHAnsi" w:cstheme="majorHAnsi"/>
          <w:sz w:val="28"/>
          <w:szCs w:val="28"/>
        </w:rPr>
        <w:t xml:space="preserve">the likely </w:t>
      </w:r>
      <w:r w:rsidR="00B437A2" w:rsidRPr="005C5E5A">
        <w:rPr>
          <w:rFonts w:asciiTheme="majorHAnsi" w:hAnsiTheme="majorHAnsi" w:cstheme="majorHAnsi"/>
          <w:sz w:val="28"/>
          <w:szCs w:val="28"/>
        </w:rPr>
        <w:t xml:space="preserve">key </w:t>
      </w:r>
      <w:r w:rsidRPr="005C5E5A">
        <w:rPr>
          <w:rFonts w:asciiTheme="majorHAnsi" w:hAnsiTheme="majorHAnsi" w:cstheme="majorHAnsi"/>
          <w:sz w:val="28"/>
          <w:szCs w:val="28"/>
        </w:rPr>
        <w:t>relationships between private school incidence and key economic and social indicators.</w:t>
      </w:r>
      <w:r w:rsidR="00B437A2" w:rsidRPr="005C5E5A">
        <w:rPr>
          <w:rFonts w:asciiTheme="majorHAnsi" w:hAnsiTheme="majorHAnsi" w:cstheme="majorHAnsi"/>
          <w:sz w:val="28"/>
          <w:szCs w:val="28"/>
        </w:rPr>
        <w:t xml:space="preserve"> </w:t>
      </w:r>
      <w:r w:rsidR="00806970" w:rsidRPr="005C5E5A">
        <w:rPr>
          <w:rFonts w:asciiTheme="majorHAnsi" w:hAnsiTheme="majorHAnsi" w:cstheme="majorHAnsi"/>
          <w:sz w:val="28"/>
          <w:szCs w:val="28"/>
        </w:rPr>
        <w:t xml:space="preserve">Given the small number of countries in SSA where this data is available, the MICS6 surveys from three South Asian countries, Bangladesh, Nepal and Pakistan have </w:t>
      </w:r>
      <w:r w:rsidR="005A61A4" w:rsidRPr="005C5E5A">
        <w:rPr>
          <w:rFonts w:asciiTheme="majorHAnsi" w:hAnsiTheme="majorHAnsi" w:cstheme="majorHAnsi"/>
          <w:sz w:val="28"/>
          <w:szCs w:val="28"/>
        </w:rPr>
        <w:t xml:space="preserve">also </w:t>
      </w:r>
      <w:r w:rsidR="00806970" w:rsidRPr="005C5E5A">
        <w:rPr>
          <w:rFonts w:asciiTheme="majorHAnsi" w:hAnsiTheme="majorHAnsi" w:cstheme="majorHAnsi"/>
          <w:sz w:val="28"/>
          <w:szCs w:val="28"/>
        </w:rPr>
        <w:t xml:space="preserve">been included in the analysis. For primary schooling, no significant </w:t>
      </w:r>
      <w:r w:rsidR="005A61A4" w:rsidRPr="005C5E5A">
        <w:rPr>
          <w:rFonts w:asciiTheme="majorHAnsi" w:hAnsiTheme="majorHAnsi" w:cstheme="majorHAnsi"/>
          <w:sz w:val="28"/>
          <w:szCs w:val="28"/>
        </w:rPr>
        <w:t xml:space="preserve">(positive or negative) </w:t>
      </w:r>
      <w:r w:rsidR="00806970" w:rsidRPr="005C5E5A">
        <w:rPr>
          <w:rFonts w:asciiTheme="majorHAnsi" w:hAnsiTheme="majorHAnsi" w:cstheme="majorHAnsi"/>
          <w:sz w:val="28"/>
          <w:szCs w:val="28"/>
        </w:rPr>
        <w:t xml:space="preserve">relationships are discernible which is perhaps not surprising given relatively high </w:t>
      </w:r>
      <w:r w:rsidR="005A61A4" w:rsidRPr="005C5E5A">
        <w:rPr>
          <w:rFonts w:asciiTheme="majorHAnsi" w:hAnsiTheme="majorHAnsi" w:cstheme="majorHAnsi"/>
          <w:sz w:val="28"/>
          <w:szCs w:val="28"/>
        </w:rPr>
        <w:t>gross enrolment rates (</w:t>
      </w:r>
      <w:r w:rsidR="00806970" w:rsidRPr="005C5E5A">
        <w:rPr>
          <w:rFonts w:asciiTheme="majorHAnsi" w:hAnsiTheme="majorHAnsi" w:cstheme="majorHAnsi"/>
          <w:sz w:val="28"/>
          <w:szCs w:val="28"/>
        </w:rPr>
        <w:t>in the range of 120-130%</w:t>
      </w:r>
      <w:r w:rsidR="000B258D">
        <w:rPr>
          <w:rFonts w:asciiTheme="majorHAnsi" w:hAnsiTheme="majorHAnsi" w:cstheme="majorHAnsi"/>
          <w:sz w:val="28"/>
          <w:szCs w:val="28"/>
        </w:rPr>
        <w:t xml:space="preserve">) </w:t>
      </w:r>
      <w:r w:rsidR="00806970" w:rsidRPr="005C5E5A">
        <w:rPr>
          <w:rFonts w:asciiTheme="majorHAnsi" w:hAnsiTheme="majorHAnsi" w:cstheme="majorHAnsi"/>
          <w:sz w:val="28"/>
          <w:szCs w:val="28"/>
        </w:rPr>
        <w:t xml:space="preserve"> in most </w:t>
      </w:r>
      <w:r w:rsidR="005A61A4" w:rsidRPr="005C5E5A">
        <w:rPr>
          <w:rFonts w:asciiTheme="majorHAnsi" w:hAnsiTheme="majorHAnsi" w:cstheme="majorHAnsi"/>
          <w:sz w:val="28"/>
          <w:szCs w:val="28"/>
        </w:rPr>
        <w:t xml:space="preserve">of these </w:t>
      </w:r>
      <w:r w:rsidR="00806970" w:rsidRPr="005C5E5A">
        <w:rPr>
          <w:rFonts w:asciiTheme="majorHAnsi" w:hAnsiTheme="majorHAnsi" w:cstheme="majorHAnsi"/>
          <w:sz w:val="28"/>
          <w:szCs w:val="28"/>
        </w:rPr>
        <w:t>countries coupled with the thinness of rural school markets.</w:t>
      </w:r>
      <w:r w:rsidRPr="005C5E5A">
        <w:rPr>
          <w:rFonts w:asciiTheme="majorHAnsi" w:hAnsiTheme="majorHAnsi" w:cstheme="majorHAnsi"/>
          <w:sz w:val="28"/>
          <w:szCs w:val="28"/>
        </w:rPr>
        <w:t xml:space="preserve"> </w:t>
      </w:r>
      <w:r w:rsidR="00806970" w:rsidRPr="005C5E5A">
        <w:rPr>
          <w:rFonts w:asciiTheme="majorHAnsi" w:hAnsiTheme="majorHAnsi" w:cstheme="majorHAnsi"/>
          <w:sz w:val="28"/>
          <w:szCs w:val="28"/>
        </w:rPr>
        <w:t xml:space="preserve">However, a </w:t>
      </w:r>
      <w:r w:rsidR="0080622D">
        <w:rPr>
          <w:rFonts w:asciiTheme="majorHAnsi" w:hAnsiTheme="majorHAnsi" w:cstheme="majorHAnsi"/>
          <w:sz w:val="28"/>
          <w:szCs w:val="28"/>
        </w:rPr>
        <w:t xml:space="preserve">reasonably </w:t>
      </w:r>
      <w:r w:rsidR="005A61A4" w:rsidRPr="005C5E5A">
        <w:rPr>
          <w:rFonts w:asciiTheme="majorHAnsi" w:hAnsiTheme="majorHAnsi" w:cstheme="majorHAnsi"/>
          <w:sz w:val="28"/>
          <w:szCs w:val="28"/>
        </w:rPr>
        <w:t xml:space="preserve">strong </w:t>
      </w:r>
      <w:r w:rsidR="00806970" w:rsidRPr="005C5E5A">
        <w:rPr>
          <w:rFonts w:asciiTheme="majorHAnsi" w:hAnsiTheme="majorHAnsi" w:cstheme="majorHAnsi"/>
          <w:sz w:val="28"/>
          <w:szCs w:val="28"/>
        </w:rPr>
        <w:t xml:space="preserve">negative </w:t>
      </w:r>
      <w:r w:rsidR="0080622D">
        <w:rPr>
          <w:rFonts w:asciiTheme="majorHAnsi" w:hAnsiTheme="majorHAnsi" w:cstheme="majorHAnsi"/>
          <w:sz w:val="28"/>
          <w:szCs w:val="28"/>
        </w:rPr>
        <w:t xml:space="preserve">relationship </w:t>
      </w:r>
      <w:r w:rsidR="00806970" w:rsidRPr="005C5E5A">
        <w:rPr>
          <w:rFonts w:asciiTheme="majorHAnsi" w:hAnsiTheme="majorHAnsi" w:cstheme="majorHAnsi"/>
          <w:sz w:val="28"/>
          <w:szCs w:val="28"/>
        </w:rPr>
        <w:t xml:space="preserve">between the incidence of PSP and </w:t>
      </w:r>
      <w:r w:rsidR="0035064C">
        <w:rPr>
          <w:rFonts w:asciiTheme="majorHAnsi" w:hAnsiTheme="majorHAnsi" w:cstheme="majorHAnsi"/>
          <w:sz w:val="28"/>
          <w:szCs w:val="28"/>
        </w:rPr>
        <w:t xml:space="preserve">the </w:t>
      </w:r>
      <w:r w:rsidR="00806970" w:rsidRPr="005C5E5A">
        <w:rPr>
          <w:rFonts w:asciiTheme="majorHAnsi" w:hAnsiTheme="majorHAnsi" w:cstheme="majorHAnsi"/>
          <w:sz w:val="28"/>
          <w:szCs w:val="28"/>
        </w:rPr>
        <w:t>GERs for secondary schooling is observable especially for urban secondary schooling (</w:t>
      </w:r>
      <w:r w:rsidR="005A61A4" w:rsidRPr="005C5E5A">
        <w:rPr>
          <w:rFonts w:asciiTheme="majorHAnsi" w:hAnsiTheme="majorHAnsi" w:cstheme="majorHAnsi"/>
          <w:sz w:val="28"/>
          <w:szCs w:val="28"/>
        </w:rPr>
        <w:t>see Figure 4</w:t>
      </w:r>
      <w:r w:rsidR="00806970" w:rsidRPr="005C5E5A">
        <w:rPr>
          <w:rFonts w:asciiTheme="majorHAnsi" w:hAnsiTheme="majorHAnsi" w:cstheme="majorHAnsi"/>
          <w:sz w:val="28"/>
          <w:szCs w:val="28"/>
        </w:rPr>
        <w:t>)</w:t>
      </w:r>
      <w:r w:rsidR="005A61A4" w:rsidRPr="005C5E5A">
        <w:rPr>
          <w:rStyle w:val="FootnoteReference"/>
          <w:rFonts w:asciiTheme="majorHAnsi" w:hAnsiTheme="majorHAnsi" w:cstheme="majorHAnsi"/>
          <w:sz w:val="28"/>
          <w:szCs w:val="28"/>
        </w:rPr>
        <w:footnoteReference w:id="14"/>
      </w:r>
      <w:r w:rsidR="00806970" w:rsidRPr="005C5E5A">
        <w:rPr>
          <w:rFonts w:asciiTheme="majorHAnsi" w:hAnsiTheme="majorHAnsi" w:cstheme="majorHAnsi"/>
          <w:sz w:val="28"/>
          <w:szCs w:val="28"/>
        </w:rPr>
        <w:t>.</w:t>
      </w:r>
      <w:r w:rsidR="0035064C">
        <w:rPr>
          <w:rFonts w:asciiTheme="majorHAnsi" w:hAnsiTheme="majorHAnsi" w:cstheme="majorHAnsi"/>
          <w:sz w:val="28"/>
          <w:szCs w:val="28"/>
        </w:rPr>
        <w:t xml:space="preserve"> </w:t>
      </w:r>
      <w:r w:rsidR="009F73FD" w:rsidRPr="005C5E5A">
        <w:rPr>
          <w:rFonts w:asciiTheme="majorHAnsi" w:hAnsiTheme="majorHAnsi" w:cstheme="majorHAnsi"/>
          <w:sz w:val="28"/>
          <w:szCs w:val="28"/>
        </w:rPr>
        <w:t xml:space="preserve">As discussed above, probably the main reason for this is the acute excess demand for secondary school education in major urban areas which, in varying degrees private schools can cater for and, in doing, play a complementary role in boosting overall secondary school enrolments.    </w:t>
      </w:r>
      <w:r w:rsidR="00806970" w:rsidRPr="005C5E5A">
        <w:rPr>
          <w:rFonts w:asciiTheme="majorHAnsi" w:hAnsiTheme="majorHAnsi" w:cstheme="majorHAnsi"/>
          <w:sz w:val="28"/>
          <w:szCs w:val="28"/>
        </w:rPr>
        <w:t xml:space="preserve"> </w:t>
      </w:r>
    </w:p>
    <w:p w:rsidR="0003742F" w:rsidRPr="005C5E5A" w:rsidRDefault="0003742F" w:rsidP="00806557">
      <w:pPr>
        <w:jc w:val="both"/>
        <w:rPr>
          <w:rFonts w:asciiTheme="majorHAnsi" w:hAnsiTheme="majorHAnsi" w:cstheme="majorHAnsi"/>
          <w:sz w:val="28"/>
          <w:szCs w:val="28"/>
        </w:rPr>
      </w:pPr>
      <w:r w:rsidRPr="005C5E5A">
        <w:rPr>
          <w:rFonts w:asciiTheme="majorHAnsi" w:hAnsiTheme="majorHAnsi" w:cstheme="majorHAnsi"/>
          <w:sz w:val="28"/>
          <w:szCs w:val="28"/>
        </w:rPr>
        <w:t xml:space="preserve"> </w:t>
      </w:r>
    </w:p>
    <w:p w:rsidR="007821EC" w:rsidRPr="005C5E5A" w:rsidRDefault="00281399" w:rsidP="00806557">
      <w:pPr>
        <w:jc w:val="both"/>
        <w:rPr>
          <w:rFonts w:asciiTheme="majorHAnsi" w:hAnsiTheme="majorHAnsi" w:cstheme="majorHAnsi"/>
          <w:i/>
          <w:sz w:val="28"/>
          <w:szCs w:val="28"/>
        </w:rPr>
      </w:pPr>
      <w:r>
        <w:rPr>
          <w:rFonts w:asciiTheme="majorHAnsi" w:hAnsiTheme="majorHAnsi" w:cstheme="majorHAnsi"/>
          <w:i/>
          <w:sz w:val="28"/>
          <w:szCs w:val="28"/>
        </w:rPr>
        <w:t xml:space="preserve">4.8 </w:t>
      </w:r>
      <w:r w:rsidR="007821EC" w:rsidRPr="005C5E5A">
        <w:rPr>
          <w:rFonts w:asciiTheme="majorHAnsi" w:hAnsiTheme="majorHAnsi" w:cstheme="majorHAnsi"/>
          <w:i/>
          <w:sz w:val="28"/>
          <w:szCs w:val="28"/>
        </w:rPr>
        <w:t>Socio-economic status</w:t>
      </w:r>
    </w:p>
    <w:p w:rsidR="0003742F" w:rsidRPr="005C5E5A" w:rsidRDefault="000B258D" w:rsidP="00627A90">
      <w:pPr>
        <w:jc w:val="both"/>
        <w:rPr>
          <w:rFonts w:asciiTheme="majorHAnsi" w:hAnsiTheme="majorHAnsi" w:cstheme="majorHAnsi"/>
          <w:sz w:val="28"/>
          <w:szCs w:val="28"/>
        </w:rPr>
      </w:pPr>
      <w:r>
        <w:rPr>
          <w:rFonts w:asciiTheme="majorHAnsi" w:hAnsiTheme="majorHAnsi" w:cstheme="majorHAnsi"/>
          <w:sz w:val="28"/>
          <w:szCs w:val="28"/>
        </w:rPr>
        <w:t>The 2014 Rigorous Literature R</w:t>
      </w:r>
      <w:r w:rsidR="00C87980" w:rsidRPr="005C5E5A">
        <w:rPr>
          <w:rFonts w:asciiTheme="majorHAnsi" w:hAnsiTheme="majorHAnsi" w:cstheme="majorHAnsi"/>
          <w:sz w:val="28"/>
          <w:szCs w:val="28"/>
        </w:rPr>
        <w:t xml:space="preserve">eview </w:t>
      </w:r>
      <w:r w:rsidR="002506DA" w:rsidRPr="005C5E5A">
        <w:rPr>
          <w:rFonts w:asciiTheme="majorHAnsi" w:hAnsiTheme="majorHAnsi" w:cstheme="majorHAnsi"/>
          <w:sz w:val="28"/>
          <w:szCs w:val="28"/>
        </w:rPr>
        <w:t>asks ‘do private schools geographically (sic) reach the poor?’</w:t>
      </w:r>
      <w:r w:rsidR="00736BD0" w:rsidRPr="005C5E5A">
        <w:rPr>
          <w:rFonts w:asciiTheme="majorHAnsi" w:hAnsiTheme="majorHAnsi" w:cstheme="majorHAnsi"/>
          <w:sz w:val="28"/>
          <w:szCs w:val="28"/>
        </w:rPr>
        <w:t xml:space="preserve"> </w:t>
      </w:r>
      <w:r w:rsidR="002506DA" w:rsidRPr="005C5E5A">
        <w:rPr>
          <w:rFonts w:asciiTheme="majorHAnsi" w:hAnsiTheme="majorHAnsi" w:cstheme="majorHAnsi"/>
          <w:sz w:val="28"/>
          <w:szCs w:val="28"/>
        </w:rPr>
        <w:t>The overall strength of the evidence is rated as ‘weak’</w:t>
      </w:r>
      <w:r w:rsidR="008937B8" w:rsidRPr="005C5E5A">
        <w:rPr>
          <w:rFonts w:asciiTheme="majorHAnsi" w:hAnsiTheme="majorHAnsi" w:cstheme="majorHAnsi"/>
          <w:sz w:val="28"/>
          <w:szCs w:val="28"/>
        </w:rPr>
        <w:t xml:space="preserve"> and ‘ambiguous’ (p.52)</w:t>
      </w:r>
      <w:r w:rsidR="00736BD0" w:rsidRPr="005C5E5A">
        <w:rPr>
          <w:rFonts w:asciiTheme="majorHAnsi" w:hAnsiTheme="majorHAnsi" w:cstheme="majorHAnsi"/>
          <w:sz w:val="28"/>
          <w:szCs w:val="28"/>
        </w:rPr>
        <w:t xml:space="preserve"> in part </w:t>
      </w:r>
      <w:r>
        <w:rPr>
          <w:rFonts w:asciiTheme="majorHAnsi" w:hAnsiTheme="majorHAnsi" w:cstheme="majorHAnsi"/>
          <w:sz w:val="28"/>
          <w:szCs w:val="28"/>
        </w:rPr>
        <w:t xml:space="preserve">this is </w:t>
      </w:r>
      <w:r w:rsidR="00736BD0" w:rsidRPr="005C5E5A">
        <w:rPr>
          <w:rFonts w:asciiTheme="majorHAnsi" w:hAnsiTheme="majorHAnsi" w:cstheme="majorHAnsi"/>
          <w:sz w:val="28"/>
          <w:szCs w:val="28"/>
        </w:rPr>
        <w:t>because s</w:t>
      </w:r>
      <w:r w:rsidR="008937B8" w:rsidRPr="005C5E5A">
        <w:rPr>
          <w:rFonts w:asciiTheme="majorHAnsi" w:hAnsiTheme="majorHAnsi" w:cstheme="majorHAnsi"/>
          <w:sz w:val="28"/>
          <w:szCs w:val="28"/>
        </w:rPr>
        <w:t xml:space="preserve">tudies do not </w:t>
      </w:r>
      <w:r w:rsidR="006751D6" w:rsidRPr="005C5E5A">
        <w:rPr>
          <w:rFonts w:asciiTheme="majorHAnsi" w:hAnsiTheme="majorHAnsi" w:cstheme="majorHAnsi"/>
          <w:sz w:val="28"/>
          <w:szCs w:val="28"/>
        </w:rPr>
        <w:t xml:space="preserve">usually </w:t>
      </w:r>
      <w:r w:rsidR="008937B8" w:rsidRPr="005C5E5A">
        <w:rPr>
          <w:rFonts w:asciiTheme="majorHAnsi" w:hAnsiTheme="majorHAnsi" w:cstheme="majorHAnsi"/>
          <w:sz w:val="28"/>
          <w:szCs w:val="28"/>
        </w:rPr>
        <w:t>investigate ‘head-</w:t>
      </w:r>
      <w:r w:rsidR="006751D6" w:rsidRPr="005C5E5A">
        <w:rPr>
          <w:rFonts w:asciiTheme="majorHAnsi" w:hAnsiTheme="majorHAnsi" w:cstheme="majorHAnsi"/>
          <w:sz w:val="28"/>
          <w:szCs w:val="28"/>
        </w:rPr>
        <w:t>o</w:t>
      </w:r>
      <w:r w:rsidR="008937B8" w:rsidRPr="005C5E5A">
        <w:rPr>
          <w:rFonts w:asciiTheme="majorHAnsi" w:hAnsiTheme="majorHAnsi" w:cstheme="majorHAnsi"/>
          <w:sz w:val="28"/>
          <w:szCs w:val="28"/>
        </w:rPr>
        <w:t>n’ who accesses private schools</w:t>
      </w:r>
      <w:r w:rsidR="002506DA" w:rsidRPr="005C5E5A">
        <w:rPr>
          <w:rFonts w:asciiTheme="majorHAnsi" w:hAnsiTheme="majorHAnsi" w:cstheme="majorHAnsi"/>
          <w:sz w:val="28"/>
          <w:szCs w:val="28"/>
        </w:rPr>
        <w:t xml:space="preserve">. </w:t>
      </w:r>
      <w:r w:rsidR="006751D6" w:rsidRPr="005C5E5A">
        <w:rPr>
          <w:rFonts w:asciiTheme="majorHAnsi" w:hAnsiTheme="majorHAnsi" w:cstheme="majorHAnsi"/>
          <w:sz w:val="28"/>
          <w:szCs w:val="28"/>
        </w:rPr>
        <w:t xml:space="preserve">The Review </w:t>
      </w:r>
      <w:r w:rsidR="00C87980" w:rsidRPr="005C5E5A">
        <w:rPr>
          <w:rFonts w:asciiTheme="majorHAnsi" w:hAnsiTheme="majorHAnsi" w:cstheme="majorHAnsi"/>
          <w:sz w:val="28"/>
          <w:szCs w:val="28"/>
        </w:rPr>
        <w:t xml:space="preserve">concludes that ‘there are opposing views on whether low fee schools geographically reach the poor – with some </w:t>
      </w:r>
      <w:r w:rsidR="00627A90" w:rsidRPr="005C5E5A">
        <w:rPr>
          <w:rFonts w:asciiTheme="majorHAnsi" w:hAnsiTheme="majorHAnsi" w:cstheme="majorHAnsi"/>
          <w:sz w:val="28"/>
          <w:szCs w:val="28"/>
        </w:rPr>
        <w:t xml:space="preserve">arguing they are mainly confined to urban areas where the market conditions </w:t>
      </w:r>
      <w:r w:rsidR="00C47A4C">
        <w:rPr>
          <w:rFonts w:asciiTheme="majorHAnsi" w:hAnsiTheme="majorHAnsi" w:cstheme="majorHAnsi"/>
          <w:sz w:val="28"/>
          <w:szCs w:val="28"/>
        </w:rPr>
        <w:t xml:space="preserve">are more viable (i.e. there is a willingness and ability to pay) other </w:t>
      </w:r>
      <w:r w:rsidR="002506DA" w:rsidRPr="005C5E5A">
        <w:rPr>
          <w:rFonts w:asciiTheme="majorHAnsi" w:hAnsiTheme="majorHAnsi" w:cstheme="majorHAnsi"/>
          <w:sz w:val="28"/>
          <w:szCs w:val="28"/>
        </w:rPr>
        <w:t>suggesting they are extending to previously under-served rural areas where large portions of poor people typically live’ (op.cit:22)</w:t>
      </w:r>
      <w:r w:rsidR="00C47A4C">
        <w:rPr>
          <w:rFonts w:asciiTheme="majorHAnsi" w:hAnsiTheme="majorHAnsi" w:cstheme="majorHAnsi"/>
          <w:sz w:val="28"/>
          <w:szCs w:val="28"/>
        </w:rPr>
        <w:t>.</w:t>
      </w:r>
      <w:r w:rsidR="008937B8" w:rsidRPr="005C5E5A">
        <w:rPr>
          <w:rFonts w:asciiTheme="majorHAnsi" w:hAnsiTheme="majorHAnsi" w:cstheme="majorHAnsi"/>
          <w:sz w:val="28"/>
          <w:szCs w:val="28"/>
        </w:rPr>
        <w:t xml:space="preserve"> ‘There is some evidence of a small minority of children from lower economic quintiles attending private schools’ (p.52).</w:t>
      </w:r>
    </w:p>
    <w:p w:rsidR="0003742F" w:rsidRPr="005C5E5A" w:rsidRDefault="0003742F" w:rsidP="0003742F">
      <w:pPr>
        <w:jc w:val="both"/>
        <w:rPr>
          <w:rFonts w:asciiTheme="majorHAnsi" w:hAnsiTheme="majorHAnsi" w:cstheme="majorHAnsi"/>
          <w:sz w:val="28"/>
          <w:szCs w:val="28"/>
        </w:rPr>
      </w:pPr>
      <w:r w:rsidRPr="005C5E5A">
        <w:rPr>
          <w:rFonts w:asciiTheme="majorHAnsi" w:hAnsiTheme="majorHAnsi" w:cstheme="majorHAnsi"/>
          <w:sz w:val="28"/>
          <w:szCs w:val="28"/>
        </w:rPr>
        <w:t>The evidence from the seven MICS6 countries (plus Mali)</w:t>
      </w:r>
      <w:r w:rsidRPr="005C5E5A">
        <w:rPr>
          <w:rStyle w:val="FootnoteReference"/>
          <w:rFonts w:asciiTheme="majorHAnsi" w:hAnsiTheme="majorHAnsi" w:cstheme="majorHAnsi"/>
          <w:sz w:val="28"/>
          <w:szCs w:val="28"/>
        </w:rPr>
        <w:footnoteReference w:id="15"/>
      </w:r>
      <w:r w:rsidRPr="005C5E5A">
        <w:rPr>
          <w:rFonts w:asciiTheme="majorHAnsi" w:hAnsiTheme="majorHAnsi" w:cstheme="majorHAnsi"/>
          <w:sz w:val="28"/>
          <w:szCs w:val="28"/>
        </w:rPr>
        <w:t xml:space="preserve"> shows that the </w:t>
      </w:r>
      <w:r w:rsidR="00C47A4C">
        <w:rPr>
          <w:rFonts w:asciiTheme="majorHAnsi" w:hAnsiTheme="majorHAnsi" w:cstheme="majorHAnsi"/>
          <w:sz w:val="28"/>
          <w:szCs w:val="28"/>
        </w:rPr>
        <w:t xml:space="preserve">enrolment </w:t>
      </w:r>
      <w:r w:rsidRPr="005C5E5A">
        <w:rPr>
          <w:rFonts w:asciiTheme="majorHAnsi" w:hAnsiTheme="majorHAnsi" w:cstheme="majorHAnsi"/>
          <w:sz w:val="28"/>
          <w:szCs w:val="28"/>
        </w:rPr>
        <w:t xml:space="preserve">incidence of children from the poorest </w:t>
      </w:r>
      <w:r w:rsidR="00C47A4C">
        <w:rPr>
          <w:rFonts w:asciiTheme="majorHAnsi" w:hAnsiTheme="majorHAnsi" w:cstheme="majorHAnsi"/>
          <w:sz w:val="28"/>
          <w:szCs w:val="28"/>
        </w:rPr>
        <w:t xml:space="preserve">(wealth quintile 1) </w:t>
      </w:r>
      <w:r w:rsidRPr="005C5E5A">
        <w:rPr>
          <w:rFonts w:asciiTheme="majorHAnsi" w:hAnsiTheme="majorHAnsi" w:cstheme="majorHAnsi"/>
          <w:sz w:val="28"/>
          <w:szCs w:val="28"/>
        </w:rPr>
        <w:t xml:space="preserve">households attending both primary and secondary </w:t>
      </w:r>
      <w:r w:rsidR="00C47A4C">
        <w:rPr>
          <w:rFonts w:asciiTheme="majorHAnsi" w:hAnsiTheme="majorHAnsi" w:cstheme="majorHAnsi"/>
          <w:sz w:val="28"/>
          <w:szCs w:val="28"/>
        </w:rPr>
        <w:t xml:space="preserve">private </w:t>
      </w:r>
      <w:r w:rsidRPr="005C5E5A">
        <w:rPr>
          <w:rFonts w:asciiTheme="majorHAnsi" w:hAnsiTheme="majorHAnsi" w:cstheme="majorHAnsi"/>
          <w:sz w:val="28"/>
          <w:szCs w:val="28"/>
        </w:rPr>
        <w:t xml:space="preserve">schools is (with a few exceptions) less than 10% in rural areas and less than 20% in urban areas (see Table </w:t>
      </w:r>
      <w:r w:rsidR="003A735C">
        <w:rPr>
          <w:rFonts w:asciiTheme="majorHAnsi" w:hAnsiTheme="majorHAnsi" w:cstheme="majorHAnsi"/>
          <w:sz w:val="28"/>
          <w:szCs w:val="28"/>
        </w:rPr>
        <w:t>8</w:t>
      </w:r>
      <w:r w:rsidRPr="005C5E5A">
        <w:rPr>
          <w:rFonts w:asciiTheme="majorHAnsi" w:hAnsiTheme="majorHAnsi" w:cstheme="majorHAnsi"/>
          <w:sz w:val="28"/>
          <w:szCs w:val="28"/>
        </w:rPr>
        <w:t>)</w:t>
      </w:r>
      <w:r w:rsidR="00843B16">
        <w:rPr>
          <w:rFonts w:asciiTheme="majorHAnsi" w:hAnsiTheme="majorHAnsi" w:cstheme="majorHAnsi"/>
          <w:sz w:val="28"/>
          <w:szCs w:val="28"/>
        </w:rPr>
        <w:t>.</w:t>
      </w:r>
      <w:r w:rsidRPr="005C5E5A">
        <w:rPr>
          <w:rFonts w:asciiTheme="majorHAnsi" w:hAnsiTheme="majorHAnsi" w:cstheme="majorHAnsi"/>
          <w:sz w:val="28"/>
          <w:szCs w:val="28"/>
        </w:rPr>
        <w:t xml:space="preserve"> By contrast, in five out of these eight countries, more than two-thirds of primary schoo</w:t>
      </w:r>
      <w:r w:rsidR="00C47A4C">
        <w:rPr>
          <w:rFonts w:asciiTheme="majorHAnsi" w:hAnsiTheme="majorHAnsi" w:cstheme="majorHAnsi"/>
          <w:sz w:val="28"/>
          <w:szCs w:val="28"/>
        </w:rPr>
        <w:t>l students from the richest (</w:t>
      </w:r>
      <w:r w:rsidRPr="005C5E5A">
        <w:rPr>
          <w:rFonts w:asciiTheme="majorHAnsi" w:hAnsiTheme="majorHAnsi" w:cstheme="majorHAnsi"/>
          <w:sz w:val="28"/>
          <w:szCs w:val="28"/>
        </w:rPr>
        <w:t>wealth quintile</w:t>
      </w:r>
      <w:r w:rsidR="00C47A4C">
        <w:rPr>
          <w:rFonts w:asciiTheme="majorHAnsi" w:hAnsiTheme="majorHAnsi" w:cstheme="majorHAnsi"/>
          <w:sz w:val="28"/>
          <w:szCs w:val="28"/>
        </w:rPr>
        <w:t xml:space="preserve"> 5</w:t>
      </w:r>
      <w:r w:rsidRPr="005C5E5A">
        <w:rPr>
          <w:rFonts w:asciiTheme="majorHAnsi" w:hAnsiTheme="majorHAnsi" w:cstheme="majorHAnsi"/>
          <w:sz w:val="28"/>
          <w:szCs w:val="28"/>
        </w:rPr>
        <w:t>) households in urban locations now attend private schools. The most extreme case is in Guine</w:t>
      </w:r>
      <w:r w:rsidR="00C47A4C">
        <w:rPr>
          <w:rFonts w:asciiTheme="majorHAnsi" w:hAnsiTheme="majorHAnsi" w:cstheme="majorHAnsi"/>
          <w:sz w:val="28"/>
          <w:szCs w:val="28"/>
        </w:rPr>
        <w:t xml:space="preserve">a Bissau, where only 10% of children from the richest households </w:t>
      </w:r>
      <w:r w:rsidRPr="005C5E5A">
        <w:rPr>
          <w:rFonts w:asciiTheme="majorHAnsi" w:hAnsiTheme="majorHAnsi" w:cstheme="majorHAnsi"/>
          <w:sz w:val="28"/>
          <w:szCs w:val="28"/>
        </w:rPr>
        <w:t xml:space="preserve">now attend government schools. The limited scope for private schooling provision in rural areas means that the incidence of private schooling among </w:t>
      </w:r>
      <w:r w:rsidR="00C47A4C">
        <w:rPr>
          <w:rFonts w:asciiTheme="majorHAnsi" w:hAnsiTheme="majorHAnsi" w:cstheme="majorHAnsi"/>
          <w:sz w:val="28"/>
          <w:szCs w:val="28"/>
        </w:rPr>
        <w:t xml:space="preserve">the richest students </w:t>
      </w:r>
      <w:r w:rsidRPr="005C5E5A">
        <w:rPr>
          <w:rFonts w:asciiTheme="majorHAnsi" w:hAnsiTheme="majorHAnsi" w:cstheme="majorHAnsi"/>
          <w:sz w:val="28"/>
          <w:szCs w:val="28"/>
        </w:rPr>
        <w:t>is considerably lower than in urban areas</w:t>
      </w:r>
      <w:r w:rsidRPr="005C5E5A">
        <w:rPr>
          <w:rStyle w:val="FootnoteReference"/>
          <w:rFonts w:asciiTheme="majorHAnsi" w:hAnsiTheme="majorHAnsi" w:cstheme="majorHAnsi"/>
          <w:sz w:val="28"/>
          <w:szCs w:val="28"/>
        </w:rPr>
        <w:footnoteReference w:id="16"/>
      </w:r>
      <w:r w:rsidRPr="005C5E5A">
        <w:rPr>
          <w:rFonts w:asciiTheme="majorHAnsi" w:hAnsiTheme="majorHAnsi" w:cstheme="majorHAnsi"/>
          <w:sz w:val="28"/>
          <w:szCs w:val="28"/>
        </w:rPr>
        <w:t xml:space="preserve">. It is also lower for private secondary schooling in urban areas which is probably due to the relatively high costs of private secondary schooling as well as the </w:t>
      </w:r>
      <w:r w:rsidR="00C47A4C">
        <w:rPr>
          <w:rFonts w:asciiTheme="majorHAnsi" w:hAnsiTheme="majorHAnsi" w:cstheme="majorHAnsi"/>
          <w:sz w:val="28"/>
          <w:szCs w:val="28"/>
        </w:rPr>
        <w:t xml:space="preserve">considerable </w:t>
      </w:r>
      <w:r w:rsidRPr="005C5E5A">
        <w:rPr>
          <w:rFonts w:asciiTheme="majorHAnsi" w:hAnsiTheme="majorHAnsi" w:cstheme="majorHAnsi"/>
          <w:sz w:val="28"/>
          <w:szCs w:val="28"/>
        </w:rPr>
        <w:t xml:space="preserve">extent to which public secondary education </w:t>
      </w:r>
    </w:p>
    <w:p w:rsidR="00474E2B" w:rsidRDefault="00474E2B">
      <w:pPr>
        <w:rPr>
          <w:rFonts w:asciiTheme="majorHAnsi" w:hAnsiTheme="majorHAnsi" w:cstheme="majorHAnsi"/>
          <w:sz w:val="28"/>
          <w:szCs w:val="28"/>
        </w:rPr>
      </w:pPr>
      <w:r>
        <w:rPr>
          <w:rFonts w:asciiTheme="majorHAnsi" w:hAnsiTheme="majorHAnsi" w:cstheme="majorHAnsi"/>
          <w:sz w:val="28"/>
          <w:szCs w:val="28"/>
        </w:rPr>
        <w:br w:type="page"/>
      </w:r>
    </w:p>
    <w:p w:rsidR="00C47D88" w:rsidRDefault="00474E2B" w:rsidP="00B347D2">
      <w:pPr>
        <w:jc w:val="both"/>
        <w:rPr>
          <w:rFonts w:asciiTheme="majorHAnsi" w:hAnsiTheme="majorHAnsi" w:cstheme="majorHAnsi"/>
          <w:sz w:val="28"/>
          <w:szCs w:val="28"/>
        </w:rPr>
      </w:pPr>
      <w:r w:rsidRPr="005C5E5A">
        <w:rPr>
          <w:rFonts w:asciiTheme="majorHAnsi" w:hAnsiTheme="majorHAnsi" w:cstheme="majorHAnsi"/>
          <w:sz w:val="28"/>
          <w:szCs w:val="28"/>
        </w:rPr>
        <w:t xml:space="preserve">in major urban areas </w:t>
      </w:r>
      <w:r>
        <w:rPr>
          <w:rFonts w:asciiTheme="majorHAnsi" w:hAnsiTheme="majorHAnsi" w:cstheme="majorHAnsi"/>
          <w:sz w:val="28"/>
          <w:szCs w:val="28"/>
        </w:rPr>
        <w:t xml:space="preserve">(especially at the most prestigious schools) </w:t>
      </w:r>
      <w:r w:rsidRPr="005C5E5A">
        <w:rPr>
          <w:rFonts w:asciiTheme="majorHAnsi" w:hAnsiTheme="majorHAnsi" w:cstheme="majorHAnsi"/>
          <w:sz w:val="28"/>
          <w:szCs w:val="28"/>
        </w:rPr>
        <w:t>has been captured by children from the wealthiest socio-economic groups</w:t>
      </w:r>
      <w:r w:rsidRPr="005C5E5A">
        <w:rPr>
          <w:rStyle w:val="FootnoteReference"/>
          <w:rFonts w:asciiTheme="majorHAnsi" w:hAnsiTheme="majorHAnsi" w:cstheme="majorHAnsi"/>
          <w:sz w:val="28"/>
          <w:szCs w:val="28"/>
        </w:rPr>
        <w:footnoteReference w:id="17"/>
      </w:r>
      <w:r w:rsidRPr="005C5E5A">
        <w:rPr>
          <w:rFonts w:asciiTheme="majorHAnsi" w:hAnsiTheme="majorHAnsi" w:cstheme="majorHAnsi"/>
          <w:sz w:val="28"/>
          <w:szCs w:val="28"/>
        </w:rPr>
        <w:t xml:space="preserve">. The private </w:t>
      </w:r>
      <w:r w:rsidR="0035064C" w:rsidRPr="005C5E5A">
        <w:rPr>
          <w:rFonts w:asciiTheme="majorHAnsi" w:hAnsiTheme="majorHAnsi" w:cstheme="majorHAnsi"/>
          <w:sz w:val="28"/>
          <w:szCs w:val="28"/>
        </w:rPr>
        <w:t xml:space="preserve">school enrolment dominance of the richest households in private secondary school provision is particularly significant since successful completion of secondary schooling is essential for progression to higher education and ultimately securing the best jobs in the formal sector.   </w:t>
      </w:r>
      <w:r w:rsidR="00F33C5B" w:rsidRPr="005C5E5A">
        <w:rPr>
          <w:rFonts w:asciiTheme="majorHAnsi" w:hAnsiTheme="majorHAnsi" w:cstheme="majorHAnsi"/>
          <w:sz w:val="28"/>
          <w:szCs w:val="28"/>
        </w:rPr>
        <w:t xml:space="preserve">In rural areas, the limited numbers of private schools is the most obvious reason for low </w:t>
      </w:r>
      <w:r w:rsidR="0039258B" w:rsidRPr="005C5E5A">
        <w:rPr>
          <w:rFonts w:asciiTheme="majorHAnsi" w:hAnsiTheme="majorHAnsi" w:cstheme="majorHAnsi"/>
          <w:sz w:val="28"/>
          <w:szCs w:val="28"/>
        </w:rPr>
        <w:t xml:space="preserve">private school </w:t>
      </w:r>
      <w:r w:rsidR="00C47A4C">
        <w:rPr>
          <w:rFonts w:asciiTheme="majorHAnsi" w:hAnsiTheme="majorHAnsi" w:cstheme="majorHAnsi"/>
          <w:sz w:val="28"/>
          <w:szCs w:val="28"/>
        </w:rPr>
        <w:t xml:space="preserve">enrolment </w:t>
      </w:r>
      <w:r w:rsidR="00F33C5B" w:rsidRPr="005C5E5A">
        <w:rPr>
          <w:rFonts w:asciiTheme="majorHAnsi" w:hAnsiTheme="majorHAnsi" w:cstheme="majorHAnsi"/>
          <w:sz w:val="28"/>
          <w:szCs w:val="28"/>
        </w:rPr>
        <w:t>rates</w:t>
      </w:r>
      <w:r w:rsidR="0039258B" w:rsidRPr="005C5E5A">
        <w:rPr>
          <w:rFonts w:asciiTheme="majorHAnsi" w:hAnsiTheme="majorHAnsi" w:cstheme="majorHAnsi"/>
          <w:sz w:val="28"/>
          <w:szCs w:val="28"/>
        </w:rPr>
        <w:t xml:space="preserve"> among not only </w:t>
      </w:r>
      <w:r w:rsidR="00C47A4C">
        <w:rPr>
          <w:rFonts w:asciiTheme="majorHAnsi" w:hAnsiTheme="majorHAnsi" w:cstheme="majorHAnsi"/>
          <w:sz w:val="28"/>
          <w:szCs w:val="28"/>
        </w:rPr>
        <w:t xml:space="preserve">the </w:t>
      </w:r>
      <w:r w:rsidR="0039258B" w:rsidRPr="005C5E5A">
        <w:rPr>
          <w:rFonts w:asciiTheme="majorHAnsi" w:hAnsiTheme="majorHAnsi" w:cstheme="majorHAnsi"/>
          <w:sz w:val="28"/>
          <w:szCs w:val="28"/>
        </w:rPr>
        <w:t xml:space="preserve">poor but for all children. </w:t>
      </w:r>
      <w:r w:rsidR="00F33C5B" w:rsidRPr="005C5E5A">
        <w:rPr>
          <w:rFonts w:asciiTheme="majorHAnsi" w:hAnsiTheme="majorHAnsi" w:cstheme="majorHAnsi"/>
          <w:sz w:val="28"/>
          <w:szCs w:val="28"/>
        </w:rPr>
        <w:t xml:space="preserve">In </w:t>
      </w:r>
      <w:r w:rsidR="00002599" w:rsidRPr="005C5E5A">
        <w:rPr>
          <w:rFonts w:asciiTheme="majorHAnsi" w:hAnsiTheme="majorHAnsi" w:cstheme="majorHAnsi"/>
          <w:sz w:val="28"/>
          <w:szCs w:val="28"/>
        </w:rPr>
        <w:t xml:space="preserve">those </w:t>
      </w:r>
      <w:r w:rsidR="00F33C5B" w:rsidRPr="005C5E5A">
        <w:rPr>
          <w:rFonts w:asciiTheme="majorHAnsi" w:hAnsiTheme="majorHAnsi" w:cstheme="majorHAnsi"/>
          <w:sz w:val="28"/>
          <w:szCs w:val="28"/>
        </w:rPr>
        <w:t xml:space="preserve">urban areas, </w:t>
      </w:r>
      <w:r w:rsidR="0039258B" w:rsidRPr="005C5E5A">
        <w:rPr>
          <w:rFonts w:asciiTheme="majorHAnsi" w:hAnsiTheme="majorHAnsi" w:cstheme="majorHAnsi"/>
          <w:sz w:val="28"/>
          <w:szCs w:val="28"/>
        </w:rPr>
        <w:t xml:space="preserve">where there is a genuine choice between and among private and public schools, </w:t>
      </w:r>
      <w:r w:rsidR="005A61A4" w:rsidRPr="005C5E5A">
        <w:rPr>
          <w:rFonts w:asciiTheme="majorHAnsi" w:hAnsiTheme="majorHAnsi" w:cstheme="majorHAnsi"/>
          <w:sz w:val="28"/>
          <w:szCs w:val="28"/>
        </w:rPr>
        <w:t xml:space="preserve">the most likely </w:t>
      </w:r>
      <w:r w:rsidR="00F33C5B" w:rsidRPr="005C5E5A">
        <w:rPr>
          <w:rFonts w:asciiTheme="majorHAnsi" w:hAnsiTheme="majorHAnsi" w:cstheme="majorHAnsi"/>
          <w:sz w:val="28"/>
          <w:szCs w:val="28"/>
        </w:rPr>
        <w:t>r</w:t>
      </w:r>
      <w:r w:rsidR="00C47A4C">
        <w:rPr>
          <w:rFonts w:asciiTheme="majorHAnsi" w:hAnsiTheme="majorHAnsi" w:cstheme="majorHAnsi"/>
          <w:sz w:val="28"/>
          <w:szCs w:val="28"/>
        </w:rPr>
        <w:t>eason for the limited enrolment</w:t>
      </w:r>
      <w:r w:rsidR="00F33C5B" w:rsidRPr="005C5E5A">
        <w:rPr>
          <w:rFonts w:asciiTheme="majorHAnsi" w:hAnsiTheme="majorHAnsi" w:cstheme="majorHAnsi"/>
          <w:sz w:val="28"/>
          <w:szCs w:val="28"/>
        </w:rPr>
        <w:t xml:space="preserve"> of children from the poorest households poor at private schools is </w:t>
      </w:r>
      <w:r w:rsidR="00002599" w:rsidRPr="005C5E5A">
        <w:rPr>
          <w:rFonts w:asciiTheme="majorHAnsi" w:hAnsiTheme="majorHAnsi" w:cstheme="majorHAnsi"/>
          <w:sz w:val="28"/>
          <w:szCs w:val="28"/>
        </w:rPr>
        <w:t xml:space="preserve">due </w:t>
      </w:r>
      <w:r w:rsidR="00F33C5B" w:rsidRPr="005C5E5A">
        <w:rPr>
          <w:rFonts w:asciiTheme="majorHAnsi" w:hAnsiTheme="majorHAnsi" w:cstheme="majorHAnsi"/>
          <w:sz w:val="28"/>
          <w:szCs w:val="28"/>
        </w:rPr>
        <w:t xml:space="preserve">mainly </w:t>
      </w:r>
      <w:r w:rsidR="005A61A4" w:rsidRPr="005C5E5A">
        <w:rPr>
          <w:rFonts w:asciiTheme="majorHAnsi" w:hAnsiTheme="majorHAnsi" w:cstheme="majorHAnsi"/>
          <w:sz w:val="28"/>
          <w:szCs w:val="28"/>
        </w:rPr>
        <w:t xml:space="preserve">to </w:t>
      </w:r>
      <w:r w:rsidR="00F33C5B" w:rsidRPr="005C5E5A">
        <w:rPr>
          <w:rFonts w:asciiTheme="majorHAnsi" w:hAnsiTheme="majorHAnsi" w:cstheme="majorHAnsi"/>
          <w:sz w:val="28"/>
          <w:szCs w:val="28"/>
        </w:rPr>
        <w:t xml:space="preserve">the </w:t>
      </w:r>
      <w:r w:rsidR="007045E5" w:rsidRPr="005C5E5A">
        <w:rPr>
          <w:rFonts w:asciiTheme="majorHAnsi" w:hAnsiTheme="majorHAnsi" w:cstheme="majorHAnsi"/>
          <w:sz w:val="28"/>
          <w:szCs w:val="28"/>
        </w:rPr>
        <w:t>unaffordability</w:t>
      </w:r>
      <w:r w:rsidR="00F33C5B" w:rsidRPr="005C5E5A">
        <w:rPr>
          <w:rFonts w:asciiTheme="majorHAnsi" w:hAnsiTheme="majorHAnsi" w:cstheme="majorHAnsi"/>
          <w:sz w:val="28"/>
          <w:szCs w:val="28"/>
        </w:rPr>
        <w:t xml:space="preserve"> of even ‘low-cost’ provision</w:t>
      </w:r>
      <w:r w:rsidR="005C6B35">
        <w:rPr>
          <w:rStyle w:val="FootnoteReference"/>
          <w:rFonts w:asciiTheme="majorHAnsi" w:hAnsiTheme="majorHAnsi" w:cstheme="majorHAnsi"/>
          <w:sz w:val="28"/>
          <w:szCs w:val="28"/>
        </w:rPr>
        <w:footnoteReference w:id="18"/>
      </w:r>
      <w:r w:rsidR="00F33C5B" w:rsidRPr="005C5E5A">
        <w:rPr>
          <w:rFonts w:asciiTheme="majorHAnsi" w:hAnsiTheme="majorHAnsi" w:cstheme="majorHAnsi"/>
          <w:sz w:val="28"/>
          <w:szCs w:val="28"/>
        </w:rPr>
        <w:t xml:space="preserve">. </w:t>
      </w:r>
    </w:p>
    <w:p w:rsidR="00CF50C1" w:rsidRDefault="005A61A4" w:rsidP="00CF50C1">
      <w:pPr>
        <w:jc w:val="both"/>
        <w:rPr>
          <w:rFonts w:asciiTheme="majorHAnsi" w:hAnsiTheme="majorHAnsi" w:cstheme="majorHAnsi"/>
          <w:sz w:val="28"/>
          <w:szCs w:val="28"/>
        </w:rPr>
      </w:pPr>
      <w:r w:rsidRPr="005C5E5A">
        <w:rPr>
          <w:rFonts w:asciiTheme="majorHAnsi" w:hAnsiTheme="majorHAnsi" w:cstheme="majorHAnsi"/>
          <w:sz w:val="28"/>
          <w:szCs w:val="28"/>
        </w:rPr>
        <w:t>Total p</w:t>
      </w:r>
      <w:r w:rsidR="00EC3787" w:rsidRPr="005C5E5A">
        <w:rPr>
          <w:rFonts w:asciiTheme="majorHAnsi" w:hAnsiTheme="majorHAnsi" w:cstheme="majorHAnsi"/>
          <w:sz w:val="28"/>
          <w:szCs w:val="28"/>
        </w:rPr>
        <w:t xml:space="preserve">rimary school enrolments surged with </w:t>
      </w:r>
      <w:r w:rsidR="00002599" w:rsidRPr="005C5E5A">
        <w:rPr>
          <w:rFonts w:asciiTheme="majorHAnsi" w:hAnsiTheme="majorHAnsi" w:cstheme="majorHAnsi"/>
          <w:sz w:val="28"/>
          <w:szCs w:val="28"/>
        </w:rPr>
        <w:t xml:space="preserve">the introduction of national </w:t>
      </w:r>
      <w:r w:rsidR="00EC3787" w:rsidRPr="005C5E5A">
        <w:rPr>
          <w:rFonts w:asciiTheme="majorHAnsi" w:hAnsiTheme="majorHAnsi" w:cstheme="majorHAnsi"/>
          <w:sz w:val="28"/>
          <w:szCs w:val="28"/>
        </w:rPr>
        <w:t xml:space="preserve">UPE </w:t>
      </w:r>
      <w:r w:rsidR="00002599" w:rsidRPr="005C5E5A">
        <w:rPr>
          <w:rFonts w:asciiTheme="majorHAnsi" w:hAnsiTheme="majorHAnsi" w:cstheme="majorHAnsi"/>
          <w:sz w:val="28"/>
          <w:szCs w:val="28"/>
        </w:rPr>
        <w:t xml:space="preserve">policies </w:t>
      </w:r>
      <w:r w:rsidR="00EC3787" w:rsidRPr="005C5E5A">
        <w:rPr>
          <w:rFonts w:asciiTheme="majorHAnsi" w:hAnsiTheme="majorHAnsi" w:cstheme="majorHAnsi"/>
          <w:sz w:val="28"/>
          <w:szCs w:val="28"/>
        </w:rPr>
        <w:t xml:space="preserve">precisely because UPE was </w:t>
      </w:r>
      <w:r w:rsidR="00002599" w:rsidRPr="005C5E5A">
        <w:rPr>
          <w:rFonts w:asciiTheme="majorHAnsi" w:hAnsiTheme="majorHAnsi" w:cstheme="majorHAnsi"/>
          <w:sz w:val="28"/>
          <w:szCs w:val="28"/>
        </w:rPr>
        <w:t xml:space="preserve">usually </w:t>
      </w:r>
      <w:r w:rsidR="00EC3787" w:rsidRPr="005C5E5A">
        <w:rPr>
          <w:rFonts w:asciiTheme="majorHAnsi" w:hAnsiTheme="majorHAnsi" w:cstheme="majorHAnsi"/>
          <w:sz w:val="28"/>
          <w:szCs w:val="28"/>
        </w:rPr>
        <w:t>directly linked to the abolition of fees which</w:t>
      </w:r>
      <w:r w:rsidRPr="005C5E5A">
        <w:rPr>
          <w:rFonts w:asciiTheme="majorHAnsi" w:hAnsiTheme="majorHAnsi" w:cstheme="majorHAnsi"/>
          <w:sz w:val="28"/>
          <w:szCs w:val="28"/>
        </w:rPr>
        <w:t>,</w:t>
      </w:r>
      <w:r w:rsidR="00EC3787" w:rsidRPr="005C5E5A">
        <w:rPr>
          <w:rFonts w:asciiTheme="majorHAnsi" w:hAnsiTheme="majorHAnsi" w:cstheme="majorHAnsi"/>
          <w:sz w:val="28"/>
          <w:szCs w:val="28"/>
        </w:rPr>
        <w:t xml:space="preserve"> until then</w:t>
      </w:r>
      <w:r w:rsidRPr="005C5E5A">
        <w:rPr>
          <w:rFonts w:asciiTheme="majorHAnsi" w:hAnsiTheme="majorHAnsi" w:cstheme="majorHAnsi"/>
          <w:sz w:val="28"/>
          <w:szCs w:val="28"/>
        </w:rPr>
        <w:t>,</w:t>
      </w:r>
      <w:r w:rsidR="00EC3787" w:rsidRPr="005C5E5A">
        <w:rPr>
          <w:rFonts w:asciiTheme="majorHAnsi" w:hAnsiTheme="majorHAnsi" w:cstheme="majorHAnsi"/>
          <w:sz w:val="28"/>
          <w:szCs w:val="28"/>
        </w:rPr>
        <w:t xml:space="preserve"> had kept enrolments very low (see </w:t>
      </w:r>
      <w:r w:rsidR="0035064C">
        <w:rPr>
          <w:rFonts w:asciiTheme="majorHAnsi" w:hAnsiTheme="majorHAnsi" w:cstheme="majorHAnsi"/>
          <w:sz w:val="28"/>
          <w:szCs w:val="28"/>
        </w:rPr>
        <w:t>Morgan et al. 2014)</w:t>
      </w:r>
      <w:r w:rsidR="00EC3787" w:rsidRPr="005C5E5A">
        <w:rPr>
          <w:rFonts w:asciiTheme="majorHAnsi" w:hAnsiTheme="majorHAnsi" w:cstheme="majorHAnsi"/>
          <w:sz w:val="28"/>
          <w:szCs w:val="28"/>
        </w:rPr>
        <w:t>. While there has been some reduction in poverty levels</w:t>
      </w:r>
      <w:r w:rsidR="00002599" w:rsidRPr="005C5E5A">
        <w:rPr>
          <w:rFonts w:asciiTheme="majorHAnsi" w:hAnsiTheme="majorHAnsi" w:cstheme="majorHAnsi"/>
          <w:sz w:val="28"/>
          <w:szCs w:val="28"/>
        </w:rPr>
        <w:t xml:space="preserve"> during the last 30 years</w:t>
      </w:r>
      <w:r w:rsidR="00EC3787" w:rsidRPr="005C5E5A">
        <w:rPr>
          <w:rFonts w:asciiTheme="majorHAnsi" w:hAnsiTheme="majorHAnsi" w:cstheme="majorHAnsi"/>
          <w:sz w:val="28"/>
          <w:szCs w:val="28"/>
        </w:rPr>
        <w:t>, there is</w:t>
      </w:r>
      <w:r w:rsidR="00002599" w:rsidRPr="005C5E5A">
        <w:rPr>
          <w:rFonts w:asciiTheme="majorHAnsi" w:hAnsiTheme="majorHAnsi" w:cstheme="majorHAnsi"/>
          <w:sz w:val="28"/>
          <w:szCs w:val="28"/>
        </w:rPr>
        <w:t>, therefore,</w:t>
      </w:r>
      <w:r w:rsidR="00EC3787" w:rsidRPr="005C5E5A">
        <w:rPr>
          <w:rFonts w:asciiTheme="majorHAnsi" w:hAnsiTheme="majorHAnsi" w:cstheme="majorHAnsi"/>
          <w:sz w:val="28"/>
          <w:szCs w:val="28"/>
        </w:rPr>
        <w:t xml:space="preserve"> no reason to believe that the mass of poor households in rural areas c</w:t>
      </w:r>
      <w:r w:rsidR="005C6B35">
        <w:rPr>
          <w:rFonts w:asciiTheme="majorHAnsi" w:hAnsiTheme="majorHAnsi" w:cstheme="majorHAnsi"/>
          <w:sz w:val="28"/>
          <w:szCs w:val="28"/>
        </w:rPr>
        <w:t xml:space="preserve">an </w:t>
      </w:r>
      <w:r w:rsidR="00002599" w:rsidRPr="005C5E5A">
        <w:rPr>
          <w:rFonts w:asciiTheme="majorHAnsi" w:hAnsiTheme="majorHAnsi" w:cstheme="majorHAnsi"/>
          <w:sz w:val="28"/>
          <w:szCs w:val="28"/>
        </w:rPr>
        <w:t xml:space="preserve">now </w:t>
      </w:r>
      <w:r w:rsidR="00EC3787" w:rsidRPr="005C5E5A">
        <w:rPr>
          <w:rFonts w:asciiTheme="majorHAnsi" w:hAnsiTheme="majorHAnsi" w:cstheme="majorHAnsi"/>
          <w:sz w:val="28"/>
          <w:szCs w:val="28"/>
        </w:rPr>
        <w:t xml:space="preserve">afford to send their children to </w:t>
      </w:r>
      <w:r w:rsidR="00002599" w:rsidRPr="005C5E5A">
        <w:rPr>
          <w:rFonts w:asciiTheme="majorHAnsi" w:hAnsiTheme="majorHAnsi" w:cstheme="majorHAnsi"/>
          <w:sz w:val="28"/>
          <w:szCs w:val="28"/>
        </w:rPr>
        <w:t xml:space="preserve">low-cost </w:t>
      </w:r>
      <w:r w:rsidR="00EC3787" w:rsidRPr="005C5E5A">
        <w:rPr>
          <w:rFonts w:asciiTheme="majorHAnsi" w:hAnsiTheme="majorHAnsi" w:cstheme="majorHAnsi"/>
          <w:sz w:val="28"/>
          <w:szCs w:val="28"/>
        </w:rPr>
        <w:t xml:space="preserve">private schools. </w:t>
      </w:r>
      <w:r w:rsidR="005C6B35">
        <w:rPr>
          <w:rFonts w:asciiTheme="majorHAnsi" w:hAnsiTheme="majorHAnsi" w:cstheme="majorHAnsi"/>
          <w:sz w:val="28"/>
          <w:szCs w:val="28"/>
        </w:rPr>
        <w:t>It is reasonable to hypothesise that t</w:t>
      </w:r>
      <w:r w:rsidR="006B6847" w:rsidRPr="005C5E5A">
        <w:rPr>
          <w:rFonts w:asciiTheme="majorHAnsi" w:hAnsiTheme="majorHAnsi" w:cstheme="majorHAnsi"/>
          <w:sz w:val="28"/>
          <w:szCs w:val="28"/>
        </w:rPr>
        <w:t xml:space="preserve">hose </w:t>
      </w:r>
      <w:r w:rsidR="005C6B35">
        <w:rPr>
          <w:rFonts w:asciiTheme="majorHAnsi" w:hAnsiTheme="majorHAnsi" w:cstheme="majorHAnsi"/>
          <w:sz w:val="28"/>
          <w:szCs w:val="28"/>
        </w:rPr>
        <w:t xml:space="preserve">parents/household heads </w:t>
      </w:r>
      <w:r w:rsidR="006B6847" w:rsidRPr="005C5E5A">
        <w:rPr>
          <w:rFonts w:asciiTheme="majorHAnsi" w:hAnsiTheme="majorHAnsi" w:cstheme="majorHAnsi"/>
          <w:sz w:val="28"/>
          <w:szCs w:val="28"/>
        </w:rPr>
        <w:t xml:space="preserve">who </w:t>
      </w:r>
      <w:r w:rsidR="00002599" w:rsidRPr="005C5E5A">
        <w:rPr>
          <w:rFonts w:asciiTheme="majorHAnsi" w:hAnsiTheme="majorHAnsi" w:cstheme="majorHAnsi"/>
          <w:sz w:val="28"/>
          <w:szCs w:val="28"/>
        </w:rPr>
        <w:t xml:space="preserve">were able to </w:t>
      </w:r>
      <w:r w:rsidR="006B6847" w:rsidRPr="005C5E5A">
        <w:rPr>
          <w:rFonts w:asciiTheme="majorHAnsi" w:hAnsiTheme="majorHAnsi" w:cstheme="majorHAnsi"/>
          <w:sz w:val="28"/>
          <w:szCs w:val="28"/>
        </w:rPr>
        <w:t xml:space="preserve">afford </w:t>
      </w:r>
      <w:r w:rsidR="00002599" w:rsidRPr="005C5E5A">
        <w:rPr>
          <w:rFonts w:asciiTheme="majorHAnsi" w:hAnsiTheme="majorHAnsi" w:cstheme="majorHAnsi"/>
          <w:sz w:val="28"/>
          <w:szCs w:val="28"/>
        </w:rPr>
        <w:t xml:space="preserve">the tuition and other </w:t>
      </w:r>
      <w:r w:rsidR="006B6847" w:rsidRPr="005C5E5A">
        <w:rPr>
          <w:rFonts w:asciiTheme="majorHAnsi" w:hAnsiTheme="majorHAnsi" w:cstheme="majorHAnsi"/>
          <w:sz w:val="28"/>
          <w:szCs w:val="28"/>
        </w:rPr>
        <w:t xml:space="preserve">fees </w:t>
      </w:r>
      <w:r w:rsidR="005C6B35">
        <w:rPr>
          <w:rFonts w:asciiTheme="majorHAnsi" w:hAnsiTheme="majorHAnsi" w:cstheme="majorHAnsi"/>
          <w:sz w:val="28"/>
          <w:szCs w:val="28"/>
        </w:rPr>
        <w:t xml:space="preserve">levied by </w:t>
      </w:r>
      <w:r w:rsidR="006B6847" w:rsidRPr="005C5E5A">
        <w:rPr>
          <w:rFonts w:asciiTheme="majorHAnsi" w:hAnsiTheme="majorHAnsi" w:cstheme="majorHAnsi"/>
          <w:sz w:val="28"/>
          <w:szCs w:val="28"/>
        </w:rPr>
        <w:t>public primary schools</w:t>
      </w:r>
      <w:r w:rsidR="00002599" w:rsidRPr="005C5E5A">
        <w:rPr>
          <w:rFonts w:asciiTheme="majorHAnsi" w:hAnsiTheme="majorHAnsi" w:cstheme="majorHAnsi"/>
          <w:sz w:val="28"/>
          <w:szCs w:val="28"/>
        </w:rPr>
        <w:t xml:space="preserve"> prior to the advent of UPE</w:t>
      </w:r>
      <w:r w:rsidR="006B6847" w:rsidRPr="005C5E5A">
        <w:rPr>
          <w:rFonts w:asciiTheme="majorHAnsi" w:hAnsiTheme="majorHAnsi" w:cstheme="majorHAnsi"/>
          <w:sz w:val="28"/>
          <w:szCs w:val="28"/>
        </w:rPr>
        <w:t xml:space="preserve"> are likely to have formed the core group of people who </w:t>
      </w:r>
      <w:r w:rsidR="00731A0A">
        <w:rPr>
          <w:rFonts w:asciiTheme="majorHAnsi" w:hAnsiTheme="majorHAnsi" w:cstheme="majorHAnsi"/>
          <w:sz w:val="28"/>
          <w:szCs w:val="28"/>
        </w:rPr>
        <w:t xml:space="preserve">opted for </w:t>
      </w:r>
      <w:r w:rsidR="006B6847" w:rsidRPr="005C5E5A">
        <w:rPr>
          <w:rFonts w:asciiTheme="majorHAnsi" w:hAnsiTheme="majorHAnsi" w:cstheme="majorHAnsi"/>
          <w:sz w:val="28"/>
          <w:szCs w:val="28"/>
        </w:rPr>
        <w:t>PSP</w:t>
      </w:r>
      <w:r w:rsidR="00F75240" w:rsidRPr="005C5E5A">
        <w:rPr>
          <w:rFonts w:asciiTheme="majorHAnsi" w:hAnsiTheme="majorHAnsi" w:cstheme="majorHAnsi"/>
          <w:sz w:val="28"/>
          <w:szCs w:val="28"/>
        </w:rPr>
        <w:t xml:space="preserve"> </w:t>
      </w:r>
      <w:r w:rsidR="00E87762">
        <w:rPr>
          <w:rFonts w:asciiTheme="majorHAnsi" w:hAnsiTheme="majorHAnsi" w:cstheme="majorHAnsi"/>
          <w:sz w:val="28"/>
          <w:szCs w:val="28"/>
        </w:rPr>
        <w:t xml:space="preserve">for their children </w:t>
      </w:r>
      <w:r w:rsidR="00F75240" w:rsidRPr="005C5E5A">
        <w:rPr>
          <w:rFonts w:asciiTheme="majorHAnsi" w:hAnsiTheme="majorHAnsi" w:cstheme="majorHAnsi"/>
          <w:sz w:val="28"/>
          <w:szCs w:val="28"/>
        </w:rPr>
        <w:t xml:space="preserve">especially as education standards </w:t>
      </w:r>
      <w:r w:rsidR="00E87762">
        <w:rPr>
          <w:rFonts w:asciiTheme="majorHAnsi" w:hAnsiTheme="majorHAnsi" w:cstheme="majorHAnsi"/>
          <w:sz w:val="28"/>
          <w:szCs w:val="28"/>
        </w:rPr>
        <w:t xml:space="preserve">in government schools </w:t>
      </w:r>
      <w:r w:rsidR="00F75240" w:rsidRPr="005C5E5A">
        <w:rPr>
          <w:rFonts w:asciiTheme="majorHAnsi" w:hAnsiTheme="majorHAnsi" w:cstheme="majorHAnsi"/>
          <w:sz w:val="28"/>
          <w:szCs w:val="28"/>
        </w:rPr>
        <w:t>came under pressure with rapidly increasing enrolments</w:t>
      </w:r>
      <w:r w:rsidR="006B6847" w:rsidRPr="005C5E5A">
        <w:rPr>
          <w:rFonts w:asciiTheme="majorHAnsi" w:hAnsiTheme="majorHAnsi" w:cstheme="majorHAnsi"/>
          <w:sz w:val="28"/>
          <w:szCs w:val="28"/>
        </w:rPr>
        <w:t>.</w:t>
      </w:r>
    </w:p>
    <w:p w:rsidR="0080622D" w:rsidRDefault="00C47D88" w:rsidP="00731A0A">
      <w:pPr>
        <w:jc w:val="both"/>
        <w:rPr>
          <w:rFonts w:asciiTheme="majorHAnsi" w:hAnsiTheme="majorHAnsi" w:cstheme="majorHAnsi"/>
          <w:sz w:val="28"/>
          <w:szCs w:val="28"/>
        </w:rPr>
      </w:pPr>
      <w:r>
        <w:rPr>
          <w:rFonts w:asciiTheme="majorHAnsi" w:hAnsiTheme="majorHAnsi" w:cstheme="majorHAnsi"/>
          <w:sz w:val="28"/>
          <w:szCs w:val="28"/>
        </w:rPr>
        <w:t>Despite the claims of the PSP low-cost school advocates, PSP enrolments among the poorest households account for less than 10</w:t>
      </w:r>
      <w:r w:rsidR="00391E9C">
        <w:rPr>
          <w:rFonts w:asciiTheme="majorHAnsi" w:hAnsiTheme="majorHAnsi" w:cstheme="majorHAnsi"/>
          <w:sz w:val="28"/>
          <w:szCs w:val="28"/>
        </w:rPr>
        <w:t>%</w:t>
      </w:r>
      <w:r>
        <w:rPr>
          <w:rFonts w:asciiTheme="majorHAnsi" w:hAnsiTheme="majorHAnsi" w:cstheme="majorHAnsi"/>
          <w:sz w:val="28"/>
          <w:szCs w:val="28"/>
        </w:rPr>
        <w:t xml:space="preserve"> of total PSP </w:t>
      </w:r>
      <w:r w:rsidR="00391E9C">
        <w:rPr>
          <w:rFonts w:asciiTheme="majorHAnsi" w:hAnsiTheme="majorHAnsi" w:cstheme="majorHAnsi"/>
          <w:sz w:val="28"/>
          <w:szCs w:val="28"/>
        </w:rPr>
        <w:t xml:space="preserve">private school enrolments </w:t>
      </w:r>
      <w:r>
        <w:rPr>
          <w:rFonts w:asciiTheme="majorHAnsi" w:hAnsiTheme="majorHAnsi" w:cstheme="majorHAnsi"/>
          <w:sz w:val="28"/>
          <w:szCs w:val="28"/>
        </w:rPr>
        <w:t>in the majority of the MICS6 survey countries</w:t>
      </w:r>
      <w:r w:rsidR="00391E9C">
        <w:rPr>
          <w:rFonts w:asciiTheme="majorHAnsi" w:hAnsiTheme="majorHAnsi" w:cstheme="majorHAnsi"/>
          <w:sz w:val="28"/>
          <w:szCs w:val="28"/>
        </w:rPr>
        <w:t xml:space="preserve"> (see Table </w:t>
      </w:r>
      <w:r w:rsidR="003A735C">
        <w:rPr>
          <w:rFonts w:asciiTheme="majorHAnsi" w:hAnsiTheme="majorHAnsi" w:cstheme="majorHAnsi"/>
          <w:sz w:val="28"/>
          <w:szCs w:val="28"/>
        </w:rPr>
        <w:t>9</w:t>
      </w:r>
      <w:r w:rsidR="00391E9C">
        <w:rPr>
          <w:rFonts w:asciiTheme="majorHAnsi" w:hAnsiTheme="majorHAnsi" w:cstheme="majorHAnsi"/>
          <w:sz w:val="28"/>
          <w:szCs w:val="28"/>
        </w:rPr>
        <w:t>)</w:t>
      </w:r>
      <w:r>
        <w:rPr>
          <w:rFonts w:asciiTheme="majorHAnsi" w:hAnsiTheme="majorHAnsi" w:cstheme="majorHAnsi"/>
          <w:sz w:val="28"/>
          <w:szCs w:val="28"/>
        </w:rPr>
        <w:t xml:space="preserve">. </w:t>
      </w:r>
      <w:r w:rsidR="00391E9C">
        <w:rPr>
          <w:rFonts w:asciiTheme="majorHAnsi" w:hAnsiTheme="majorHAnsi" w:cstheme="majorHAnsi"/>
          <w:sz w:val="28"/>
          <w:szCs w:val="28"/>
        </w:rPr>
        <w:t xml:space="preserve">The under-representation of the poorest households is particularly marked with respect to private secondary schooling where in all but in but two countries, their share of total private school enrolments is under 10%. </w:t>
      </w:r>
      <w:r>
        <w:rPr>
          <w:rFonts w:asciiTheme="majorHAnsi" w:hAnsiTheme="majorHAnsi" w:cstheme="majorHAnsi"/>
          <w:sz w:val="28"/>
          <w:szCs w:val="28"/>
        </w:rPr>
        <w:t>By contrast, the PSP share of the richest quintile households is typically over one-third particularly at the s</w:t>
      </w:r>
      <w:r w:rsidR="00391E9C">
        <w:rPr>
          <w:rFonts w:asciiTheme="majorHAnsi" w:hAnsiTheme="majorHAnsi" w:cstheme="majorHAnsi"/>
          <w:sz w:val="28"/>
          <w:szCs w:val="28"/>
        </w:rPr>
        <w:t>econdary school level</w:t>
      </w:r>
      <w:r>
        <w:rPr>
          <w:rFonts w:asciiTheme="majorHAnsi" w:hAnsiTheme="majorHAnsi" w:cstheme="majorHAnsi"/>
          <w:sz w:val="28"/>
          <w:szCs w:val="28"/>
        </w:rPr>
        <w:t>.</w:t>
      </w:r>
    </w:p>
    <w:p w:rsidR="00BA5B8C" w:rsidRPr="00281399" w:rsidRDefault="003056AE" w:rsidP="00281399">
      <w:pPr>
        <w:pStyle w:val="ListParagraph"/>
        <w:numPr>
          <w:ilvl w:val="0"/>
          <w:numId w:val="7"/>
        </w:numPr>
        <w:jc w:val="both"/>
        <w:rPr>
          <w:rFonts w:asciiTheme="majorHAnsi" w:hAnsiTheme="majorHAnsi" w:cstheme="majorHAnsi"/>
          <w:b/>
          <w:i/>
          <w:sz w:val="28"/>
          <w:szCs w:val="28"/>
        </w:rPr>
      </w:pPr>
      <w:r w:rsidRPr="00281399">
        <w:rPr>
          <w:rFonts w:asciiTheme="majorHAnsi" w:hAnsiTheme="majorHAnsi" w:cstheme="majorHAnsi"/>
          <w:b/>
          <w:i/>
          <w:sz w:val="28"/>
          <w:szCs w:val="28"/>
        </w:rPr>
        <w:t>Conclusions</w:t>
      </w:r>
    </w:p>
    <w:p w:rsidR="00CF50C1" w:rsidRPr="005C5E5A" w:rsidRDefault="007B6250" w:rsidP="007B6250">
      <w:pPr>
        <w:jc w:val="both"/>
        <w:rPr>
          <w:rFonts w:asciiTheme="majorHAnsi" w:hAnsiTheme="majorHAnsi" w:cstheme="majorHAnsi"/>
          <w:sz w:val="28"/>
          <w:szCs w:val="28"/>
        </w:rPr>
      </w:pPr>
      <w:r w:rsidRPr="005C5E5A">
        <w:rPr>
          <w:rFonts w:asciiTheme="majorHAnsi" w:hAnsiTheme="majorHAnsi" w:cstheme="majorHAnsi"/>
          <w:sz w:val="28"/>
          <w:szCs w:val="28"/>
        </w:rPr>
        <w:t xml:space="preserve">Six </w:t>
      </w:r>
      <w:r w:rsidR="00CF50C1" w:rsidRPr="005C5E5A">
        <w:rPr>
          <w:rFonts w:asciiTheme="majorHAnsi" w:hAnsiTheme="majorHAnsi" w:cstheme="majorHAnsi"/>
          <w:sz w:val="28"/>
          <w:szCs w:val="28"/>
        </w:rPr>
        <w:t>main conclusions can be drawn from this review of private schooling provision in SSA.</w:t>
      </w:r>
    </w:p>
    <w:p w:rsidR="00116E15" w:rsidRPr="005C5E5A" w:rsidRDefault="00CF50C1" w:rsidP="007B6250">
      <w:pPr>
        <w:jc w:val="both"/>
        <w:rPr>
          <w:rFonts w:asciiTheme="majorHAnsi" w:hAnsiTheme="majorHAnsi" w:cstheme="majorHAnsi"/>
          <w:sz w:val="28"/>
          <w:szCs w:val="28"/>
        </w:rPr>
      </w:pPr>
      <w:r w:rsidRPr="005C5E5A">
        <w:rPr>
          <w:rFonts w:asciiTheme="majorHAnsi" w:hAnsiTheme="majorHAnsi" w:cstheme="majorHAnsi"/>
          <w:sz w:val="28"/>
          <w:szCs w:val="28"/>
        </w:rPr>
        <w:t>Firstly, the h</w:t>
      </w:r>
      <w:r w:rsidR="0039523D" w:rsidRPr="005C5E5A">
        <w:rPr>
          <w:rFonts w:asciiTheme="majorHAnsi" w:hAnsiTheme="majorHAnsi" w:cstheme="majorHAnsi"/>
          <w:sz w:val="28"/>
          <w:szCs w:val="28"/>
        </w:rPr>
        <w:t xml:space="preserve">igh degree of dispersion in the incidence of PSP </w:t>
      </w:r>
      <w:r w:rsidRPr="005C5E5A">
        <w:rPr>
          <w:rFonts w:asciiTheme="majorHAnsi" w:hAnsiTheme="majorHAnsi" w:cstheme="majorHAnsi"/>
          <w:sz w:val="28"/>
          <w:szCs w:val="28"/>
        </w:rPr>
        <w:t xml:space="preserve">across the 50 or so countries in SSA </w:t>
      </w:r>
      <w:r w:rsidR="0039523D" w:rsidRPr="005C5E5A">
        <w:rPr>
          <w:rFonts w:asciiTheme="majorHAnsi" w:hAnsiTheme="majorHAnsi" w:cstheme="majorHAnsi"/>
          <w:sz w:val="28"/>
          <w:szCs w:val="28"/>
        </w:rPr>
        <w:t xml:space="preserve">makes it </w:t>
      </w:r>
      <w:r w:rsidRPr="005C5E5A">
        <w:rPr>
          <w:rFonts w:asciiTheme="majorHAnsi" w:hAnsiTheme="majorHAnsi" w:cstheme="majorHAnsi"/>
          <w:sz w:val="28"/>
          <w:szCs w:val="28"/>
        </w:rPr>
        <w:t xml:space="preserve">very hard if not </w:t>
      </w:r>
      <w:r w:rsidR="0039523D" w:rsidRPr="005C5E5A">
        <w:rPr>
          <w:rFonts w:asciiTheme="majorHAnsi" w:hAnsiTheme="majorHAnsi" w:cstheme="majorHAnsi"/>
          <w:sz w:val="28"/>
          <w:szCs w:val="28"/>
        </w:rPr>
        <w:t xml:space="preserve">impossible to </w:t>
      </w:r>
      <w:r w:rsidRPr="005C5E5A">
        <w:rPr>
          <w:rFonts w:asciiTheme="majorHAnsi" w:hAnsiTheme="majorHAnsi" w:cstheme="majorHAnsi"/>
          <w:sz w:val="28"/>
          <w:szCs w:val="28"/>
        </w:rPr>
        <w:t xml:space="preserve">be able to </w:t>
      </w:r>
      <w:r w:rsidR="0039523D" w:rsidRPr="005C5E5A">
        <w:rPr>
          <w:rFonts w:asciiTheme="majorHAnsi" w:hAnsiTheme="majorHAnsi" w:cstheme="majorHAnsi"/>
          <w:sz w:val="28"/>
          <w:szCs w:val="28"/>
        </w:rPr>
        <w:t xml:space="preserve">draw </w:t>
      </w:r>
      <w:r w:rsidRPr="005C5E5A">
        <w:rPr>
          <w:rFonts w:asciiTheme="majorHAnsi" w:hAnsiTheme="majorHAnsi" w:cstheme="majorHAnsi"/>
          <w:sz w:val="28"/>
          <w:szCs w:val="28"/>
        </w:rPr>
        <w:t xml:space="preserve">robust </w:t>
      </w:r>
      <w:r w:rsidR="0039523D" w:rsidRPr="005C5E5A">
        <w:rPr>
          <w:rFonts w:asciiTheme="majorHAnsi" w:hAnsiTheme="majorHAnsi" w:cstheme="majorHAnsi"/>
          <w:sz w:val="28"/>
          <w:szCs w:val="28"/>
        </w:rPr>
        <w:t xml:space="preserve">continent-wide conclusions </w:t>
      </w:r>
      <w:r w:rsidRPr="005C5E5A">
        <w:rPr>
          <w:rFonts w:asciiTheme="majorHAnsi" w:hAnsiTheme="majorHAnsi" w:cstheme="majorHAnsi"/>
          <w:sz w:val="28"/>
          <w:szCs w:val="28"/>
        </w:rPr>
        <w:t xml:space="preserve">and generalisations </w:t>
      </w:r>
      <w:r w:rsidR="0039523D" w:rsidRPr="005C5E5A">
        <w:rPr>
          <w:rFonts w:asciiTheme="majorHAnsi" w:hAnsiTheme="majorHAnsi" w:cstheme="majorHAnsi"/>
          <w:sz w:val="28"/>
          <w:szCs w:val="28"/>
        </w:rPr>
        <w:t>both about the overall</w:t>
      </w:r>
      <w:r w:rsidRPr="005C5E5A">
        <w:rPr>
          <w:rFonts w:asciiTheme="majorHAnsi" w:hAnsiTheme="majorHAnsi" w:cstheme="majorHAnsi"/>
          <w:sz w:val="28"/>
          <w:szCs w:val="28"/>
        </w:rPr>
        <w:t>s</w:t>
      </w:r>
      <w:r w:rsidR="0039523D" w:rsidRPr="005C5E5A">
        <w:rPr>
          <w:rFonts w:asciiTheme="majorHAnsi" w:hAnsiTheme="majorHAnsi" w:cstheme="majorHAnsi"/>
          <w:sz w:val="28"/>
          <w:szCs w:val="28"/>
        </w:rPr>
        <w:t xml:space="preserve"> level of PSP but also likely trends in the future.</w:t>
      </w:r>
      <w:r w:rsidR="00116E15" w:rsidRPr="005C5E5A">
        <w:rPr>
          <w:rFonts w:asciiTheme="majorHAnsi" w:hAnsiTheme="majorHAnsi" w:cstheme="majorHAnsi"/>
          <w:sz w:val="28"/>
          <w:szCs w:val="28"/>
        </w:rPr>
        <w:t xml:space="preserve"> </w:t>
      </w:r>
    </w:p>
    <w:p w:rsidR="003056AE" w:rsidRPr="005C5E5A" w:rsidRDefault="00CF50C1" w:rsidP="007B6250">
      <w:pPr>
        <w:jc w:val="both"/>
        <w:rPr>
          <w:rFonts w:asciiTheme="majorHAnsi" w:hAnsiTheme="majorHAnsi" w:cstheme="majorHAnsi"/>
          <w:sz w:val="28"/>
          <w:szCs w:val="28"/>
        </w:rPr>
      </w:pPr>
      <w:r w:rsidRPr="005C5E5A">
        <w:rPr>
          <w:rFonts w:asciiTheme="majorHAnsi" w:hAnsiTheme="majorHAnsi" w:cstheme="majorHAnsi"/>
          <w:sz w:val="28"/>
          <w:szCs w:val="28"/>
        </w:rPr>
        <w:t xml:space="preserve">Secondly, the evidence base remains weak and needs, therefore, </w:t>
      </w:r>
      <w:r w:rsidR="00116E15" w:rsidRPr="005C5E5A">
        <w:rPr>
          <w:rFonts w:asciiTheme="majorHAnsi" w:hAnsiTheme="majorHAnsi" w:cstheme="majorHAnsi"/>
          <w:sz w:val="28"/>
          <w:szCs w:val="28"/>
        </w:rPr>
        <w:t>to be considerably strengthened</w:t>
      </w:r>
      <w:r w:rsidRPr="005C5E5A">
        <w:rPr>
          <w:rFonts w:asciiTheme="majorHAnsi" w:hAnsiTheme="majorHAnsi" w:cstheme="majorHAnsi"/>
          <w:sz w:val="28"/>
          <w:szCs w:val="28"/>
        </w:rPr>
        <w:t>.</w:t>
      </w:r>
      <w:r w:rsidR="00116E15" w:rsidRPr="005C5E5A">
        <w:rPr>
          <w:rFonts w:asciiTheme="majorHAnsi" w:hAnsiTheme="majorHAnsi" w:cstheme="majorHAnsi"/>
          <w:sz w:val="28"/>
          <w:szCs w:val="28"/>
        </w:rPr>
        <w:t xml:space="preserve"> In particular, data should be systematically and regularly collected and analysed on the incidence and other key characteristics of PSP especially on student socio-ec</w:t>
      </w:r>
      <w:r w:rsidR="007B6250" w:rsidRPr="005C5E5A">
        <w:rPr>
          <w:rFonts w:asciiTheme="majorHAnsi" w:hAnsiTheme="majorHAnsi" w:cstheme="majorHAnsi"/>
          <w:sz w:val="28"/>
          <w:szCs w:val="28"/>
        </w:rPr>
        <w:t xml:space="preserve">onomic backgrounds, fees, costs, </w:t>
      </w:r>
      <w:r w:rsidR="00116E15" w:rsidRPr="005C5E5A">
        <w:rPr>
          <w:rFonts w:asciiTheme="majorHAnsi" w:hAnsiTheme="majorHAnsi" w:cstheme="majorHAnsi"/>
          <w:sz w:val="28"/>
          <w:szCs w:val="28"/>
        </w:rPr>
        <w:t>learning and examination</w:t>
      </w:r>
      <w:r w:rsidRPr="005C5E5A">
        <w:rPr>
          <w:rFonts w:asciiTheme="majorHAnsi" w:hAnsiTheme="majorHAnsi" w:cstheme="majorHAnsi"/>
          <w:sz w:val="28"/>
          <w:szCs w:val="28"/>
        </w:rPr>
        <w:t xml:space="preserve"> </w:t>
      </w:r>
      <w:r w:rsidR="00116E15" w:rsidRPr="005C5E5A">
        <w:rPr>
          <w:rFonts w:asciiTheme="majorHAnsi" w:hAnsiTheme="majorHAnsi" w:cstheme="majorHAnsi"/>
          <w:sz w:val="28"/>
          <w:szCs w:val="28"/>
        </w:rPr>
        <w:t>outcomes</w:t>
      </w:r>
      <w:r w:rsidR="007B6250" w:rsidRPr="005C5E5A">
        <w:rPr>
          <w:rFonts w:asciiTheme="majorHAnsi" w:hAnsiTheme="majorHAnsi" w:cstheme="majorHAnsi"/>
          <w:sz w:val="28"/>
          <w:szCs w:val="28"/>
        </w:rPr>
        <w:t xml:space="preserve"> and subsequent education and employment outcomes</w:t>
      </w:r>
      <w:r w:rsidR="00116E15" w:rsidRPr="005C5E5A">
        <w:rPr>
          <w:rFonts w:asciiTheme="majorHAnsi" w:hAnsiTheme="majorHAnsi" w:cstheme="majorHAnsi"/>
          <w:sz w:val="28"/>
          <w:szCs w:val="28"/>
        </w:rPr>
        <w:t>.</w:t>
      </w:r>
    </w:p>
    <w:p w:rsidR="00825D46" w:rsidRDefault="00CF50C1" w:rsidP="007B6250">
      <w:pPr>
        <w:jc w:val="both"/>
        <w:rPr>
          <w:rFonts w:asciiTheme="majorHAnsi" w:hAnsiTheme="majorHAnsi" w:cstheme="majorHAnsi"/>
          <w:sz w:val="28"/>
          <w:szCs w:val="28"/>
        </w:rPr>
      </w:pPr>
      <w:r w:rsidRPr="005C5E5A">
        <w:rPr>
          <w:rFonts w:asciiTheme="majorHAnsi" w:hAnsiTheme="majorHAnsi" w:cstheme="majorHAnsi"/>
          <w:sz w:val="28"/>
          <w:szCs w:val="28"/>
        </w:rPr>
        <w:t xml:space="preserve">Thirdly, none of the key arguments forwarded </w:t>
      </w:r>
      <w:r w:rsidR="003F0C73" w:rsidRPr="005C5E5A">
        <w:rPr>
          <w:rFonts w:asciiTheme="majorHAnsi" w:hAnsiTheme="majorHAnsi" w:cstheme="majorHAnsi"/>
          <w:sz w:val="28"/>
          <w:szCs w:val="28"/>
        </w:rPr>
        <w:t>in favour of much expa</w:t>
      </w:r>
      <w:r w:rsidRPr="005C5E5A">
        <w:rPr>
          <w:rFonts w:asciiTheme="majorHAnsi" w:hAnsiTheme="majorHAnsi" w:cstheme="majorHAnsi"/>
          <w:sz w:val="28"/>
          <w:szCs w:val="28"/>
        </w:rPr>
        <w:t xml:space="preserve">nded PSP in SSA can be robustly substantiated. </w:t>
      </w:r>
      <w:r w:rsidR="00EC579C" w:rsidRPr="005C5E5A">
        <w:rPr>
          <w:rFonts w:asciiTheme="majorHAnsi" w:hAnsiTheme="majorHAnsi" w:cstheme="majorHAnsi"/>
          <w:sz w:val="28"/>
          <w:szCs w:val="28"/>
        </w:rPr>
        <w:t>In particular t</w:t>
      </w:r>
      <w:r w:rsidR="003F0C73" w:rsidRPr="005C5E5A">
        <w:rPr>
          <w:rFonts w:asciiTheme="majorHAnsi" w:hAnsiTheme="majorHAnsi" w:cstheme="majorHAnsi"/>
          <w:sz w:val="28"/>
          <w:szCs w:val="28"/>
        </w:rPr>
        <w:t xml:space="preserve">he access of the poorest households to PSP remains very limited especially in rural areas and </w:t>
      </w:r>
      <w:r w:rsidR="00EC579C" w:rsidRPr="005C5E5A">
        <w:rPr>
          <w:rFonts w:asciiTheme="majorHAnsi" w:hAnsiTheme="majorHAnsi" w:cstheme="majorHAnsi"/>
          <w:sz w:val="28"/>
          <w:szCs w:val="28"/>
        </w:rPr>
        <w:t xml:space="preserve">for </w:t>
      </w:r>
      <w:r w:rsidR="003F0C73" w:rsidRPr="005C5E5A">
        <w:rPr>
          <w:rFonts w:asciiTheme="majorHAnsi" w:hAnsiTheme="majorHAnsi" w:cstheme="majorHAnsi"/>
          <w:sz w:val="28"/>
          <w:szCs w:val="28"/>
        </w:rPr>
        <w:t>secondary school</w:t>
      </w:r>
      <w:r w:rsidR="00EC579C" w:rsidRPr="005C5E5A">
        <w:rPr>
          <w:rFonts w:asciiTheme="majorHAnsi" w:hAnsiTheme="majorHAnsi" w:cstheme="majorHAnsi"/>
          <w:sz w:val="28"/>
          <w:szCs w:val="28"/>
        </w:rPr>
        <w:t>ing as a whole</w:t>
      </w:r>
      <w:r w:rsidR="003F0C73" w:rsidRPr="005C5E5A">
        <w:rPr>
          <w:rFonts w:asciiTheme="majorHAnsi" w:hAnsiTheme="majorHAnsi" w:cstheme="majorHAnsi"/>
          <w:sz w:val="28"/>
          <w:szCs w:val="28"/>
        </w:rPr>
        <w:t xml:space="preserve">. </w:t>
      </w:r>
      <w:r w:rsidR="00843B16">
        <w:rPr>
          <w:rFonts w:asciiTheme="majorHAnsi" w:hAnsiTheme="majorHAnsi" w:cstheme="majorHAnsi"/>
          <w:sz w:val="28"/>
          <w:szCs w:val="28"/>
        </w:rPr>
        <w:t>However, i</w:t>
      </w:r>
      <w:r w:rsidR="00825D46">
        <w:rPr>
          <w:rFonts w:asciiTheme="majorHAnsi" w:hAnsiTheme="majorHAnsi" w:cstheme="majorHAnsi"/>
          <w:sz w:val="28"/>
          <w:szCs w:val="28"/>
        </w:rPr>
        <w:t xml:space="preserve">n so far as </w:t>
      </w:r>
      <w:r w:rsidR="003F0C73" w:rsidRPr="005C5E5A">
        <w:rPr>
          <w:rFonts w:asciiTheme="majorHAnsi" w:hAnsiTheme="majorHAnsi" w:cstheme="majorHAnsi"/>
          <w:sz w:val="28"/>
          <w:szCs w:val="28"/>
        </w:rPr>
        <w:t xml:space="preserve">PSP </w:t>
      </w:r>
      <w:r w:rsidR="00825D46">
        <w:rPr>
          <w:rFonts w:asciiTheme="majorHAnsi" w:hAnsiTheme="majorHAnsi" w:cstheme="majorHAnsi"/>
          <w:sz w:val="28"/>
          <w:szCs w:val="28"/>
        </w:rPr>
        <w:t xml:space="preserve">enables children </w:t>
      </w:r>
      <w:r w:rsidR="00843B16">
        <w:rPr>
          <w:rFonts w:asciiTheme="majorHAnsi" w:hAnsiTheme="majorHAnsi" w:cstheme="majorHAnsi"/>
          <w:sz w:val="28"/>
          <w:szCs w:val="28"/>
        </w:rPr>
        <w:t xml:space="preserve">to attend school </w:t>
      </w:r>
      <w:r w:rsidR="00825D46">
        <w:rPr>
          <w:rFonts w:asciiTheme="majorHAnsi" w:hAnsiTheme="majorHAnsi" w:cstheme="majorHAnsi"/>
          <w:sz w:val="28"/>
          <w:szCs w:val="28"/>
        </w:rPr>
        <w:t xml:space="preserve">who would not otherwise have been able to do is then PSP reduces enrolment </w:t>
      </w:r>
      <w:r w:rsidR="00843B16">
        <w:rPr>
          <w:rFonts w:asciiTheme="majorHAnsi" w:hAnsiTheme="majorHAnsi" w:cstheme="majorHAnsi"/>
          <w:sz w:val="28"/>
          <w:szCs w:val="28"/>
        </w:rPr>
        <w:t xml:space="preserve">rate </w:t>
      </w:r>
      <w:r w:rsidR="00825D46">
        <w:rPr>
          <w:rFonts w:asciiTheme="majorHAnsi" w:hAnsiTheme="majorHAnsi" w:cstheme="majorHAnsi"/>
          <w:sz w:val="28"/>
          <w:szCs w:val="28"/>
        </w:rPr>
        <w:t>disparities and</w:t>
      </w:r>
      <w:r w:rsidR="00843B16">
        <w:rPr>
          <w:rFonts w:asciiTheme="majorHAnsi" w:hAnsiTheme="majorHAnsi" w:cstheme="majorHAnsi"/>
          <w:sz w:val="28"/>
          <w:szCs w:val="28"/>
        </w:rPr>
        <w:t>,</w:t>
      </w:r>
      <w:r w:rsidR="00825D46">
        <w:rPr>
          <w:rFonts w:asciiTheme="majorHAnsi" w:hAnsiTheme="majorHAnsi" w:cstheme="majorHAnsi"/>
          <w:sz w:val="28"/>
          <w:szCs w:val="28"/>
        </w:rPr>
        <w:t xml:space="preserve"> as such</w:t>
      </w:r>
      <w:r w:rsidR="00843B16">
        <w:rPr>
          <w:rFonts w:asciiTheme="majorHAnsi" w:hAnsiTheme="majorHAnsi" w:cstheme="majorHAnsi"/>
          <w:sz w:val="28"/>
          <w:szCs w:val="28"/>
        </w:rPr>
        <w:t>,</w:t>
      </w:r>
      <w:r w:rsidR="00825D46">
        <w:rPr>
          <w:rFonts w:asciiTheme="majorHAnsi" w:hAnsiTheme="majorHAnsi" w:cstheme="majorHAnsi"/>
          <w:sz w:val="28"/>
          <w:szCs w:val="28"/>
        </w:rPr>
        <w:t xml:space="preserve"> is (educationally) </w:t>
      </w:r>
      <w:r w:rsidR="003F0C73" w:rsidRPr="005C5E5A">
        <w:rPr>
          <w:rFonts w:asciiTheme="majorHAnsi" w:hAnsiTheme="majorHAnsi" w:cstheme="majorHAnsi"/>
          <w:sz w:val="28"/>
          <w:szCs w:val="28"/>
        </w:rPr>
        <w:t xml:space="preserve">egalitarian. </w:t>
      </w:r>
      <w:r w:rsidR="00825D46">
        <w:rPr>
          <w:rFonts w:asciiTheme="majorHAnsi" w:hAnsiTheme="majorHAnsi" w:cstheme="majorHAnsi"/>
          <w:sz w:val="28"/>
          <w:szCs w:val="28"/>
        </w:rPr>
        <w:t>However, when the poorest in society have to incur significant costs in order to benefit from this schooling, then</w:t>
      </w:r>
      <w:r w:rsidR="00843B16">
        <w:rPr>
          <w:rFonts w:asciiTheme="majorHAnsi" w:hAnsiTheme="majorHAnsi" w:cstheme="majorHAnsi"/>
          <w:sz w:val="28"/>
          <w:szCs w:val="28"/>
        </w:rPr>
        <w:t>,</w:t>
      </w:r>
      <w:r w:rsidR="00825D46">
        <w:rPr>
          <w:rFonts w:asciiTheme="majorHAnsi" w:hAnsiTheme="majorHAnsi" w:cstheme="majorHAnsi"/>
          <w:sz w:val="28"/>
          <w:szCs w:val="28"/>
        </w:rPr>
        <w:t xml:space="preserve"> from an income distribution perspective, PSP is certainly not egalitarian.</w:t>
      </w:r>
    </w:p>
    <w:p w:rsidR="007B6250" w:rsidRPr="005C5E5A" w:rsidRDefault="003F0C73" w:rsidP="007B6250">
      <w:pPr>
        <w:jc w:val="both"/>
        <w:rPr>
          <w:rFonts w:asciiTheme="majorHAnsi" w:hAnsiTheme="majorHAnsi" w:cstheme="majorHAnsi"/>
          <w:sz w:val="28"/>
          <w:szCs w:val="28"/>
        </w:rPr>
      </w:pPr>
      <w:r w:rsidRPr="005C5E5A">
        <w:rPr>
          <w:rFonts w:asciiTheme="majorHAnsi" w:hAnsiTheme="majorHAnsi" w:cstheme="majorHAnsi"/>
          <w:sz w:val="28"/>
          <w:szCs w:val="28"/>
        </w:rPr>
        <w:t>It is</w:t>
      </w:r>
      <w:r w:rsidR="00EC579C" w:rsidRPr="005C5E5A">
        <w:rPr>
          <w:rFonts w:asciiTheme="majorHAnsi" w:hAnsiTheme="majorHAnsi" w:cstheme="majorHAnsi"/>
          <w:sz w:val="28"/>
          <w:szCs w:val="28"/>
        </w:rPr>
        <w:t>, in fact,</w:t>
      </w:r>
      <w:r w:rsidRPr="005C5E5A">
        <w:rPr>
          <w:rFonts w:asciiTheme="majorHAnsi" w:hAnsiTheme="majorHAnsi" w:cstheme="majorHAnsi"/>
          <w:sz w:val="28"/>
          <w:szCs w:val="28"/>
        </w:rPr>
        <w:t xml:space="preserve"> quite perverse that the implementation of free UPE national strategies </w:t>
      </w:r>
      <w:r w:rsidR="00843B16">
        <w:rPr>
          <w:rFonts w:asciiTheme="majorHAnsi" w:hAnsiTheme="majorHAnsi" w:cstheme="majorHAnsi"/>
          <w:sz w:val="28"/>
          <w:szCs w:val="28"/>
        </w:rPr>
        <w:t xml:space="preserve">in SSA </w:t>
      </w:r>
      <w:r w:rsidRPr="005C5E5A">
        <w:rPr>
          <w:rFonts w:asciiTheme="majorHAnsi" w:hAnsiTheme="majorHAnsi" w:cstheme="majorHAnsi"/>
          <w:sz w:val="28"/>
          <w:szCs w:val="28"/>
        </w:rPr>
        <w:t xml:space="preserve">should lead to the emergence of even more costly forms of private </w:t>
      </w:r>
      <w:r w:rsidR="00843B16">
        <w:rPr>
          <w:rFonts w:asciiTheme="majorHAnsi" w:hAnsiTheme="majorHAnsi" w:cstheme="majorHAnsi"/>
          <w:sz w:val="28"/>
          <w:szCs w:val="28"/>
        </w:rPr>
        <w:t xml:space="preserve">primary </w:t>
      </w:r>
      <w:r w:rsidRPr="005C5E5A">
        <w:rPr>
          <w:rFonts w:asciiTheme="majorHAnsi" w:hAnsiTheme="majorHAnsi" w:cstheme="majorHAnsi"/>
          <w:sz w:val="28"/>
          <w:szCs w:val="28"/>
        </w:rPr>
        <w:t xml:space="preserve">schooling which are held up as expanding access for the poor. </w:t>
      </w:r>
      <w:r w:rsidR="00EC579C" w:rsidRPr="005C5E5A">
        <w:rPr>
          <w:rFonts w:asciiTheme="majorHAnsi" w:hAnsiTheme="majorHAnsi" w:cstheme="majorHAnsi"/>
          <w:sz w:val="28"/>
          <w:szCs w:val="28"/>
        </w:rPr>
        <w:t>With the implementation of Universal Primary Education national strategies, better off socio-economic classes/groups have increasingly resorted to private school providers in order to maintain sufficient education</w:t>
      </w:r>
      <w:r w:rsidR="00843B16">
        <w:rPr>
          <w:rFonts w:asciiTheme="majorHAnsi" w:hAnsiTheme="majorHAnsi" w:cstheme="majorHAnsi"/>
          <w:sz w:val="28"/>
          <w:szCs w:val="28"/>
        </w:rPr>
        <w:t>al</w:t>
      </w:r>
      <w:r w:rsidR="00EC579C" w:rsidRPr="005C5E5A">
        <w:rPr>
          <w:rFonts w:asciiTheme="majorHAnsi" w:hAnsiTheme="majorHAnsi" w:cstheme="majorHAnsi"/>
          <w:sz w:val="28"/>
          <w:szCs w:val="28"/>
        </w:rPr>
        <w:t xml:space="preserve"> distance between their children and those from lower economic s</w:t>
      </w:r>
      <w:r w:rsidR="008F4F0B">
        <w:rPr>
          <w:rFonts w:asciiTheme="majorHAnsi" w:hAnsiTheme="majorHAnsi" w:cstheme="majorHAnsi"/>
          <w:sz w:val="28"/>
          <w:szCs w:val="28"/>
        </w:rPr>
        <w:t>tatus groups (see Bennell, 2020</w:t>
      </w:r>
      <w:r w:rsidR="00EC579C" w:rsidRPr="005C5E5A">
        <w:rPr>
          <w:rFonts w:asciiTheme="majorHAnsi" w:hAnsiTheme="majorHAnsi" w:cstheme="majorHAnsi"/>
          <w:sz w:val="28"/>
          <w:szCs w:val="28"/>
        </w:rPr>
        <w:t>).</w:t>
      </w:r>
      <w:r w:rsidR="000445F9" w:rsidRPr="005C5E5A">
        <w:rPr>
          <w:rFonts w:asciiTheme="majorHAnsi" w:hAnsiTheme="majorHAnsi" w:cstheme="majorHAnsi"/>
          <w:sz w:val="28"/>
          <w:szCs w:val="28"/>
        </w:rPr>
        <w:t xml:space="preserve"> PSP and educational privatisation in general is, therefore, a key driver of growing class inequality in SSA.</w:t>
      </w:r>
      <w:r w:rsidR="007B6250" w:rsidRPr="005C5E5A">
        <w:rPr>
          <w:rFonts w:asciiTheme="majorHAnsi" w:hAnsiTheme="majorHAnsi" w:cstheme="majorHAnsi"/>
          <w:sz w:val="28"/>
          <w:szCs w:val="28"/>
        </w:rPr>
        <w:t xml:space="preserve"> </w:t>
      </w:r>
    </w:p>
    <w:p w:rsidR="007B6250" w:rsidRPr="005C5E5A" w:rsidRDefault="007B6250" w:rsidP="007B6250">
      <w:pPr>
        <w:jc w:val="both"/>
        <w:rPr>
          <w:rFonts w:asciiTheme="majorHAnsi" w:hAnsiTheme="majorHAnsi" w:cstheme="majorHAnsi"/>
          <w:sz w:val="28"/>
          <w:szCs w:val="28"/>
        </w:rPr>
      </w:pPr>
      <w:r w:rsidRPr="005C5E5A">
        <w:rPr>
          <w:rFonts w:asciiTheme="majorHAnsi" w:hAnsiTheme="majorHAnsi" w:cstheme="majorHAnsi"/>
          <w:sz w:val="28"/>
          <w:szCs w:val="28"/>
        </w:rPr>
        <w:t xml:space="preserve">Fourthly, the degree of school choice is generally quite limited in most countries. Government schools and especially government secondary schools are not being </w:t>
      </w:r>
      <w:r w:rsidR="005A61A4" w:rsidRPr="005C5E5A">
        <w:rPr>
          <w:rFonts w:asciiTheme="majorHAnsi" w:hAnsiTheme="majorHAnsi" w:cstheme="majorHAnsi"/>
          <w:sz w:val="28"/>
          <w:szCs w:val="28"/>
        </w:rPr>
        <w:t xml:space="preserve">universally </w:t>
      </w:r>
      <w:r w:rsidRPr="005C5E5A">
        <w:rPr>
          <w:rFonts w:asciiTheme="majorHAnsi" w:hAnsiTheme="majorHAnsi" w:cstheme="majorHAnsi"/>
          <w:sz w:val="28"/>
          <w:szCs w:val="28"/>
        </w:rPr>
        <w:t>‘shunned’. Instead, it is the overall shortage of places in government schools which is the major issue. By soaking up some of this excess demand, PSP is playing a complementary role.</w:t>
      </w:r>
    </w:p>
    <w:p w:rsidR="00116E15" w:rsidRPr="005C5E5A" w:rsidRDefault="00EC579C" w:rsidP="007B6250">
      <w:pPr>
        <w:jc w:val="both"/>
        <w:rPr>
          <w:rFonts w:asciiTheme="majorHAnsi" w:hAnsiTheme="majorHAnsi" w:cstheme="majorHAnsi"/>
          <w:sz w:val="28"/>
          <w:szCs w:val="28"/>
        </w:rPr>
      </w:pPr>
      <w:r w:rsidRPr="005C5E5A">
        <w:rPr>
          <w:rFonts w:asciiTheme="majorHAnsi" w:hAnsiTheme="majorHAnsi" w:cstheme="majorHAnsi"/>
          <w:sz w:val="28"/>
          <w:szCs w:val="28"/>
        </w:rPr>
        <w:t>F</w:t>
      </w:r>
      <w:r w:rsidR="007B6250" w:rsidRPr="005C5E5A">
        <w:rPr>
          <w:rFonts w:asciiTheme="majorHAnsi" w:hAnsiTheme="majorHAnsi" w:cstheme="majorHAnsi"/>
          <w:sz w:val="28"/>
          <w:szCs w:val="28"/>
        </w:rPr>
        <w:t>ifthly</w:t>
      </w:r>
      <w:r w:rsidRPr="005C5E5A">
        <w:rPr>
          <w:rFonts w:asciiTheme="majorHAnsi" w:hAnsiTheme="majorHAnsi" w:cstheme="majorHAnsi"/>
          <w:sz w:val="28"/>
          <w:szCs w:val="28"/>
        </w:rPr>
        <w:t>, t</w:t>
      </w:r>
      <w:r w:rsidR="00116E15" w:rsidRPr="005C5E5A">
        <w:rPr>
          <w:rFonts w:asciiTheme="majorHAnsi" w:hAnsiTheme="majorHAnsi" w:cstheme="majorHAnsi"/>
          <w:sz w:val="28"/>
          <w:szCs w:val="28"/>
        </w:rPr>
        <w:t xml:space="preserve">he surge of mainly urban PSP enrolments which occurred in the aftermath of free UPE especially during the 2000s is, in the absence of sizeable government interventions, unlikely to be sustained in the future in most countries in SSA. Urban markets are becoming saturated and there </w:t>
      </w:r>
      <w:r w:rsidR="005A61A4" w:rsidRPr="005C5E5A">
        <w:rPr>
          <w:rFonts w:asciiTheme="majorHAnsi" w:hAnsiTheme="majorHAnsi" w:cstheme="majorHAnsi"/>
          <w:sz w:val="28"/>
          <w:szCs w:val="28"/>
        </w:rPr>
        <w:t xml:space="preserve">are </w:t>
      </w:r>
      <w:r w:rsidR="00116E15" w:rsidRPr="005C5E5A">
        <w:rPr>
          <w:rFonts w:asciiTheme="majorHAnsi" w:hAnsiTheme="majorHAnsi" w:cstheme="majorHAnsi"/>
          <w:sz w:val="28"/>
          <w:szCs w:val="28"/>
        </w:rPr>
        <w:t xml:space="preserve">acute limits to </w:t>
      </w:r>
      <w:r w:rsidR="00825D46">
        <w:rPr>
          <w:rFonts w:asciiTheme="majorHAnsi" w:hAnsiTheme="majorHAnsi" w:cstheme="majorHAnsi"/>
          <w:sz w:val="28"/>
          <w:szCs w:val="28"/>
        </w:rPr>
        <w:t xml:space="preserve">enrolment </w:t>
      </w:r>
      <w:r w:rsidR="00116E15" w:rsidRPr="005C5E5A">
        <w:rPr>
          <w:rFonts w:asciiTheme="majorHAnsi" w:hAnsiTheme="majorHAnsi" w:cstheme="majorHAnsi"/>
          <w:sz w:val="28"/>
          <w:szCs w:val="28"/>
        </w:rPr>
        <w:t xml:space="preserve">growth </w:t>
      </w:r>
      <w:r w:rsidR="0080666B" w:rsidRPr="005C5E5A">
        <w:rPr>
          <w:rFonts w:asciiTheme="majorHAnsi" w:hAnsiTheme="majorHAnsi" w:cstheme="majorHAnsi"/>
          <w:sz w:val="28"/>
          <w:szCs w:val="28"/>
        </w:rPr>
        <w:t xml:space="preserve">in rural areas </w:t>
      </w:r>
      <w:r w:rsidR="00116E15" w:rsidRPr="005C5E5A">
        <w:rPr>
          <w:rFonts w:asciiTheme="majorHAnsi" w:hAnsiTheme="majorHAnsi" w:cstheme="majorHAnsi"/>
          <w:sz w:val="28"/>
          <w:szCs w:val="28"/>
        </w:rPr>
        <w:t xml:space="preserve">given </w:t>
      </w:r>
      <w:r w:rsidR="0080666B" w:rsidRPr="005C5E5A">
        <w:rPr>
          <w:rFonts w:asciiTheme="majorHAnsi" w:hAnsiTheme="majorHAnsi" w:cstheme="majorHAnsi"/>
          <w:sz w:val="28"/>
          <w:szCs w:val="28"/>
        </w:rPr>
        <w:t xml:space="preserve">their basic </w:t>
      </w:r>
      <w:r w:rsidR="00116E15" w:rsidRPr="005C5E5A">
        <w:rPr>
          <w:rFonts w:asciiTheme="majorHAnsi" w:hAnsiTheme="majorHAnsi" w:cstheme="majorHAnsi"/>
          <w:sz w:val="28"/>
          <w:szCs w:val="28"/>
        </w:rPr>
        <w:t>topograph</w:t>
      </w:r>
      <w:r w:rsidR="0080666B" w:rsidRPr="005C5E5A">
        <w:rPr>
          <w:rFonts w:asciiTheme="majorHAnsi" w:hAnsiTheme="majorHAnsi" w:cstheme="majorHAnsi"/>
          <w:sz w:val="28"/>
          <w:szCs w:val="28"/>
        </w:rPr>
        <w:t xml:space="preserve">ical and </w:t>
      </w:r>
      <w:r w:rsidR="00116E15" w:rsidRPr="005C5E5A">
        <w:rPr>
          <w:rFonts w:asciiTheme="majorHAnsi" w:hAnsiTheme="majorHAnsi" w:cstheme="majorHAnsi"/>
          <w:sz w:val="28"/>
          <w:szCs w:val="28"/>
        </w:rPr>
        <w:t>demograph</w:t>
      </w:r>
      <w:r w:rsidR="0080666B" w:rsidRPr="005C5E5A">
        <w:rPr>
          <w:rFonts w:asciiTheme="majorHAnsi" w:hAnsiTheme="majorHAnsi" w:cstheme="majorHAnsi"/>
          <w:sz w:val="28"/>
          <w:szCs w:val="28"/>
        </w:rPr>
        <w:t>ic</w:t>
      </w:r>
      <w:r w:rsidR="00116E15" w:rsidRPr="005C5E5A">
        <w:rPr>
          <w:rFonts w:asciiTheme="majorHAnsi" w:hAnsiTheme="majorHAnsi" w:cstheme="majorHAnsi"/>
          <w:sz w:val="28"/>
          <w:szCs w:val="28"/>
        </w:rPr>
        <w:t xml:space="preserve"> </w:t>
      </w:r>
      <w:r w:rsidR="0080666B" w:rsidRPr="005C5E5A">
        <w:rPr>
          <w:rFonts w:asciiTheme="majorHAnsi" w:hAnsiTheme="majorHAnsi" w:cstheme="majorHAnsi"/>
          <w:sz w:val="28"/>
          <w:szCs w:val="28"/>
        </w:rPr>
        <w:t xml:space="preserve">characteristics coupled with high </w:t>
      </w:r>
      <w:r w:rsidR="00116E15" w:rsidRPr="005C5E5A">
        <w:rPr>
          <w:rFonts w:asciiTheme="majorHAnsi" w:hAnsiTheme="majorHAnsi" w:cstheme="majorHAnsi"/>
          <w:sz w:val="28"/>
          <w:szCs w:val="28"/>
        </w:rPr>
        <w:t xml:space="preserve">poverty levels.    </w:t>
      </w:r>
    </w:p>
    <w:p w:rsidR="000445F9" w:rsidRPr="005C5E5A" w:rsidRDefault="000445F9" w:rsidP="000445F9">
      <w:pPr>
        <w:jc w:val="both"/>
        <w:rPr>
          <w:rFonts w:asciiTheme="majorHAnsi" w:hAnsiTheme="majorHAnsi" w:cstheme="majorHAnsi"/>
          <w:sz w:val="28"/>
          <w:szCs w:val="28"/>
        </w:rPr>
      </w:pPr>
      <w:r w:rsidRPr="005C5E5A">
        <w:rPr>
          <w:rFonts w:asciiTheme="majorHAnsi" w:hAnsiTheme="majorHAnsi" w:cstheme="majorHAnsi"/>
          <w:sz w:val="28"/>
          <w:szCs w:val="28"/>
        </w:rPr>
        <w:t>A</w:t>
      </w:r>
      <w:r w:rsidR="007B6250" w:rsidRPr="005C5E5A">
        <w:rPr>
          <w:rFonts w:asciiTheme="majorHAnsi" w:hAnsiTheme="majorHAnsi" w:cstheme="majorHAnsi"/>
          <w:sz w:val="28"/>
          <w:szCs w:val="28"/>
        </w:rPr>
        <w:t>nd sixthly</w:t>
      </w:r>
      <w:r w:rsidRPr="005C5E5A">
        <w:rPr>
          <w:rFonts w:asciiTheme="majorHAnsi" w:hAnsiTheme="majorHAnsi" w:cstheme="majorHAnsi"/>
          <w:sz w:val="28"/>
          <w:szCs w:val="28"/>
        </w:rPr>
        <w:t xml:space="preserve">, governments </w:t>
      </w:r>
      <w:r w:rsidR="0080666B" w:rsidRPr="005C5E5A">
        <w:rPr>
          <w:rFonts w:asciiTheme="majorHAnsi" w:hAnsiTheme="majorHAnsi" w:cstheme="majorHAnsi"/>
          <w:sz w:val="28"/>
          <w:szCs w:val="28"/>
        </w:rPr>
        <w:t xml:space="preserve">should </w:t>
      </w:r>
      <w:r w:rsidRPr="005C5E5A">
        <w:rPr>
          <w:rFonts w:asciiTheme="majorHAnsi" w:hAnsiTheme="majorHAnsi" w:cstheme="majorHAnsi"/>
          <w:sz w:val="28"/>
          <w:szCs w:val="28"/>
        </w:rPr>
        <w:t xml:space="preserve">take </w:t>
      </w:r>
      <w:r w:rsidR="007B6250" w:rsidRPr="005C5E5A">
        <w:rPr>
          <w:rFonts w:asciiTheme="majorHAnsi" w:hAnsiTheme="majorHAnsi" w:cstheme="majorHAnsi"/>
          <w:sz w:val="28"/>
          <w:szCs w:val="28"/>
        </w:rPr>
        <w:t xml:space="preserve">full </w:t>
      </w:r>
      <w:r w:rsidRPr="005C5E5A">
        <w:rPr>
          <w:rFonts w:asciiTheme="majorHAnsi" w:hAnsiTheme="majorHAnsi" w:cstheme="majorHAnsi"/>
          <w:sz w:val="28"/>
          <w:szCs w:val="28"/>
        </w:rPr>
        <w:t xml:space="preserve">responsibility in ensuring that all children are able to access freely good quality basic education. In certain situations, private sector organisations </w:t>
      </w:r>
      <w:r w:rsidR="0080666B" w:rsidRPr="005C5E5A">
        <w:rPr>
          <w:rFonts w:asciiTheme="majorHAnsi" w:hAnsiTheme="majorHAnsi" w:cstheme="majorHAnsi"/>
          <w:sz w:val="28"/>
          <w:szCs w:val="28"/>
        </w:rPr>
        <w:t xml:space="preserve">may be able to play an important supportive role in </w:t>
      </w:r>
      <w:r w:rsidRPr="005C5E5A">
        <w:rPr>
          <w:rFonts w:asciiTheme="majorHAnsi" w:hAnsiTheme="majorHAnsi" w:cstheme="majorHAnsi"/>
          <w:sz w:val="28"/>
          <w:szCs w:val="28"/>
        </w:rPr>
        <w:t>manag</w:t>
      </w:r>
      <w:r w:rsidR="0080666B" w:rsidRPr="005C5E5A">
        <w:rPr>
          <w:rFonts w:asciiTheme="majorHAnsi" w:hAnsiTheme="majorHAnsi" w:cstheme="majorHAnsi"/>
          <w:sz w:val="28"/>
          <w:szCs w:val="28"/>
        </w:rPr>
        <w:t xml:space="preserve">ing </w:t>
      </w:r>
      <w:r w:rsidRPr="005C5E5A">
        <w:rPr>
          <w:rFonts w:asciiTheme="majorHAnsi" w:hAnsiTheme="majorHAnsi" w:cstheme="majorHAnsi"/>
          <w:sz w:val="28"/>
          <w:szCs w:val="28"/>
        </w:rPr>
        <w:t xml:space="preserve">schools as well </w:t>
      </w:r>
      <w:r w:rsidR="0080666B" w:rsidRPr="005C5E5A">
        <w:rPr>
          <w:rFonts w:asciiTheme="majorHAnsi" w:hAnsiTheme="majorHAnsi" w:cstheme="majorHAnsi"/>
          <w:sz w:val="28"/>
          <w:szCs w:val="28"/>
        </w:rPr>
        <w:t xml:space="preserve">in </w:t>
      </w:r>
      <w:r w:rsidRPr="005C5E5A">
        <w:rPr>
          <w:rFonts w:asciiTheme="majorHAnsi" w:hAnsiTheme="majorHAnsi" w:cstheme="majorHAnsi"/>
          <w:sz w:val="28"/>
          <w:szCs w:val="28"/>
        </w:rPr>
        <w:t>the delivery of other key educational services</w:t>
      </w:r>
      <w:r w:rsidRPr="005C5E5A">
        <w:rPr>
          <w:rStyle w:val="FootnoteReference"/>
          <w:rFonts w:asciiTheme="majorHAnsi" w:hAnsiTheme="majorHAnsi" w:cstheme="majorHAnsi"/>
          <w:sz w:val="28"/>
          <w:szCs w:val="28"/>
        </w:rPr>
        <w:footnoteReference w:id="19"/>
      </w:r>
      <w:r w:rsidRPr="005C5E5A">
        <w:rPr>
          <w:rFonts w:asciiTheme="majorHAnsi" w:hAnsiTheme="majorHAnsi" w:cstheme="majorHAnsi"/>
          <w:sz w:val="28"/>
          <w:szCs w:val="28"/>
        </w:rPr>
        <w:t xml:space="preserve">. However, </w:t>
      </w:r>
      <w:r w:rsidR="008F4F0B">
        <w:rPr>
          <w:rFonts w:asciiTheme="majorHAnsi" w:hAnsiTheme="majorHAnsi" w:cstheme="majorHAnsi"/>
          <w:sz w:val="28"/>
          <w:szCs w:val="28"/>
        </w:rPr>
        <w:t xml:space="preserve">on its own, </w:t>
      </w:r>
      <w:r w:rsidR="007B6250" w:rsidRPr="005C5E5A">
        <w:rPr>
          <w:rFonts w:asciiTheme="majorHAnsi" w:hAnsiTheme="majorHAnsi" w:cstheme="majorHAnsi"/>
          <w:sz w:val="28"/>
          <w:szCs w:val="28"/>
        </w:rPr>
        <w:t xml:space="preserve">for-profit </w:t>
      </w:r>
      <w:r w:rsidRPr="005C5E5A">
        <w:rPr>
          <w:rFonts w:asciiTheme="majorHAnsi" w:hAnsiTheme="majorHAnsi" w:cstheme="majorHAnsi"/>
          <w:sz w:val="28"/>
          <w:szCs w:val="28"/>
        </w:rPr>
        <w:t>PSP is not a viable alternative to public school provision</w:t>
      </w:r>
      <w:r w:rsidR="0080666B" w:rsidRPr="005C5E5A">
        <w:rPr>
          <w:rFonts w:asciiTheme="majorHAnsi" w:hAnsiTheme="majorHAnsi" w:cstheme="majorHAnsi"/>
          <w:sz w:val="28"/>
          <w:szCs w:val="28"/>
        </w:rPr>
        <w:t>.</w:t>
      </w:r>
      <w:r w:rsidRPr="005C5E5A">
        <w:rPr>
          <w:rFonts w:asciiTheme="majorHAnsi" w:hAnsiTheme="majorHAnsi" w:cstheme="majorHAnsi"/>
          <w:sz w:val="28"/>
          <w:szCs w:val="28"/>
        </w:rPr>
        <w:t xml:space="preserve">  </w:t>
      </w:r>
    </w:p>
    <w:p w:rsidR="005B0252" w:rsidRPr="005C5E5A" w:rsidRDefault="005B0252" w:rsidP="005B0252">
      <w:pPr>
        <w:jc w:val="both"/>
        <w:rPr>
          <w:rFonts w:asciiTheme="majorHAnsi" w:hAnsiTheme="majorHAnsi" w:cstheme="majorHAnsi"/>
          <w:sz w:val="28"/>
          <w:szCs w:val="28"/>
        </w:rPr>
      </w:pPr>
      <w:r w:rsidRPr="005C5E5A">
        <w:rPr>
          <w:rFonts w:asciiTheme="majorHAnsi" w:hAnsiTheme="majorHAnsi" w:cstheme="majorHAnsi"/>
          <w:sz w:val="28"/>
          <w:szCs w:val="28"/>
        </w:rPr>
        <w:t xml:space="preserve"> </w:t>
      </w:r>
    </w:p>
    <w:p w:rsidR="005B0252" w:rsidRPr="005C5E5A" w:rsidRDefault="005B0252">
      <w:pPr>
        <w:rPr>
          <w:rFonts w:asciiTheme="majorHAnsi" w:hAnsiTheme="majorHAnsi" w:cstheme="majorHAnsi"/>
          <w:sz w:val="28"/>
          <w:szCs w:val="28"/>
        </w:rPr>
      </w:pPr>
    </w:p>
    <w:p w:rsidR="00970CB5" w:rsidRPr="005C5E5A" w:rsidRDefault="00970CB5">
      <w:pPr>
        <w:rPr>
          <w:rFonts w:asciiTheme="majorHAnsi" w:hAnsiTheme="majorHAnsi" w:cstheme="majorHAnsi"/>
          <w:sz w:val="28"/>
          <w:szCs w:val="28"/>
        </w:rPr>
      </w:pPr>
      <w:r w:rsidRPr="005C5E5A">
        <w:rPr>
          <w:rFonts w:asciiTheme="majorHAnsi" w:hAnsiTheme="majorHAnsi" w:cstheme="majorHAnsi"/>
          <w:sz w:val="28"/>
          <w:szCs w:val="28"/>
        </w:rPr>
        <w:br w:type="page"/>
      </w:r>
    </w:p>
    <w:p w:rsidR="00C33FEF" w:rsidRPr="005C5E5A" w:rsidRDefault="00C33FEF" w:rsidP="00474E2B">
      <w:pPr>
        <w:jc w:val="center"/>
        <w:rPr>
          <w:rFonts w:asciiTheme="majorHAnsi" w:hAnsiTheme="majorHAnsi" w:cstheme="majorHAnsi"/>
          <w:sz w:val="28"/>
          <w:szCs w:val="28"/>
        </w:rPr>
      </w:pPr>
      <w:r w:rsidRPr="005C5E5A">
        <w:rPr>
          <w:rFonts w:asciiTheme="majorHAnsi" w:hAnsiTheme="majorHAnsi" w:cstheme="majorHAnsi"/>
          <w:sz w:val="28"/>
          <w:szCs w:val="28"/>
        </w:rPr>
        <w:t>REFERENCES</w:t>
      </w:r>
    </w:p>
    <w:p w:rsidR="00C33FEF" w:rsidRDefault="00C33FEF" w:rsidP="00C33FEF">
      <w:pPr>
        <w:jc w:val="both"/>
        <w:rPr>
          <w:rFonts w:asciiTheme="majorHAnsi" w:hAnsiTheme="majorHAnsi" w:cstheme="majorHAnsi"/>
          <w:sz w:val="28"/>
          <w:szCs w:val="28"/>
        </w:rPr>
      </w:pPr>
      <w:r w:rsidRPr="005C5E5A">
        <w:rPr>
          <w:rFonts w:asciiTheme="majorHAnsi" w:hAnsiTheme="majorHAnsi" w:cstheme="majorHAnsi"/>
          <w:sz w:val="28"/>
          <w:szCs w:val="28"/>
        </w:rPr>
        <w:t>Akaguri L. (2013) Fee-free public or low-fee private basic education in rural Ghana: How does the cost influence the choice of the poor? Compare</w:t>
      </w:r>
      <w:r w:rsidR="000D1FC9">
        <w:rPr>
          <w:rFonts w:asciiTheme="majorHAnsi" w:hAnsiTheme="majorHAnsi" w:cstheme="majorHAnsi"/>
          <w:sz w:val="28"/>
          <w:szCs w:val="28"/>
        </w:rPr>
        <w:t>.</w:t>
      </w:r>
    </w:p>
    <w:p w:rsidR="003265E4" w:rsidRDefault="003265E4" w:rsidP="00C33FEF">
      <w:pPr>
        <w:jc w:val="both"/>
        <w:rPr>
          <w:rFonts w:asciiTheme="majorHAnsi" w:hAnsiTheme="majorHAnsi" w:cstheme="majorHAnsi"/>
          <w:sz w:val="28"/>
          <w:szCs w:val="28"/>
        </w:rPr>
      </w:pPr>
      <w:r>
        <w:rPr>
          <w:rFonts w:asciiTheme="majorHAnsi" w:hAnsiTheme="majorHAnsi" w:cstheme="majorHAnsi"/>
          <w:sz w:val="28"/>
          <w:szCs w:val="28"/>
        </w:rPr>
        <w:t>Akyeampong, K. (2009) Public-private partnership in the provision of basic education in Ghana: challenges and choices. Compare 39(2):135-149.</w:t>
      </w:r>
    </w:p>
    <w:p w:rsidR="00EF07C3" w:rsidRDefault="00EF07C3" w:rsidP="00C33FEF">
      <w:pPr>
        <w:jc w:val="both"/>
        <w:rPr>
          <w:rFonts w:asciiTheme="majorHAnsi" w:hAnsiTheme="majorHAnsi" w:cstheme="majorHAnsi"/>
          <w:sz w:val="28"/>
          <w:szCs w:val="28"/>
        </w:rPr>
      </w:pPr>
      <w:r>
        <w:rPr>
          <w:rFonts w:asciiTheme="majorHAnsi" w:hAnsiTheme="majorHAnsi" w:cstheme="majorHAnsi"/>
          <w:sz w:val="28"/>
          <w:szCs w:val="28"/>
        </w:rPr>
        <w:t>Ashley, L.D. and nine others, (2014). The role and impact of private schools in developing countries. Education Rigorous Literature Review</w:t>
      </w:r>
      <w:r w:rsidR="005F03E5">
        <w:rPr>
          <w:rFonts w:asciiTheme="majorHAnsi" w:hAnsiTheme="majorHAnsi" w:cstheme="majorHAnsi"/>
          <w:sz w:val="28"/>
          <w:szCs w:val="28"/>
        </w:rPr>
        <w:t>. London: UK Department for International Development.</w:t>
      </w:r>
    </w:p>
    <w:p w:rsidR="00D72C07" w:rsidRDefault="00D72C07" w:rsidP="00C33FEF">
      <w:pPr>
        <w:jc w:val="both"/>
        <w:rPr>
          <w:rFonts w:asciiTheme="majorHAnsi" w:hAnsiTheme="majorHAnsi" w:cstheme="majorHAnsi"/>
          <w:sz w:val="28"/>
          <w:szCs w:val="28"/>
        </w:rPr>
      </w:pPr>
      <w:r>
        <w:rPr>
          <w:rFonts w:asciiTheme="majorHAnsi" w:hAnsiTheme="majorHAnsi" w:cstheme="majorHAnsi"/>
          <w:sz w:val="28"/>
          <w:szCs w:val="28"/>
        </w:rPr>
        <w:t>Baum, D.R., Cooper, R., L</w:t>
      </w:r>
      <w:r w:rsidR="000A49E5">
        <w:rPr>
          <w:rFonts w:asciiTheme="majorHAnsi" w:hAnsiTheme="majorHAnsi" w:cstheme="majorHAnsi"/>
          <w:sz w:val="28"/>
          <w:szCs w:val="28"/>
        </w:rPr>
        <w:t>usk</w:t>
      </w:r>
      <w:r>
        <w:rPr>
          <w:rFonts w:asciiTheme="majorHAnsi" w:hAnsiTheme="majorHAnsi" w:cstheme="majorHAnsi"/>
          <w:sz w:val="28"/>
          <w:szCs w:val="28"/>
        </w:rPr>
        <w:t xml:space="preserve">-Stover, O. </w:t>
      </w:r>
      <w:r w:rsidR="000A49E5">
        <w:rPr>
          <w:rFonts w:asciiTheme="majorHAnsi" w:hAnsiTheme="majorHAnsi" w:cstheme="majorHAnsi"/>
          <w:sz w:val="28"/>
          <w:szCs w:val="28"/>
        </w:rPr>
        <w:t>(2018) Regulating market entry of low-cost schools in Sub-Saharan Africa. International Journal of Educational Development, 60:100-112.</w:t>
      </w:r>
    </w:p>
    <w:p w:rsidR="000D1FC9" w:rsidRDefault="000D1FC9" w:rsidP="00C33FEF">
      <w:pPr>
        <w:jc w:val="both"/>
        <w:rPr>
          <w:rFonts w:asciiTheme="majorHAnsi" w:hAnsiTheme="majorHAnsi" w:cstheme="majorHAnsi"/>
          <w:sz w:val="28"/>
          <w:szCs w:val="28"/>
        </w:rPr>
      </w:pPr>
      <w:r>
        <w:rPr>
          <w:rFonts w:asciiTheme="majorHAnsi" w:hAnsiTheme="majorHAnsi" w:cstheme="majorHAnsi"/>
          <w:sz w:val="28"/>
          <w:szCs w:val="28"/>
        </w:rPr>
        <w:t xml:space="preserve">Bennell, P.S. (2021). The incidence and patterns of private school provision in sub-Saharan Africa. KSD Working paper no. 10. </w:t>
      </w:r>
      <w:r w:rsidR="003265E4">
        <w:rPr>
          <w:rFonts w:asciiTheme="majorHAnsi" w:hAnsiTheme="majorHAnsi" w:cstheme="majorHAnsi"/>
          <w:sz w:val="28"/>
          <w:szCs w:val="28"/>
        </w:rPr>
        <w:t xml:space="preserve">Brighton: </w:t>
      </w:r>
      <w:r w:rsidR="00C120A1">
        <w:rPr>
          <w:rFonts w:asciiTheme="majorHAnsi" w:hAnsiTheme="majorHAnsi" w:cstheme="majorHAnsi"/>
          <w:sz w:val="28"/>
          <w:szCs w:val="28"/>
        </w:rPr>
        <w:t xml:space="preserve">Brighton: </w:t>
      </w:r>
      <w:r w:rsidR="003265E4">
        <w:rPr>
          <w:rFonts w:asciiTheme="majorHAnsi" w:hAnsiTheme="majorHAnsi" w:cstheme="majorHAnsi"/>
          <w:sz w:val="28"/>
          <w:szCs w:val="28"/>
        </w:rPr>
        <w:t>Knowledge and Skills for Development.</w:t>
      </w:r>
    </w:p>
    <w:p w:rsidR="000D1FC9" w:rsidRPr="005C5E5A" w:rsidRDefault="000D1FC9" w:rsidP="00C33FEF">
      <w:pPr>
        <w:jc w:val="both"/>
        <w:rPr>
          <w:rFonts w:asciiTheme="majorHAnsi" w:hAnsiTheme="majorHAnsi" w:cstheme="majorHAnsi"/>
          <w:sz w:val="28"/>
          <w:szCs w:val="28"/>
        </w:rPr>
      </w:pPr>
      <w:r>
        <w:rPr>
          <w:rFonts w:asciiTheme="majorHAnsi" w:hAnsiTheme="majorHAnsi" w:cstheme="majorHAnsi"/>
          <w:sz w:val="28"/>
          <w:szCs w:val="28"/>
        </w:rPr>
        <w:t xml:space="preserve">Bennell, P.S. </w:t>
      </w:r>
      <w:r w:rsidR="00D72C07">
        <w:rPr>
          <w:rFonts w:asciiTheme="majorHAnsi" w:hAnsiTheme="majorHAnsi" w:cstheme="majorHAnsi"/>
          <w:sz w:val="28"/>
          <w:szCs w:val="28"/>
        </w:rPr>
        <w:t>(2020) The political economy of attaining Universal Primary Education in sub-Saharan Africa: Social class reproduction, educational distancing and job competition. International Journal of Educational Development.</w:t>
      </w:r>
    </w:p>
    <w:p w:rsidR="00C33FEF" w:rsidRDefault="00C33FEF" w:rsidP="00C33FEF">
      <w:pPr>
        <w:jc w:val="both"/>
        <w:rPr>
          <w:rFonts w:asciiTheme="majorHAnsi" w:hAnsiTheme="majorHAnsi" w:cstheme="majorHAnsi"/>
          <w:sz w:val="28"/>
          <w:szCs w:val="28"/>
        </w:rPr>
      </w:pPr>
      <w:r w:rsidRPr="005C5E5A">
        <w:rPr>
          <w:rFonts w:asciiTheme="majorHAnsi" w:hAnsiTheme="majorHAnsi" w:cstheme="majorHAnsi"/>
          <w:sz w:val="28"/>
          <w:szCs w:val="28"/>
        </w:rPr>
        <w:t>Chimombo, J. (2009) Expanding post-primary education in Malawi: Are private schools the answer? Compare 39(2): 376-390.</w:t>
      </w:r>
    </w:p>
    <w:p w:rsidR="004A5F18" w:rsidRDefault="004A5F18" w:rsidP="00C33FEF">
      <w:pPr>
        <w:jc w:val="both"/>
        <w:rPr>
          <w:rFonts w:asciiTheme="majorHAnsi" w:hAnsiTheme="majorHAnsi" w:cstheme="majorHAnsi"/>
          <w:sz w:val="28"/>
          <w:szCs w:val="28"/>
        </w:rPr>
      </w:pPr>
      <w:r>
        <w:rPr>
          <w:rFonts w:asciiTheme="majorHAnsi" w:hAnsiTheme="majorHAnsi" w:cstheme="majorHAnsi"/>
          <w:sz w:val="28"/>
          <w:szCs w:val="28"/>
        </w:rPr>
        <w:t xml:space="preserve">Conference des Ministres de l’Education des Etats Gouvernements de la Francophonie (2016) PASEC2014: Education system performance in francophone Sub-Saharan Africa. Dakar: CONFEMEN. </w:t>
      </w:r>
    </w:p>
    <w:p w:rsidR="000A49E5" w:rsidRPr="005C5E5A" w:rsidRDefault="000A49E5" w:rsidP="00C33FEF">
      <w:pPr>
        <w:jc w:val="both"/>
        <w:rPr>
          <w:rFonts w:asciiTheme="majorHAnsi" w:hAnsiTheme="majorHAnsi" w:cstheme="majorHAnsi"/>
          <w:sz w:val="28"/>
          <w:szCs w:val="28"/>
        </w:rPr>
      </w:pPr>
      <w:r>
        <w:rPr>
          <w:rFonts w:asciiTheme="majorHAnsi" w:hAnsiTheme="majorHAnsi" w:cstheme="majorHAnsi"/>
          <w:sz w:val="28"/>
          <w:szCs w:val="28"/>
        </w:rPr>
        <w:t xml:space="preserve">Dixon, P. (2013) Why the denial? Low-cost private schools in developing countries and their contribution to education. Stockholm Free Trade Forum. November. </w:t>
      </w:r>
    </w:p>
    <w:p w:rsidR="00C33FEF" w:rsidRPr="005C5E5A" w:rsidRDefault="00C33FEF" w:rsidP="00C33FEF">
      <w:pPr>
        <w:jc w:val="both"/>
        <w:rPr>
          <w:rFonts w:asciiTheme="majorHAnsi" w:hAnsiTheme="majorHAnsi" w:cstheme="majorHAnsi"/>
          <w:sz w:val="28"/>
          <w:szCs w:val="28"/>
        </w:rPr>
      </w:pPr>
      <w:r w:rsidRPr="005C5E5A">
        <w:rPr>
          <w:rFonts w:asciiTheme="majorHAnsi" w:hAnsiTheme="majorHAnsi" w:cstheme="majorHAnsi"/>
          <w:sz w:val="28"/>
          <w:szCs w:val="28"/>
        </w:rPr>
        <w:t xml:space="preserve">Dixon, P., Tooley, J. </w:t>
      </w:r>
      <w:r w:rsidR="0080666B" w:rsidRPr="005C5E5A">
        <w:rPr>
          <w:rFonts w:asciiTheme="majorHAnsi" w:hAnsiTheme="majorHAnsi" w:cstheme="majorHAnsi"/>
          <w:sz w:val="28"/>
          <w:szCs w:val="28"/>
        </w:rPr>
        <w:t>(</w:t>
      </w:r>
      <w:r w:rsidRPr="005C5E5A">
        <w:rPr>
          <w:rFonts w:asciiTheme="majorHAnsi" w:hAnsiTheme="majorHAnsi" w:cstheme="majorHAnsi"/>
          <w:sz w:val="28"/>
          <w:szCs w:val="28"/>
        </w:rPr>
        <w:t>2012</w:t>
      </w:r>
      <w:r w:rsidR="0080666B" w:rsidRPr="005C5E5A">
        <w:rPr>
          <w:rFonts w:asciiTheme="majorHAnsi" w:hAnsiTheme="majorHAnsi" w:cstheme="majorHAnsi"/>
          <w:sz w:val="28"/>
          <w:szCs w:val="28"/>
        </w:rPr>
        <w:t>)</w:t>
      </w:r>
      <w:r w:rsidRPr="005C5E5A">
        <w:rPr>
          <w:rFonts w:asciiTheme="majorHAnsi" w:hAnsiTheme="majorHAnsi" w:cstheme="majorHAnsi"/>
          <w:sz w:val="28"/>
          <w:szCs w:val="28"/>
        </w:rPr>
        <w:t xml:space="preserve"> A case study of private schools in Kibera</w:t>
      </w:r>
      <w:r w:rsidR="0080666B" w:rsidRPr="005C5E5A">
        <w:rPr>
          <w:rFonts w:asciiTheme="majorHAnsi" w:hAnsiTheme="majorHAnsi" w:cstheme="majorHAnsi"/>
          <w:sz w:val="28"/>
          <w:szCs w:val="28"/>
        </w:rPr>
        <w:t>, Kenya</w:t>
      </w:r>
      <w:r w:rsidRPr="005C5E5A">
        <w:rPr>
          <w:rFonts w:asciiTheme="majorHAnsi" w:hAnsiTheme="majorHAnsi" w:cstheme="majorHAnsi"/>
          <w:sz w:val="28"/>
          <w:szCs w:val="28"/>
        </w:rPr>
        <w:t>: an up-date Education Management and Leadership</w:t>
      </w:r>
      <w:r w:rsidR="003265E4">
        <w:rPr>
          <w:rFonts w:asciiTheme="majorHAnsi" w:hAnsiTheme="majorHAnsi" w:cstheme="majorHAnsi"/>
          <w:sz w:val="28"/>
          <w:szCs w:val="28"/>
        </w:rPr>
        <w:t>.</w:t>
      </w:r>
      <w:r w:rsidRPr="005C5E5A">
        <w:rPr>
          <w:rFonts w:asciiTheme="majorHAnsi" w:hAnsiTheme="majorHAnsi" w:cstheme="majorHAnsi"/>
          <w:sz w:val="28"/>
          <w:szCs w:val="28"/>
        </w:rPr>
        <w:t xml:space="preserve">  </w:t>
      </w:r>
    </w:p>
    <w:p w:rsidR="00D72C07" w:rsidRDefault="00D72C07" w:rsidP="00C33FEF">
      <w:pPr>
        <w:jc w:val="both"/>
        <w:rPr>
          <w:rFonts w:asciiTheme="majorHAnsi" w:hAnsiTheme="majorHAnsi" w:cstheme="majorHAnsi"/>
          <w:sz w:val="28"/>
          <w:szCs w:val="28"/>
        </w:rPr>
      </w:pPr>
      <w:r>
        <w:rPr>
          <w:rFonts w:asciiTheme="majorHAnsi" w:hAnsiTheme="majorHAnsi" w:cstheme="majorHAnsi"/>
          <w:sz w:val="28"/>
          <w:szCs w:val="28"/>
        </w:rPr>
        <w:t>Harma, J. and Pinholz, L. (2017) Low fee private schools in low-income districts of Kampala, Uganda. CapitalPlus Exchange, Chicago.</w:t>
      </w:r>
    </w:p>
    <w:p w:rsidR="003265E4" w:rsidRDefault="003265E4" w:rsidP="00C33FEF">
      <w:pPr>
        <w:jc w:val="both"/>
        <w:rPr>
          <w:rFonts w:asciiTheme="majorHAnsi" w:hAnsiTheme="majorHAnsi" w:cstheme="majorHAnsi"/>
          <w:sz w:val="28"/>
          <w:szCs w:val="28"/>
        </w:rPr>
      </w:pPr>
      <w:r>
        <w:rPr>
          <w:rFonts w:asciiTheme="majorHAnsi" w:hAnsiTheme="majorHAnsi" w:cstheme="majorHAnsi"/>
          <w:sz w:val="28"/>
          <w:szCs w:val="28"/>
        </w:rPr>
        <w:t xml:space="preserve">Harma, J. (2013) School choice in Nigeria? The limits of low-fee private schooling in Kwara State.  Comparative Education, </w:t>
      </w:r>
      <w:r w:rsidR="00C120A1">
        <w:rPr>
          <w:rFonts w:asciiTheme="majorHAnsi" w:hAnsiTheme="majorHAnsi" w:cstheme="majorHAnsi"/>
          <w:sz w:val="28"/>
          <w:szCs w:val="28"/>
        </w:rPr>
        <w:t>52(</w:t>
      </w:r>
      <w:r>
        <w:rPr>
          <w:rFonts w:asciiTheme="majorHAnsi" w:hAnsiTheme="majorHAnsi" w:cstheme="majorHAnsi"/>
          <w:sz w:val="28"/>
          <w:szCs w:val="28"/>
        </w:rPr>
        <w:t>2</w:t>
      </w:r>
      <w:r w:rsidR="00C120A1">
        <w:rPr>
          <w:rFonts w:asciiTheme="majorHAnsi" w:hAnsiTheme="majorHAnsi" w:cstheme="majorHAnsi"/>
          <w:sz w:val="28"/>
          <w:szCs w:val="28"/>
        </w:rPr>
        <w:t>)</w:t>
      </w:r>
      <w:r>
        <w:rPr>
          <w:rFonts w:asciiTheme="majorHAnsi" w:hAnsiTheme="majorHAnsi" w:cstheme="majorHAnsi"/>
          <w:sz w:val="28"/>
          <w:szCs w:val="28"/>
        </w:rPr>
        <w:t>:246-266</w:t>
      </w:r>
    </w:p>
    <w:p w:rsidR="00C33FEF" w:rsidRDefault="00C33FEF" w:rsidP="00C33FEF">
      <w:pPr>
        <w:jc w:val="both"/>
        <w:rPr>
          <w:rFonts w:asciiTheme="majorHAnsi" w:hAnsiTheme="majorHAnsi" w:cstheme="majorHAnsi"/>
          <w:sz w:val="28"/>
          <w:szCs w:val="28"/>
        </w:rPr>
      </w:pPr>
      <w:r w:rsidRPr="005C5E5A">
        <w:rPr>
          <w:rFonts w:asciiTheme="majorHAnsi" w:hAnsiTheme="majorHAnsi" w:cstheme="majorHAnsi"/>
          <w:sz w:val="28"/>
          <w:szCs w:val="28"/>
        </w:rPr>
        <w:t>Harma, J. (2011) ESSPIN Assignment report: Study of private schools in Lagos. Report number LG 303.</w:t>
      </w:r>
      <w:r w:rsidR="000A49E5">
        <w:rPr>
          <w:rFonts w:asciiTheme="majorHAnsi" w:hAnsiTheme="majorHAnsi" w:cstheme="majorHAnsi"/>
          <w:sz w:val="28"/>
          <w:szCs w:val="28"/>
        </w:rPr>
        <w:t xml:space="preserve"> Educational Sector Support Programme in Nigeria, Abuja.  </w:t>
      </w:r>
      <w:r w:rsidRPr="005C5E5A">
        <w:rPr>
          <w:rFonts w:asciiTheme="majorHAnsi" w:hAnsiTheme="majorHAnsi" w:cstheme="majorHAnsi"/>
          <w:sz w:val="28"/>
          <w:szCs w:val="28"/>
        </w:rPr>
        <w:t xml:space="preserve"> </w:t>
      </w:r>
    </w:p>
    <w:p w:rsidR="00C33FEF" w:rsidRPr="005C5E5A" w:rsidRDefault="00C33FEF" w:rsidP="00C33FEF">
      <w:pPr>
        <w:jc w:val="both"/>
        <w:rPr>
          <w:rFonts w:asciiTheme="majorHAnsi" w:hAnsiTheme="majorHAnsi" w:cstheme="majorHAnsi"/>
          <w:sz w:val="28"/>
          <w:szCs w:val="28"/>
        </w:rPr>
      </w:pPr>
      <w:r w:rsidRPr="005C5E5A">
        <w:rPr>
          <w:rFonts w:asciiTheme="majorHAnsi" w:hAnsiTheme="majorHAnsi" w:cstheme="majorHAnsi"/>
          <w:sz w:val="28"/>
          <w:szCs w:val="28"/>
        </w:rPr>
        <w:t>Harma, J., Adefisayo, F. (2009) Scaling up: Challenges facing low-fee private schools in the slums of Lagos, Nigeria. In: Srivastava, P. (ed.) Low-fee private schooling: aggravating equity or mitigating disadvantage? Oxford: Symposium.</w:t>
      </w:r>
    </w:p>
    <w:p w:rsidR="00C33FEF" w:rsidRDefault="00C33FEF" w:rsidP="00C33FEF">
      <w:pPr>
        <w:jc w:val="both"/>
        <w:rPr>
          <w:rFonts w:asciiTheme="majorHAnsi" w:hAnsiTheme="majorHAnsi" w:cstheme="majorHAnsi"/>
          <w:sz w:val="28"/>
          <w:szCs w:val="28"/>
        </w:rPr>
      </w:pPr>
      <w:r w:rsidRPr="005C5E5A">
        <w:rPr>
          <w:rFonts w:asciiTheme="majorHAnsi" w:hAnsiTheme="majorHAnsi" w:cstheme="majorHAnsi"/>
          <w:sz w:val="28"/>
          <w:szCs w:val="28"/>
        </w:rPr>
        <w:t>Heyneman, S.P, Stern, J.M.B. 2013 Low cost private schools for the poor: What public policy is appropriate? I</w:t>
      </w:r>
      <w:r w:rsidR="00293C13">
        <w:rPr>
          <w:rFonts w:asciiTheme="majorHAnsi" w:hAnsiTheme="majorHAnsi" w:cstheme="majorHAnsi"/>
          <w:sz w:val="28"/>
          <w:szCs w:val="28"/>
        </w:rPr>
        <w:t xml:space="preserve">nternational </w:t>
      </w:r>
      <w:r w:rsidRPr="005C5E5A">
        <w:rPr>
          <w:rFonts w:asciiTheme="majorHAnsi" w:hAnsiTheme="majorHAnsi" w:cstheme="majorHAnsi"/>
          <w:sz w:val="28"/>
          <w:szCs w:val="28"/>
        </w:rPr>
        <w:t>J</w:t>
      </w:r>
      <w:r w:rsidR="00293C13">
        <w:rPr>
          <w:rFonts w:asciiTheme="majorHAnsi" w:hAnsiTheme="majorHAnsi" w:cstheme="majorHAnsi"/>
          <w:sz w:val="28"/>
          <w:szCs w:val="28"/>
        </w:rPr>
        <w:t>ournal of Educational Development</w:t>
      </w:r>
      <w:r w:rsidRPr="005C5E5A">
        <w:rPr>
          <w:rFonts w:asciiTheme="majorHAnsi" w:hAnsiTheme="majorHAnsi" w:cstheme="majorHAnsi"/>
          <w:sz w:val="28"/>
          <w:szCs w:val="28"/>
        </w:rPr>
        <w:t>,</w:t>
      </w:r>
    </w:p>
    <w:p w:rsidR="00D72C07" w:rsidRPr="005C5E5A" w:rsidRDefault="00D72C07" w:rsidP="00C33FEF">
      <w:pPr>
        <w:jc w:val="both"/>
        <w:rPr>
          <w:rFonts w:asciiTheme="majorHAnsi" w:hAnsiTheme="majorHAnsi" w:cstheme="majorHAnsi"/>
          <w:sz w:val="28"/>
          <w:szCs w:val="28"/>
        </w:rPr>
      </w:pPr>
      <w:r>
        <w:rPr>
          <w:rFonts w:asciiTheme="majorHAnsi" w:hAnsiTheme="majorHAnsi" w:cstheme="majorHAnsi"/>
          <w:sz w:val="28"/>
          <w:szCs w:val="28"/>
        </w:rPr>
        <w:t xml:space="preserve">Kante, I. (date?) Why has the Democratic Republic of the Congo outsourced its responsibility to educate its people? </w:t>
      </w:r>
    </w:p>
    <w:p w:rsidR="00C33FEF" w:rsidRPr="005C5E5A" w:rsidRDefault="00C33FEF" w:rsidP="00C33FEF">
      <w:pPr>
        <w:jc w:val="both"/>
        <w:rPr>
          <w:rFonts w:asciiTheme="majorHAnsi" w:hAnsiTheme="majorHAnsi" w:cstheme="majorHAnsi"/>
          <w:sz w:val="28"/>
          <w:szCs w:val="28"/>
        </w:rPr>
      </w:pPr>
      <w:r w:rsidRPr="005C5E5A">
        <w:rPr>
          <w:rFonts w:asciiTheme="majorHAnsi" w:hAnsiTheme="majorHAnsi" w:cstheme="majorHAnsi"/>
          <w:sz w:val="28"/>
          <w:szCs w:val="28"/>
        </w:rPr>
        <w:t>Kisira, S. (2008). Uganda. Low-cost private education: Impacts on achieving Universal Primary Education. London: Commonwealth Edu</w:t>
      </w:r>
      <w:r w:rsidR="00C120A1">
        <w:rPr>
          <w:rFonts w:asciiTheme="majorHAnsi" w:hAnsiTheme="majorHAnsi" w:cstheme="majorHAnsi"/>
          <w:sz w:val="28"/>
          <w:szCs w:val="28"/>
        </w:rPr>
        <w:t>cation. p</w:t>
      </w:r>
      <w:r w:rsidRPr="005C5E5A">
        <w:rPr>
          <w:rFonts w:asciiTheme="majorHAnsi" w:hAnsiTheme="majorHAnsi" w:cstheme="majorHAnsi"/>
          <w:sz w:val="28"/>
          <w:szCs w:val="28"/>
        </w:rPr>
        <w:t>p. 131-171.</w:t>
      </w:r>
    </w:p>
    <w:p w:rsidR="00C33FEF" w:rsidRPr="005C5E5A" w:rsidRDefault="00C33FEF" w:rsidP="00C33FEF">
      <w:pPr>
        <w:jc w:val="both"/>
        <w:rPr>
          <w:rFonts w:asciiTheme="majorHAnsi" w:hAnsiTheme="majorHAnsi" w:cstheme="majorHAnsi"/>
          <w:sz w:val="28"/>
          <w:szCs w:val="28"/>
        </w:rPr>
      </w:pPr>
      <w:r w:rsidRPr="005C5E5A">
        <w:rPr>
          <w:rFonts w:asciiTheme="majorHAnsi" w:hAnsiTheme="majorHAnsi" w:cstheme="majorHAnsi"/>
          <w:sz w:val="28"/>
          <w:szCs w:val="28"/>
        </w:rPr>
        <w:t>Languille, S. (2016) Affordable private schools in South Africa: affordable for whom? Oxford Review of Education 42:528-542.</w:t>
      </w:r>
    </w:p>
    <w:p w:rsidR="00C33FEF" w:rsidRDefault="00C33FEF" w:rsidP="00C33FEF">
      <w:pPr>
        <w:jc w:val="both"/>
        <w:rPr>
          <w:rFonts w:asciiTheme="majorHAnsi" w:hAnsiTheme="majorHAnsi" w:cstheme="majorHAnsi"/>
          <w:sz w:val="28"/>
          <w:szCs w:val="28"/>
        </w:rPr>
      </w:pPr>
      <w:r w:rsidRPr="005C5E5A">
        <w:rPr>
          <w:rFonts w:asciiTheme="majorHAnsi" w:hAnsiTheme="majorHAnsi" w:cstheme="majorHAnsi"/>
          <w:sz w:val="28"/>
          <w:szCs w:val="28"/>
        </w:rPr>
        <w:t>Larbi, G., Adelabu, M., Rose, P., Jawara, D, Nwaorgu, O., Vyas, S. (2004) Nigeria: Study of non-state providers of basic services. Birmingham: University of Birmingham.</w:t>
      </w:r>
    </w:p>
    <w:p w:rsidR="00731A0A" w:rsidRDefault="00731A0A" w:rsidP="00C33FEF">
      <w:pPr>
        <w:jc w:val="both"/>
        <w:rPr>
          <w:rFonts w:asciiTheme="majorHAnsi" w:hAnsiTheme="majorHAnsi" w:cstheme="majorHAnsi"/>
          <w:sz w:val="28"/>
          <w:szCs w:val="28"/>
        </w:rPr>
      </w:pPr>
      <w:r>
        <w:rPr>
          <w:rFonts w:asciiTheme="majorHAnsi" w:hAnsiTheme="majorHAnsi" w:cstheme="majorHAnsi"/>
          <w:sz w:val="28"/>
          <w:szCs w:val="28"/>
        </w:rPr>
        <w:t>Lassibille, G., Tan J-P. (2003) Student learning in public and private schools in Madagascar. Economic Development and Cultural Change, 51(3):699-717.</w:t>
      </w:r>
    </w:p>
    <w:p w:rsidR="00C120A1" w:rsidRDefault="00C120A1" w:rsidP="00C33FEF">
      <w:pPr>
        <w:jc w:val="both"/>
        <w:rPr>
          <w:rFonts w:asciiTheme="majorHAnsi" w:hAnsiTheme="majorHAnsi" w:cstheme="majorHAnsi"/>
          <w:sz w:val="28"/>
          <w:szCs w:val="28"/>
        </w:rPr>
      </w:pPr>
      <w:r>
        <w:rPr>
          <w:rFonts w:asciiTheme="majorHAnsi" w:hAnsiTheme="majorHAnsi" w:cstheme="majorHAnsi"/>
          <w:sz w:val="28"/>
          <w:szCs w:val="28"/>
        </w:rPr>
        <w:t>Lassibille, G., Tan J-P., Sumra, S. (2000) Expansion of private secondary education: Lessons from recent experience in Tanzania. Comparative Education Review 44(1): 1-2</w:t>
      </w:r>
      <w:r w:rsidR="00731A0A">
        <w:rPr>
          <w:rFonts w:asciiTheme="majorHAnsi" w:hAnsiTheme="majorHAnsi" w:cstheme="majorHAnsi"/>
          <w:sz w:val="28"/>
          <w:szCs w:val="28"/>
        </w:rPr>
        <w:t>8.</w:t>
      </w:r>
    </w:p>
    <w:p w:rsidR="000D1FC9" w:rsidRDefault="000D1FC9" w:rsidP="00C33FEF">
      <w:pPr>
        <w:jc w:val="both"/>
        <w:rPr>
          <w:rFonts w:asciiTheme="majorHAnsi" w:hAnsiTheme="majorHAnsi" w:cstheme="majorHAnsi"/>
          <w:sz w:val="28"/>
          <w:szCs w:val="28"/>
        </w:rPr>
      </w:pPr>
      <w:r>
        <w:rPr>
          <w:rFonts w:asciiTheme="majorHAnsi" w:hAnsiTheme="majorHAnsi" w:cstheme="majorHAnsi"/>
          <w:sz w:val="28"/>
          <w:szCs w:val="28"/>
        </w:rPr>
        <w:t>Lewin</w:t>
      </w:r>
      <w:r w:rsidR="00731A0A">
        <w:rPr>
          <w:rFonts w:asciiTheme="majorHAnsi" w:hAnsiTheme="majorHAnsi" w:cstheme="majorHAnsi"/>
          <w:sz w:val="28"/>
          <w:szCs w:val="28"/>
        </w:rPr>
        <w:t>, K.M. (2007</w:t>
      </w:r>
      <w:r w:rsidR="000A49E5">
        <w:rPr>
          <w:rFonts w:asciiTheme="majorHAnsi" w:hAnsiTheme="majorHAnsi" w:cstheme="majorHAnsi"/>
          <w:sz w:val="28"/>
          <w:szCs w:val="28"/>
        </w:rPr>
        <w:t>)</w:t>
      </w:r>
      <w:r w:rsidR="00731A0A">
        <w:rPr>
          <w:rFonts w:asciiTheme="majorHAnsi" w:hAnsiTheme="majorHAnsi" w:cstheme="majorHAnsi"/>
          <w:sz w:val="28"/>
          <w:szCs w:val="28"/>
        </w:rPr>
        <w:t xml:space="preserve"> The limits to growth of non-government primary schooling in Sub-Saharan Africa. In Srivastava, P. and Walford, G. Primary schooling in less e</w:t>
      </w:r>
      <w:r w:rsidR="00474E2B">
        <w:rPr>
          <w:rFonts w:asciiTheme="majorHAnsi" w:hAnsiTheme="majorHAnsi" w:cstheme="majorHAnsi"/>
          <w:sz w:val="28"/>
          <w:szCs w:val="28"/>
        </w:rPr>
        <w:t>conomically developed countries: Asian and African Perspectives.</w:t>
      </w:r>
      <w:r w:rsidR="00731A0A">
        <w:rPr>
          <w:rFonts w:asciiTheme="majorHAnsi" w:hAnsiTheme="majorHAnsi" w:cstheme="majorHAnsi"/>
          <w:sz w:val="28"/>
          <w:szCs w:val="28"/>
        </w:rPr>
        <w:t xml:space="preserve"> Oxford: Symposium. </w:t>
      </w:r>
      <w:r w:rsidR="000A49E5">
        <w:rPr>
          <w:rFonts w:asciiTheme="majorHAnsi" w:hAnsiTheme="majorHAnsi" w:cstheme="majorHAnsi"/>
          <w:sz w:val="28"/>
          <w:szCs w:val="28"/>
        </w:rPr>
        <w:t xml:space="preserve"> </w:t>
      </w:r>
    </w:p>
    <w:p w:rsidR="003265E4" w:rsidRDefault="003265E4" w:rsidP="00C33FEF">
      <w:pPr>
        <w:jc w:val="both"/>
        <w:rPr>
          <w:rFonts w:asciiTheme="majorHAnsi" w:hAnsiTheme="majorHAnsi" w:cstheme="majorHAnsi"/>
          <w:sz w:val="28"/>
          <w:szCs w:val="28"/>
        </w:rPr>
      </w:pPr>
      <w:r>
        <w:rPr>
          <w:rFonts w:asciiTheme="majorHAnsi" w:hAnsiTheme="majorHAnsi" w:cstheme="majorHAnsi"/>
          <w:sz w:val="28"/>
          <w:szCs w:val="28"/>
        </w:rPr>
        <w:t>Longfield, D., Tooley, J. (2013) A survey of schools in Juba, South Sudan. Newcastle: E.G. West Centre.</w:t>
      </w:r>
    </w:p>
    <w:p w:rsidR="00293C13" w:rsidRDefault="00293C13" w:rsidP="00C33FEF">
      <w:pPr>
        <w:jc w:val="both"/>
        <w:rPr>
          <w:rFonts w:asciiTheme="majorHAnsi" w:hAnsiTheme="majorHAnsi" w:cstheme="majorHAnsi"/>
          <w:sz w:val="28"/>
          <w:szCs w:val="28"/>
        </w:rPr>
      </w:pPr>
      <w:r>
        <w:rPr>
          <w:rFonts w:asciiTheme="majorHAnsi" w:hAnsiTheme="majorHAnsi" w:cstheme="majorHAnsi"/>
          <w:sz w:val="28"/>
          <w:szCs w:val="28"/>
        </w:rPr>
        <w:t>Morgan, C., Petrosino, A., Fronius, T. (2014) Eliminating school fees in low income countries: A systematic review. Journal of Multidisciplinary Evaluation 10(23).</w:t>
      </w:r>
    </w:p>
    <w:p w:rsidR="00C33FEF" w:rsidRPr="005C5E5A" w:rsidRDefault="00C33FEF" w:rsidP="00C33FEF">
      <w:pPr>
        <w:jc w:val="both"/>
        <w:rPr>
          <w:rFonts w:asciiTheme="majorHAnsi" w:hAnsiTheme="majorHAnsi" w:cstheme="majorHAnsi"/>
          <w:sz w:val="28"/>
          <w:szCs w:val="28"/>
        </w:rPr>
      </w:pPr>
      <w:r w:rsidRPr="005C5E5A">
        <w:rPr>
          <w:rFonts w:asciiTheme="majorHAnsi" w:hAnsiTheme="majorHAnsi" w:cstheme="majorHAnsi"/>
          <w:sz w:val="28"/>
          <w:szCs w:val="28"/>
        </w:rPr>
        <w:t>Oketch, M., Mutsiya, M., Ngware, M., Ezeh, A.C., Epari, C. (2010) Free primary education policy and public school mobility in urban Kenya. International Journal of Educational Research 49(6): 173-183.</w:t>
      </w:r>
    </w:p>
    <w:p w:rsidR="00C33FEF" w:rsidRPr="005C5E5A" w:rsidRDefault="00C33FEF" w:rsidP="00C33FEF">
      <w:pPr>
        <w:jc w:val="both"/>
        <w:rPr>
          <w:rFonts w:asciiTheme="majorHAnsi" w:hAnsiTheme="majorHAnsi" w:cstheme="majorHAnsi"/>
          <w:sz w:val="28"/>
          <w:szCs w:val="28"/>
        </w:rPr>
      </w:pPr>
      <w:r w:rsidRPr="005C5E5A">
        <w:rPr>
          <w:rFonts w:asciiTheme="majorHAnsi" w:hAnsiTheme="majorHAnsi" w:cstheme="majorHAnsi"/>
          <w:sz w:val="28"/>
          <w:szCs w:val="28"/>
        </w:rPr>
        <w:t>Rose, P. (2009) Non-state provision of education: Evidence</w:t>
      </w:r>
      <w:r w:rsidR="00C120A1">
        <w:rPr>
          <w:rFonts w:asciiTheme="majorHAnsi" w:hAnsiTheme="majorHAnsi" w:cstheme="majorHAnsi"/>
          <w:sz w:val="28"/>
          <w:szCs w:val="28"/>
        </w:rPr>
        <w:t xml:space="preserve"> from Africa and Asia. Compare </w:t>
      </w:r>
      <w:r w:rsidRPr="005C5E5A">
        <w:rPr>
          <w:rFonts w:asciiTheme="majorHAnsi" w:hAnsiTheme="majorHAnsi" w:cstheme="majorHAnsi"/>
          <w:sz w:val="28"/>
          <w:szCs w:val="28"/>
        </w:rPr>
        <w:t>39</w:t>
      </w:r>
      <w:r w:rsidR="00C120A1">
        <w:rPr>
          <w:rFonts w:asciiTheme="majorHAnsi" w:hAnsiTheme="majorHAnsi" w:cstheme="majorHAnsi"/>
          <w:sz w:val="28"/>
          <w:szCs w:val="28"/>
        </w:rPr>
        <w:t>,(</w:t>
      </w:r>
      <w:r w:rsidRPr="005C5E5A">
        <w:rPr>
          <w:rFonts w:asciiTheme="majorHAnsi" w:hAnsiTheme="majorHAnsi" w:cstheme="majorHAnsi"/>
          <w:sz w:val="28"/>
          <w:szCs w:val="28"/>
        </w:rPr>
        <w:t>2</w:t>
      </w:r>
      <w:r w:rsidR="00C120A1">
        <w:rPr>
          <w:rFonts w:asciiTheme="majorHAnsi" w:hAnsiTheme="majorHAnsi" w:cstheme="majorHAnsi"/>
          <w:sz w:val="28"/>
          <w:szCs w:val="28"/>
        </w:rPr>
        <w:t>)</w:t>
      </w:r>
      <w:r w:rsidRPr="005C5E5A">
        <w:rPr>
          <w:rFonts w:asciiTheme="majorHAnsi" w:hAnsiTheme="majorHAnsi" w:cstheme="majorHAnsi"/>
          <w:sz w:val="28"/>
          <w:szCs w:val="28"/>
        </w:rPr>
        <w:t xml:space="preserve"> 127-134.</w:t>
      </w:r>
    </w:p>
    <w:p w:rsidR="00C33FEF" w:rsidRPr="005C5E5A" w:rsidRDefault="00C33FEF" w:rsidP="00C33FEF">
      <w:pPr>
        <w:jc w:val="both"/>
        <w:rPr>
          <w:rFonts w:asciiTheme="majorHAnsi" w:hAnsiTheme="majorHAnsi" w:cstheme="majorHAnsi"/>
          <w:sz w:val="28"/>
          <w:szCs w:val="28"/>
        </w:rPr>
      </w:pPr>
      <w:r w:rsidRPr="005C5E5A">
        <w:rPr>
          <w:rFonts w:asciiTheme="majorHAnsi" w:hAnsiTheme="majorHAnsi" w:cstheme="majorHAnsi"/>
          <w:sz w:val="28"/>
          <w:szCs w:val="28"/>
        </w:rPr>
        <w:t>Schirmer, S. (2010) Hidden assets: South Africa’s low fee-fee private schools. Johannesburg: Center for Development and Enterprise.</w:t>
      </w:r>
    </w:p>
    <w:p w:rsidR="00C33FEF" w:rsidRPr="005C5E5A" w:rsidRDefault="00C33FEF" w:rsidP="00C33FEF">
      <w:pPr>
        <w:jc w:val="both"/>
        <w:rPr>
          <w:rFonts w:asciiTheme="majorHAnsi" w:hAnsiTheme="majorHAnsi" w:cstheme="majorHAnsi"/>
          <w:sz w:val="28"/>
          <w:szCs w:val="28"/>
        </w:rPr>
      </w:pPr>
      <w:r w:rsidRPr="005C5E5A">
        <w:rPr>
          <w:rFonts w:asciiTheme="majorHAnsi" w:hAnsiTheme="majorHAnsi" w:cstheme="majorHAnsi"/>
          <w:sz w:val="28"/>
          <w:szCs w:val="28"/>
        </w:rPr>
        <w:t>Somerset, A. (2009) Universalising primary education in Kenya: the elusive goal. Comparative Education 45: 233-250.</w:t>
      </w:r>
    </w:p>
    <w:p w:rsidR="00C33FEF" w:rsidRPr="005C5E5A" w:rsidRDefault="00C33FEF" w:rsidP="00C33FEF">
      <w:pPr>
        <w:jc w:val="both"/>
        <w:rPr>
          <w:rFonts w:asciiTheme="majorHAnsi" w:hAnsiTheme="majorHAnsi" w:cstheme="majorHAnsi"/>
          <w:sz w:val="28"/>
          <w:szCs w:val="28"/>
        </w:rPr>
      </w:pPr>
      <w:r w:rsidRPr="005C5E5A">
        <w:rPr>
          <w:rFonts w:asciiTheme="majorHAnsi" w:hAnsiTheme="majorHAnsi" w:cstheme="majorHAnsi"/>
          <w:sz w:val="28"/>
          <w:szCs w:val="28"/>
        </w:rPr>
        <w:t>Stern, J.M.B., Heyneman, S.P. (2013) Low-fee private schooling: the case of Kenya. In: Srivastava, P. (ed.) Low-fee private schooling: aggravating equity or mitigating disadvantage? Oxford: Symposium.</w:t>
      </w:r>
    </w:p>
    <w:p w:rsidR="004A5F18" w:rsidRDefault="004A5F18" w:rsidP="00C33FEF">
      <w:pPr>
        <w:jc w:val="both"/>
        <w:rPr>
          <w:rFonts w:asciiTheme="majorHAnsi" w:hAnsiTheme="majorHAnsi" w:cstheme="majorHAnsi"/>
          <w:sz w:val="28"/>
          <w:szCs w:val="28"/>
        </w:rPr>
      </w:pPr>
      <w:r>
        <w:rPr>
          <w:rFonts w:asciiTheme="majorHAnsi" w:hAnsiTheme="majorHAnsi" w:cstheme="majorHAnsi"/>
          <w:sz w:val="28"/>
          <w:szCs w:val="28"/>
        </w:rPr>
        <w:t xml:space="preserve">Tooley, J. </w:t>
      </w:r>
      <w:r w:rsidR="00293C13">
        <w:rPr>
          <w:rFonts w:asciiTheme="majorHAnsi" w:hAnsiTheme="majorHAnsi" w:cstheme="majorHAnsi"/>
          <w:sz w:val="28"/>
          <w:szCs w:val="28"/>
        </w:rPr>
        <w:t>(</w:t>
      </w:r>
      <w:r>
        <w:rPr>
          <w:rFonts w:asciiTheme="majorHAnsi" w:hAnsiTheme="majorHAnsi" w:cstheme="majorHAnsi"/>
          <w:sz w:val="28"/>
          <w:szCs w:val="28"/>
        </w:rPr>
        <w:t>2005</w:t>
      </w:r>
      <w:r w:rsidR="00293C13">
        <w:rPr>
          <w:rFonts w:asciiTheme="majorHAnsi" w:hAnsiTheme="majorHAnsi" w:cstheme="majorHAnsi"/>
          <w:sz w:val="28"/>
          <w:szCs w:val="28"/>
        </w:rPr>
        <w:t>)</w:t>
      </w:r>
      <w:r>
        <w:rPr>
          <w:rFonts w:asciiTheme="majorHAnsi" w:hAnsiTheme="majorHAnsi" w:cstheme="majorHAnsi"/>
          <w:sz w:val="28"/>
          <w:szCs w:val="28"/>
        </w:rPr>
        <w:t xml:space="preserve"> </w:t>
      </w:r>
      <w:r w:rsidR="00A52447">
        <w:rPr>
          <w:rFonts w:asciiTheme="majorHAnsi" w:hAnsiTheme="majorHAnsi" w:cstheme="majorHAnsi"/>
          <w:sz w:val="28"/>
          <w:szCs w:val="28"/>
        </w:rPr>
        <w:t xml:space="preserve">Is private </w:t>
      </w:r>
      <w:r w:rsidR="00293C13">
        <w:rPr>
          <w:rFonts w:asciiTheme="majorHAnsi" w:hAnsiTheme="majorHAnsi" w:cstheme="majorHAnsi"/>
          <w:sz w:val="28"/>
          <w:szCs w:val="28"/>
        </w:rPr>
        <w:t xml:space="preserve">education good for the poor? </w:t>
      </w:r>
      <w:r>
        <w:rPr>
          <w:rFonts w:asciiTheme="majorHAnsi" w:hAnsiTheme="majorHAnsi" w:cstheme="majorHAnsi"/>
          <w:sz w:val="28"/>
          <w:szCs w:val="28"/>
        </w:rPr>
        <w:t>Working paper from a study in Sub-Saharan Africa and India. Newcastle: E.G. West Centre.</w:t>
      </w:r>
    </w:p>
    <w:p w:rsidR="003265E4" w:rsidRDefault="003265E4" w:rsidP="00C33FEF">
      <w:pPr>
        <w:jc w:val="both"/>
        <w:rPr>
          <w:rFonts w:asciiTheme="majorHAnsi" w:hAnsiTheme="majorHAnsi" w:cstheme="majorHAnsi"/>
          <w:sz w:val="28"/>
          <w:szCs w:val="28"/>
        </w:rPr>
      </w:pPr>
      <w:r>
        <w:rPr>
          <w:rFonts w:asciiTheme="majorHAnsi" w:hAnsiTheme="majorHAnsi" w:cstheme="majorHAnsi"/>
          <w:sz w:val="28"/>
          <w:szCs w:val="28"/>
        </w:rPr>
        <w:t>Tooley, J., Longfield, D. (2014) Private education in low-income areas of Monrovia, Liberia. Newcastle: E.G. West Centre.</w:t>
      </w:r>
    </w:p>
    <w:p w:rsidR="00C33FEF" w:rsidRPr="005C5E5A" w:rsidRDefault="00C33FEF" w:rsidP="00C33FEF">
      <w:pPr>
        <w:jc w:val="both"/>
        <w:rPr>
          <w:rFonts w:asciiTheme="majorHAnsi" w:hAnsiTheme="majorHAnsi" w:cstheme="majorHAnsi"/>
          <w:sz w:val="28"/>
          <w:szCs w:val="28"/>
        </w:rPr>
      </w:pPr>
      <w:r w:rsidRPr="005C5E5A">
        <w:rPr>
          <w:rFonts w:asciiTheme="majorHAnsi" w:hAnsiTheme="majorHAnsi" w:cstheme="majorHAnsi"/>
          <w:sz w:val="28"/>
          <w:szCs w:val="28"/>
        </w:rPr>
        <w:t>Tooley, J., Dixon, P. Stanfield, J. (2008) Impact of free primary education in Kenya: a case study of private schools in Kibera. Educational Management and Leadership 36(4): 449-469.</w:t>
      </w:r>
    </w:p>
    <w:p w:rsidR="00C33FEF" w:rsidRPr="005C5E5A" w:rsidRDefault="00C33FEF" w:rsidP="00C33FEF">
      <w:pPr>
        <w:jc w:val="both"/>
        <w:rPr>
          <w:rFonts w:asciiTheme="majorHAnsi" w:hAnsiTheme="majorHAnsi" w:cstheme="majorHAnsi"/>
          <w:sz w:val="28"/>
          <w:szCs w:val="28"/>
        </w:rPr>
      </w:pPr>
      <w:r w:rsidRPr="005C5E5A">
        <w:rPr>
          <w:rFonts w:asciiTheme="majorHAnsi" w:hAnsiTheme="majorHAnsi" w:cstheme="majorHAnsi"/>
          <w:sz w:val="28"/>
          <w:szCs w:val="28"/>
        </w:rPr>
        <w:t>Tooley, J., Dixon, P., Amuah, I. (2007) Private and public schooling in Ga, Ghana: A census and comparative survey. International Review of Education 53 (3-4): 389-415.</w:t>
      </w:r>
    </w:p>
    <w:p w:rsidR="00C33FEF" w:rsidRPr="005C5E5A" w:rsidRDefault="00C33FEF" w:rsidP="00C33FEF">
      <w:pPr>
        <w:jc w:val="both"/>
        <w:rPr>
          <w:rFonts w:asciiTheme="majorHAnsi" w:hAnsiTheme="majorHAnsi" w:cstheme="majorHAnsi"/>
          <w:sz w:val="28"/>
          <w:szCs w:val="28"/>
        </w:rPr>
      </w:pPr>
      <w:r w:rsidRPr="005C5E5A">
        <w:rPr>
          <w:rFonts w:asciiTheme="majorHAnsi" w:hAnsiTheme="majorHAnsi" w:cstheme="majorHAnsi"/>
          <w:sz w:val="28"/>
          <w:szCs w:val="28"/>
        </w:rPr>
        <w:t xml:space="preserve">Tooley, J., Dixon., Olaniyan, O. (2005) Private and public schooling in low-income areas of Lagos State, Nigeria. A census and comparative survey. International Journal of Educational Research. 43: 125-146. </w:t>
      </w:r>
    </w:p>
    <w:p w:rsidR="00C33FEF" w:rsidRPr="005C5E5A" w:rsidRDefault="00C33FEF" w:rsidP="00C33FEF">
      <w:pPr>
        <w:jc w:val="both"/>
        <w:rPr>
          <w:rFonts w:asciiTheme="majorHAnsi" w:hAnsiTheme="majorHAnsi" w:cstheme="majorHAnsi"/>
          <w:sz w:val="28"/>
          <w:szCs w:val="28"/>
        </w:rPr>
      </w:pPr>
      <w:r w:rsidRPr="005C5E5A">
        <w:rPr>
          <w:rFonts w:asciiTheme="majorHAnsi" w:hAnsiTheme="majorHAnsi" w:cstheme="majorHAnsi"/>
          <w:sz w:val="28"/>
          <w:szCs w:val="28"/>
        </w:rPr>
        <w:t>Tooley, J., Yngstrom, L. (2004) School choice in Lagos state: Summary of extended research conducted on school choice in Lagos Nigeria. Report submitted to DFID, Nigeria.</w:t>
      </w:r>
    </w:p>
    <w:p w:rsidR="00C120A1" w:rsidRDefault="00C120A1" w:rsidP="00C33FEF">
      <w:pPr>
        <w:jc w:val="both"/>
        <w:rPr>
          <w:rFonts w:asciiTheme="majorHAnsi" w:hAnsiTheme="majorHAnsi" w:cstheme="majorHAnsi"/>
          <w:sz w:val="28"/>
          <w:szCs w:val="28"/>
        </w:rPr>
      </w:pPr>
      <w:r>
        <w:rPr>
          <w:rFonts w:asciiTheme="majorHAnsi" w:hAnsiTheme="majorHAnsi" w:cstheme="majorHAnsi"/>
          <w:sz w:val="28"/>
          <w:szCs w:val="28"/>
        </w:rPr>
        <w:t>Zeitlyn, B., Lewin, K.M., Chimombo, J., Meke, E. (2015) Inside private schools in Malawi: Access or exclusion</w:t>
      </w:r>
      <w:r w:rsidR="00A52447">
        <w:rPr>
          <w:rFonts w:asciiTheme="majorHAnsi" w:hAnsiTheme="majorHAnsi" w:cstheme="majorHAnsi"/>
          <w:sz w:val="28"/>
          <w:szCs w:val="28"/>
        </w:rPr>
        <w:t>?</w:t>
      </w:r>
      <w:r>
        <w:rPr>
          <w:rFonts w:asciiTheme="majorHAnsi" w:hAnsiTheme="majorHAnsi" w:cstheme="majorHAnsi"/>
          <w:sz w:val="28"/>
          <w:szCs w:val="28"/>
        </w:rPr>
        <w:t xml:space="preserve"> International Journal of Educational Development.</w:t>
      </w:r>
    </w:p>
    <w:p w:rsidR="005C67D2" w:rsidRDefault="005C67D2">
      <w:pPr>
        <w:rPr>
          <w:rFonts w:asciiTheme="majorHAnsi" w:hAnsiTheme="majorHAnsi" w:cstheme="majorHAnsi"/>
          <w:sz w:val="28"/>
          <w:szCs w:val="28"/>
        </w:rPr>
      </w:pPr>
      <w:r>
        <w:rPr>
          <w:rFonts w:asciiTheme="majorHAnsi" w:hAnsiTheme="majorHAnsi" w:cstheme="majorHAnsi"/>
          <w:sz w:val="28"/>
          <w:szCs w:val="28"/>
        </w:rPr>
        <w:br w:type="page"/>
      </w:r>
    </w:p>
    <w:bookmarkStart w:id="1" w:name="_MON_1673164546"/>
    <w:bookmarkEnd w:id="1"/>
    <w:p w:rsidR="005C67D2" w:rsidRDefault="00C274A0" w:rsidP="00C33FEF">
      <w:pPr>
        <w:jc w:val="both"/>
        <w:rPr>
          <w:rFonts w:asciiTheme="majorHAnsi" w:hAnsiTheme="majorHAnsi" w:cstheme="majorHAnsi"/>
          <w:sz w:val="28"/>
          <w:szCs w:val="28"/>
        </w:rPr>
      </w:pPr>
      <w:r>
        <w:rPr>
          <w:rFonts w:asciiTheme="majorHAnsi" w:hAnsiTheme="majorHAnsi" w:cstheme="majorHAnsi"/>
          <w:noProof/>
          <w:sz w:val="28"/>
          <w:szCs w:val="28"/>
        </w:rPr>
        <w:object w:dxaOrig="10040" w:dyaOrig="3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1.7pt;height:191.25pt;mso-width-percent:0;mso-height-percent:0;mso-width-percent:0;mso-height-percent:0" o:ole="">
            <v:imagedata r:id="rId8" o:title=""/>
          </v:shape>
          <o:OLEObject Type="Embed" ProgID="Excel.Sheet.12" ShapeID="_x0000_i1025" DrawAspect="Content" ObjectID="_1682877345" r:id="rId9"/>
        </w:object>
      </w:r>
    </w:p>
    <w:p w:rsidR="004B7E21" w:rsidRDefault="004B7E21">
      <w:pPr>
        <w:rPr>
          <w:rFonts w:asciiTheme="majorHAnsi" w:hAnsiTheme="majorHAnsi" w:cstheme="majorHAnsi"/>
          <w:sz w:val="28"/>
          <w:szCs w:val="28"/>
        </w:rPr>
      </w:pPr>
      <w:r>
        <w:rPr>
          <w:rFonts w:asciiTheme="majorHAnsi" w:hAnsiTheme="majorHAnsi" w:cstheme="majorHAnsi"/>
          <w:sz w:val="28"/>
          <w:szCs w:val="28"/>
        </w:rPr>
        <w:br w:type="page"/>
      </w:r>
    </w:p>
    <w:tbl>
      <w:tblPr>
        <w:tblW w:w="9360" w:type="dxa"/>
        <w:tblLook w:val="04A0" w:firstRow="1" w:lastRow="0" w:firstColumn="1" w:lastColumn="0" w:noHBand="0" w:noVBand="1"/>
      </w:tblPr>
      <w:tblGrid>
        <w:gridCol w:w="1138"/>
        <w:gridCol w:w="1298"/>
        <w:gridCol w:w="1876"/>
        <w:gridCol w:w="659"/>
        <w:gridCol w:w="1878"/>
        <w:gridCol w:w="1896"/>
        <w:gridCol w:w="736"/>
      </w:tblGrid>
      <w:tr w:rsidR="004B7E21" w:rsidRPr="00C93045" w:rsidTr="0004396F">
        <w:trPr>
          <w:trHeight w:val="288"/>
        </w:trPr>
        <w:tc>
          <w:tcPr>
            <w:tcW w:w="9360" w:type="dxa"/>
            <w:gridSpan w:val="7"/>
            <w:tcBorders>
              <w:top w:val="nil"/>
              <w:left w:val="nil"/>
              <w:bottom w:val="nil"/>
              <w:right w:val="nil"/>
            </w:tcBorders>
            <w:shd w:val="clear" w:color="auto" w:fill="auto"/>
            <w:noWrap/>
            <w:vAlign w:val="bottom"/>
            <w:hideMark/>
          </w:tcPr>
          <w:p w:rsidR="004B7E21" w:rsidRPr="00C93045" w:rsidRDefault="004B7E21" w:rsidP="0004396F">
            <w:pPr>
              <w:spacing w:after="0" w:line="240" w:lineRule="auto"/>
              <w:rPr>
                <w:rFonts w:ascii="Calibri Light" w:eastAsia="Times New Roman" w:hAnsi="Calibri Light" w:cs="Calibri Light"/>
                <w:color w:val="000000"/>
                <w:lang w:eastAsia="en-GB"/>
              </w:rPr>
            </w:pPr>
            <w:r>
              <w:rPr>
                <w:rFonts w:ascii="Calibri Light" w:eastAsia="Times New Roman" w:hAnsi="Calibri Light" w:cs="Calibri Light"/>
                <w:color w:val="000000"/>
                <w:lang w:eastAsia="en-GB"/>
              </w:rPr>
              <w:t>Table 2</w:t>
            </w:r>
            <w:r w:rsidRPr="00C93045">
              <w:rPr>
                <w:rFonts w:ascii="Calibri Light" w:eastAsia="Times New Roman" w:hAnsi="Calibri Light" w:cs="Calibri Light"/>
                <w:color w:val="000000"/>
                <w:lang w:eastAsia="en-GB"/>
              </w:rPr>
              <w:t xml:space="preserve">: Low and medium/high PSP incidence countries in SSA by colonial heritage, geographical    </w:t>
            </w:r>
          </w:p>
        </w:tc>
      </w:tr>
      <w:tr w:rsidR="004B7E21" w:rsidRPr="00C93045" w:rsidTr="0004396F">
        <w:trPr>
          <w:trHeight w:val="300"/>
        </w:trPr>
        <w:tc>
          <w:tcPr>
            <w:tcW w:w="4295" w:type="dxa"/>
            <w:gridSpan w:val="3"/>
            <w:tcBorders>
              <w:top w:val="nil"/>
              <w:left w:val="nil"/>
              <w:bottom w:val="nil"/>
              <w:right w:val="nil"/>
            </w:tcBorders>
            <w:shd w:val="clear" w:color="auto" w:fill="auto"/>
            <w:noWrap/>
            <w:vAlign w:val="bottom"/>
            <w:hideMark/>
          </w:tcPr>
          <w:p w:rsidR="004B7E21" w:rsidRPr="00C93045" w:rsidRDefault="004B7E21" w:rsidP="0004396F">
            <w:pPr>
              <w:spacing w:after="0" w:line="240" w:lineRule="auto"/>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region and FCAS country status (rounded %)</w:t>
            </w:r>
          </w:p>
        </w:tc>
        <w:tc>
          <w:tcPr>
            <w:tcW w:w="555" w:type="dxa"/>
            <w:tcBorders>
              <w:top w:val="nil"/>
              <w:left w:val="nil"/>
              <w:bottom w:val="nil"/>
              <w:right w:val="nil"/>
            </w:tcBorders>
            <w:shd w:val="clear" w:color="auto" w:fill="auto"/>
            <w:noWrap/>
            <w:vAlign w:val="bottom"/>
            <w:hideMark/>
          </w:tcPr>
          <w:p w:rsidR="004B7E21" w:rsidRPr="00C93045" w:rsidRDefault="004B7E21" w:rsidP="0004396F">
            <w:pPr>
              <w:spacing w:after="0" w:line="240" w:lineRule="auto"/>
              <w:rPr>
                <w:rFonts w:ascii="Calibri Light" w:eastAsia="Times New Roman" w:hAnsi="Calibri Light" w:cs="Calibri Light"/>
                <w:color w:val="000000"/>
                <w:lang w:eastAsia="en-GB"/>
              </w:rPr>
            </w:pPr>
          </w:p>
        </w:tc>
        <w:tc>
          <w:tcPr>
            <w:tcW w:w="1878" w:type="dxa"/>
            <w:tcBorders>
              <w:top w:val="nil"/>
              <w:left w:val="nil"/>
              <w:bottom w:val="nil"/>
              <w:right w:val="nil"/>
            </w:tcBorders>
            <w:shd w:val="clear" w:color="auto" w:fill="auto"/>
            <w:noWrap/>
            <w:vAlign w:val="bottom"/>
            <w:hideMark/>
          </w:tcPr>
          <w:p w:rsidR="004B7E21" w:rsidRPr="00C93045" w:rsidRDefault="004B7E21" w:rsidP="0004396F">
            <w:pPr>
              <w:spacing w:after="0" w:line="240" w:lineRule="auto"/>
              <w:rPr>
                <w:rFonts w:ascii="Calibri Light" w:eastAsia="Times New Roman" w:hAnsi="Calibri Light" w:cs="Calibri Light"/>
                <w:sz w:val="20"/>
                <w:szCs w:val="20"/>
                <w:lang w:eastAsia="en-GB"/>
              </w:rPr>
            </w:pPr>
          </w:p>
        </w:tc>
        <w:tc>
          <w:tcPr>
            <w:tcW w:w="1896" w:type="dxa"/>
            <w:tcBorders>
              <w:top w:val="nil"/>
              <w:left w:val="nil"/>
              <w:bottom w:val="nil"/>
              <w:right w:val="nil"/>
            </w:tcBorders>
            <w:shd w:val="clear" w:color="auto" w:fill="auto"/>
            <w:noWrap/>
            <w:vAlign w:val="bottom"/>
            <w:hideMark/>
          </w:tcPr>
          <w:p w:rsidR="004B7E21" w:rsidRPr="00C93045" w:rsidRDefault="004B7E21" w:rsidP="0004396F">
            <w:pPr>
              <w:spacing w:after="0" w:line="240" w:lineRule="auto"/>
              <w:rPr>
                <w:rFonts w:ascii="Calibri Light" w:eastAsia="Times New Roman" w:hAnsi="Calibri Light" w:cs="Calibri Light"/>
                <w:sz w:val="20"/>
                <w:szCs w:val="20"/>
                <w:lang w:eastAsia="en-GB"/>
              </w:rPr>
            </w:pPr>
          </w:p>
        </w:tc>
        <w:tc>
          <w:tcPr>
            <w:tcW w:w="736" w:type="dxa"/>
            <w:tcBorders>
              <w:top w:val="nil"/>
              <w:left w:val="nil"/>
              <w:bottom w:val="nil"/>
              <w:right w:val="nil"/>
            </w:tcBorders>
            <w:shd w:val="clear" w:color="auto" w:fill="auto"/>
            <w:noWrap/>
            <w:vAlign w:val="bottom"/>
            <w:hideMark/>
          </w:tcPr>
          <w:p w:rsidR="004B7E21" w:rsidRPr="00C93045" w:rsidRDefault="004B7E21" w:rsidP="0004396F">
            <w:pPr>
              <w:spacing w:after="0" w:line="240" w:lineRule="auto"/>
              <w:rPr>
                <w:rFonts w:ascii="Calibri Light" w:eastAsia="Times New Roman" w:hAnsi="Calibri Light" w:cs="Calibri Light"/>
                <w:sz w:val="20"/>
                <w:szCs w:val="20"/>
                <w:lang w:eastAsia="en-GB"/>
              </w:rPr>
            </w:pPr>
          </w:p>
        </w:tc>
      </w:tr>
      <w:tr w:rsidR="004B7E21" w:rsidRPr="00C93045" w:rsidTr="0004396F">
        <w:trPr>
          <w:trHeight w:val="288"/>
        </w:trPr>
        <w:tc>
          <w:tcPr>
            <w:tcW w:w="1121" w:type="dxa"/>
            <w:tcBorders>
              <w:top w:val="single" w:sz="8" w:space="0" w:color="auto"/>
              <w:left w:val="single" w:sz="8" w:space="0" w:color="auto"/>
              <w:bottom w:val="nil"/>
              <w:right w:val="nil"/>
            </w:tcBorders>
            <w:shd w:val="clear" w:color="000000" w:fill="C6E0B4"/>
            <w:noWrap/>
            <w:vAlign w:val="bottom"/>
            <w:hideMark/>
          </w:tcPr>
          <w:p w:rsidR="004B7E21" w:rsidRPr="00C93045" w:rsidRDefault="004B7E21" w:rsidP="0004396F">
            <w:pPr>
              <w:spacing w:after="0" w:line="240" w:lineRule="auto"/>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 </w:t>
            </w:r>
          </w:p>
        </w:tc>
        <w:tc>
          <w:tcPr>
            <w:tcW w:w="1298" w:type="dxa"/>
            <w:tcBorders>
              <w:top w:val="single" w:sz="8" w:space="0" w:color="auto"/>
              <w:left w:val="nil"/>
              <w:bottom w:val="nil"/>
              <w:right w:val="nil"/>
            </w:tcBorders>
            <w:shd w:val="clear" w:color="000000" w:fill="C6E0B4"/>
            <w:noWrap/>
            <w:vAlign w:val="bottom"/>
            <w:hideMark/>
          </w:tcPr>
          <w:p w:rsidR="004B7E21" w:rsidRPr="00C93045" w:rsidRDefault="004B7E21" w:rsidP="0004396F">
            <w:pPr>
              <w:spacing w:after="0" w:line="240" w:lineRule="auto"/>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 </w:t>
            </w:r>
          </w:p>
        </w:tc>
        <w:tc>
          <w:tcPr>
            <w:tcW w:w="1876" w:type="dxa"/>
            <w:tcBorders>
              <w:top w:val="single" w:sz="8" w:space="0" w:color="auto"/>
              <w:left w:val="nil"/>
              <w:bottom w:val="nil"/>
              <w:right w:val="nil"/>
            </w:tcBorders>
            <w:shd w:val="clear" w:color="000000" w:fill="C6E0B4"/>
            <w:noWrap/>
            <w:vAlign w:val="bottom"/>
            <w:hideMark/>
          </w:tcPr>
          <w:p w:rsidR="004B7E21" w:rsidRPr="00C93045" w:rsidRDefault="004B7E21" w:rsidP="0004396F">
            <w:pPr>
              <w:spacing w:after="0" w:line="240" w:lineRule="auto"/>
              <w:jc w:val="center"/>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Low incidence</w:t>
            </w:r>
          </w:p>
        </w:tc>
        <w:tc>
          <w:tcPr>
            <w:tcW w:w="555" w:type="dxa"/>
            <w:tcBorders>
              <w:top w:val="single" w:sz="8" w:space="0" w:color="auto"/>
              <w:left w:val="nil"/>
              <w:bottom w:val="nil"/>
              <w:right w:val="nil"/>
            </w:tcBorders>
            <w:shd w:val="clear" w:color="000000" w:fill="C6E0B4"/>
            <w:noWrap/>
            <w:vAlign w:val="bottom"/>
            <w:hideMark/>
          </w:tcPr>
          <w:p w:rsidR="004B7E21" w:rsidRPr="00C93045" w:rsidRDefault="004B7E21" w:rsidP="0004396F">
            <w:pPr>
              <w:spacing w:after="0" w:line="240" w:lineRule="auto"/>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 </w:t>
            </w:r>
          </w:p>
        </w:tc>
        <w:tc>
          <w:tcPr>
            <w:tcW w:w="4510" w:type="dxa"/>
            <w:gridSpan w:val="3"/>
            <w:tcBorders>
              <w:top w:val="single" w:sz="8" w:space="0" w:color="auto"/>
              <w:left w:val="single" w:sz="4" w:space="0" w:color="auto"/>
              <w:bottom w:val="nil"/>
              <w:right w:val="single" w:sz="8" w:space="0" w:color="000000"/>
            </w:tcBorders>
            <w:shd w:val="clear" w:color="000000" w:fill="C6E0B4"/>
            <w:noWrap/>
            <w:vAlign w:val="bottom"/>
            <w:hideMark/>
          </w:tcPr>
          <w:p w:rsidR="004B7E21" w:rsidRPr="00C93045" w:rsidRDefault="004B7E21" w:rsidP="0004396F">
            <w:pPr>
              <w:spacing w:after="0" w:line="240" w:lineRule="auto"/>
              <w:ind w:firstLineChars="600" w:firstLine="1320"/>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Medium/high incidence</w:t>
            </w:r>
          </w:p>
        </w:tc>
      </w:tr>
      <w:tr w:rsidR="004B7E21" w:rsidRPr="00C93045" w:rsidTr="0004396F">
        <w:trPr>
          <w:trHeight w:val="288"/>
        </w:trPr>
        <w:tc>
          <w:tcPr>
            <w:tcW w:w="1121" w:type="dxa"/>
            <w:tcBorders>
              <w:top w:val="nil"/>
              <w:left w:val="single" w:sz="8" w:space="0" w:color="auto"/>
              <w:bottom w:val="nil"/>
              <w:right w:val="nil"/>
            </w:tcBorders>
            <w:shd w:val="clear" w:color="000000" w:fill="C6E0B4"/>
            <w:noWrap/>
            <w:vAlign w:val="bottom"/>
            <w:hideMark/>
          </w:tcPr>
          <w:p w:rsidR="004B7E21" w:rsidRPr="00C93045" w:rsidRDefault="004B7E21" w:rsidP="0004396F">
            <w:pPr>
              <w:spacing w:after="0" w:line="240" w:lineRule="auto"/>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Schooling</w:t>
            </w:r>
          </w:p>
        </w:tc>
        <w:tc>
          <w:tcPr>
            <w:tcW w:w="1298" w:type="dxa"/>
            <w:tcBorders>
              <w:top w:val="nil"/>
              <w:left w:val="nil"/>
              <w:bottom w:val="nil"/>
              <w:right w:val="nil"/>
            </w:tcBorders>
            <w:shd w:val="clear" w:color="000000" w:fill="C6E0B4"/>
            <w:noWrap/>
            <w:vAlign w:val="bottom"/>
            <w:hideMark/>
          </w:tcPr>
          <w:p w:rsidR="004B7E21" w:rsidRPr="00C93045" w:rsidRDefault="004B7E21" w:rsidP="0004396F">
            <w:pPr>
              <w:spacing w:after="0" w:line="240" w:lineRule="auto"/>
              <w:jc w:val="center"/>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Anglophone</w:t>
            </w:r>
          </w:p>
        </w:tc>
        <w:tc>
          <w:tcPr>
            <w:tcW w:w="1876" w:type="dxa"/>
            <w:tcBorders>
              <w:top w:val="nil"/>
              <w:left w:val="nil"/>
              <w:bottom w:val="nil"/>
              <w:right w:val="nil"/>
            </w:tcBorders>
            <w:shd w:val="clear" w:color="000000" w:fill="C6E0B4"/>
            <w:noWrap/>
            <w:vAlign w:val="bottom"/>
            <w:hideMark/>
          </w:tcPr>
          <w:p w:rsidR="004B7E21" w:rsidRPr="00C93045" w:rsidRDefault="004B7E21" w:rsidP="0004396F">
            <w:pPr>
              <w:spacing w:after="0" w:line="240" w:lineRule="auto"/>
              <w:jc w:val="center"/>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Eastern/Southern</w:t>
            </w:r>
          </w:p>
        </w:tc>
        <w:tc>
          <w:tcPr>
            <w:tcW w:w="555" w:type="dxa"/>
            <w:tcBorders>
              <w:top w:val="nil"/>
              <w:left w:val="nil"/>
              <w:bottom w:val="nil"/>
              <w:right w:val="nil"/>
            </w:tcBorders>
            <w:shd w:val="clear" w:color="000000" w:fill="C6E0B4"/>
            <w:noWrap/>
            <w:vAlign w:val="bottom"/>
            <w:hideMark/>
          </w:tcPr>
          <w:p w:rsidR="004B7E21" w:rsidRPr="00C93045" w:rsidRDefault="004B7E21" w:rsidP="0004396F">
            <w:pPr>
              <w:spacing w:after="0" w:line="240" w:lineRule="auto"/>
              <w:jc w:val="center"/>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FCAS</w:t>
            </w:r>
          </w:p>
        </w:tc>
        <w:tc>
          <w:tcPr>
            <w:tcW w:w="1878" w:type="dxa"/>
            <w:tcBorders>
              <w:top w:val="nil"/>
              <w:left w:val="single" w:sz="4" w:space="0" w:color="auto"/>
              <w:bottom w:val="nil"/>
              <w:right w:val="nil"/>
            </w:tcBorders>
            <w:shd w:val="clear" w:color="000000" w:fill="C6E0B4"/>
            <w:noWrap/>
            <w:vAlign w:val="bottom"/>
            <w:hideMark/>
          </w:tcPr>
          <w:p w:rsidR="004B7E21" w:rsidRPr="00C93045" w:rsidRDefault="004B7E21" w:rsidP="0004396F">
            <w:pPr>
              <w:spacing w:after="0" w:line="240" w:lineRule="auto"/>
              <w:jc w:val="center"/>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Francophone</w:t>
            </w:r>
          </w:p>
        </w:tc>
        <w:tc>
          <w:tcPr>
            <w:tcW w:w="1896" w:type="dxa"/>
            <w:tcBorders>
              <w:top w:val="nil"/>
              <w:left w:val="nil"/>
              <w:bottom w:val="nil"/>
              <w:right w:val="nil"/>
            </w:tcBorders>
            <w:shd w:val="clear" w:color="000000" w:fill="C6E0B4"/>
            <w:noWrap/>
            <w:vAlign w:val="bottom"/>
            <w:hideMark/>
          </w:tcPr>
          <w:p w:rsidR="004B7E21" w:rsidRPr="00C93045" w:rsidRDefault="004B7E21" w:rsidP="0004396F">
            <w:pPr>
              <w:spacing w:after="0" w:line="240" w:lineRule="auto"/>
              <w:jc w:val="center"/>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West/Central</w:t>
            </w:r>
          </w:p>
        </w:tc>
        <w:tc>
          <w:tcPr>
            <w:tcW w:w="736" w:type="dxa"/>
            <w:tcBorders>
              <w:top w:val="nil"/>
              <w:left w:val="nil"/>
              <w:bottom w:val="nil"/>
              <w:right w:val="single" w:sz="8" w:space="0" w:color="auto"/>
            </w:tcBorders>
            <w:shd w:val="clear" w:color="000000" w:fill="C6E0B4"/>
            <w:noWrap/>
            <w:vAlign w:val="bottom"/>
            <w:hideMark/>
          </w:tcPr>
          <w:p w:rsidR="004B7E21" w:rsidRPr="00C93045" w:rsidRDefault="004B7E21" w:rsidP="0004396F">
            <w:pPr>
              <w:spacing w:after="0" w:line="240" w:lineRule="auto"/>
              <w:jc w:val="center"/>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FCAS</w:t>
            </w:r>
          </w:p>
        </w:tc>
      </w:tr>
      <w:tr w:rsidR="004B7E21" w:rsidRPr="00C93045" w:rsidTr="0004396F">
        <w:trPr>
          <w:trHeight w:val="288"/>
        </w:trPr>
        <w:tc>
          <w:tcPr>
            <w:tcW w:w="1121" w:type="dxa"/>
            <w:tcBorders>
              <w:top w:val="nil"/>
              <w:left w:val="single" w:sz="8" w:space="0" w:color="auto"/>
              <w:bottom w:val="single" w:sz="4" w:space="0" w:color="auto"/>
              <w:right w:val="nil"/>
            </w:tcBorders>
            <w:shd w:val="clear" w:color="000000" w:fill="C6E0B4"/>
            <w:noWrap/>
            <w:vAlign w:val="bottom"/>
            <w:hideMark/>
          </w:tcPr>
          <w:p w:rsidR="004B7E21" w:rsidRPr="00C93045" w:rsidRDefault="004B7E21" w:rsidP="0004396F">
            <w:pPr>
              <w:spacing w:after="0" w:line="240" w:lineRule="auto"/>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Level</w:t>
            </w:r>
          </w:p>
        </w:tc>
        <w:tc>
          <w:tcPr>
            <w:tcW w:w="1298" w:type="dxa"/>
            <w:tcBorders>
              <w:top w:val="nil"/>
              <w:left w:val="nil"/>
              <w:bottom w:val="single" w:sz="4" w:space="0" w:color="auto"/>
              <w:right w:val="nil"/>
            </w:tcBorders>
            <w:shd w:val="clear" w:color="000000" w:fill="C6E0B4"/>
            <w:noWrap/>
            <w:vAlign w:val="bottom"/>
            <w:hideMark/>
          </w:tcPr>
          <w:p w:rsidR="004B7E21" w:rsidRPr="00C93045" w:rsidRDefault="004B7E21" w:rsidP="0004396F">
            <w:pPr>
              <w:spacing w:after="0" w:line="240" w:lineRule="auto"/>
              <w:jc w:val="center"/>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 </w:t>
            </w:r>
          </w:p>
        </w:tc>
        <w:tc>
          <w:tcPr>
            <w:tcW w:w="1876" w:type="dxa"/>
            <w:tcBorders>
              <w:top w:val="nil"/>
              <w:left w:val="nil"/>
              <w:bottom w:val="single" w:sz="4" w:space="0" w:color="auto"/>
              <w:right w:val="nil"/>
            </w:tcBorders>
            <w:shd w:val="clear" w:color="000000" w:fill="C6E0B4"/>
            <w:noWrap/>
            <w:vAlign w:val="bottom"/>
            <w:hideMark/>
          </w:tcPr>
          <w:p w:rsidR="004B7E21" w:rsidRPr="00C93045" w:rsidRDefault="004B7E21" w:rsidP="0004396F">
            <w:pPr>
              <w:spacing w:after="0" w:line="240" w:lineRule="auto"/>
              <w:jc w:val="center"/>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Africa</w:t>
            </w:r>
          </w:p>
        </w:tc>
        <w:tc>
          <w:tcPr>
            <w:tcW w:w="555" w:type="dxa"/>
            <w:tcBorders>
              <w:top w:val="nil"/>
              <w:left w:val="nil"/>
              <w:bottom w:val="single" w:sz="4" w:space="0" w:color="auto"/>
              <w:right w:val="nil"/>
            </w:tcBorders>
            <w:shd w:val="clear" w:color="000000" w:fill="C6E0B4"/>
            <w:noWrap/>
            <w:vAlign w:val="bottom"/>
            <w:hideMark/>
          </w:tcPr>
          <w:p w:rsidR="004B7E21" w:rsidRPr="00C93045" w:rsidRDefault="004B7E21" w:rsidP="0004396F">
            <w:pPr>
              <w:spacing w:after="0" w:line="240" w:lineRule="auto"/>
              <w:jc w:val="center"/>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 </w:t>
            </w:r>
          </w:p>
        </w:tc>
        <w:tc>
          <w:tcPr>
            <w:tcW w:w="1878" w:type="dxa"/>
            <w:tcBorders>
              <w:top w:val="nil"/>
              <w:left w:val="single" w:sz="4" w:space="0" w:color="auto"/>
              <w:bottom w:val="single" w:sz="4" w:space="0" w:color="auto"/>
              <w:right w:val="nil"/>
            </w:tcBorders>
            <w:shd w:val="clear" w:color="000000" w:fill="C6E0B4"/>
            <w:noWrap/>
            <w:vAlign w:val="bottom"/>
            <w:hideMark/>
          </w:tcPr>
          <w:p w:rsidR="004B7E21" w:rsidRPr="00C93045" w:rsidRDefault="004B7E21" w:rsidP="0004396F">
            <w:pPr>
              <w:spacing w:after="0" w:line="240" w:lineRule="auto"/>
              <w:jc w:val="center"/>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 </w:t>
            </w:r>
          </w:p>
        </w:tc>
        <w:tc>
          <w:tcPr>
            <w:tcW w:w="1896" w:type="dxa"/>
            <w:tcBorders>
              <w:top w:val="nil"/>
              <w:left w:val="nil"/>
              <w:bottom w:val="single" w:sz="4" w:space="0" w:color="auto"/>
              <w:right w:val="nil"/>
            </w:tcBorders>
            <w:shd w:val="clear" w:color="000000" w:fill="C6E0B4"/>
            <w:noWrap/>
            <w:vAlign w:val="bottom"/>
            <w:hideMark/>
          </w:tcPr>
          <w:p w:rsidR="004B7E21" w:rsidRPr="00C93045" w:rsidRDefault="004B7E21" w:rsidP="0004396F">
            <w:pPr>
              <w:spacing w:after="0" w:line="240" w:lineRule="auto"/>
              <w:jc w:val="center"/>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Africa</w:t>
            </w:r>
          </w:p>
        </w:tc>
        <w:tc>
          <w:tcPr>
            <w:tcW w:w="736" w:type="dxa"/>
            <w:tcBorders>
              <w:top w:val="nil"/>
              <w:left w:val="nil"/>
              <w:bottom w:val="single" w:sz="4" w:space="0" w:color="auto"/>
              <w:right w:val="single" w:sz="8" w:space="0" w:color="auto"/>
            </w:tcBorders>
            <w:shd w:val="clear" w:color="000000" w:fill="C6E0B4"/>
            <w:noWrap/>
            <w:vAlign w:val="bottom"/>
            <w:hideMark/>
          </w:tcPr>
          <w:p w:rsidR="004B7E21" w:rsidRPr="00C93045" w:rsidRDefault="004B7E21" w:rsidP="0004396F">
            <w:pPr>
              <w:spacing w:after="0" w:line="240" w:lineRule="auto"/>
              <w:jc w:val="center"/>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 </w:t>
            </w:r>
          </w:p>
        </w:tc>
      </w:tr>
      <w:tr w:rsidR="004B7E21" w:rsidRPr="00C93045" w:rsidTr="0004396F">
        <w:trPr>
          <w:trHeight w:val="288"/>
        </w:trPr>
        <w:tc>
          <w:tcPr>
            <w:tcW w:w="1121" w:type="dxa"/>
            <w:tcBorders>
              <w:top w:val="nil"/>
              <w:left w:val="single" w:sz="8" w:space="0" w:color="auto"/>
              <w:bottom w:val="nil"/>
              <w:right w:val="nil"/>
            </w:tcBorders>
            <w:shd w:val="clear" w:color="000000" w:fill="F2F2F2"/>
            <w:noWrap/>
            <w:vAlign w:val="bottom"/>
            <w:hideMark/>
          </w:tcPr>
          <w:p w:rsidR="004B7E21" w:rsidRPr="00C93045" w:rsidRDefault="004B7E21" w:rsidP="0004396F">
            <w:pPr>
              <w:spacing w:after="0" w:line="240" w:lineRule="auto"/>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 xml:space="preserve">Primary </w:t>
            </w:r>
          </w:p>
        </w:tc>
        <w:tc>
          <w:tcPr>
            <w:tcW w:w="1298" w:type="dxa"/>
            <w:tcBorders>
              <w:top w:val="nil"/>
              <w:left w:val="nil"/>
              <w:bottom w:val="nil"/>
              <w:right w:val="nil"/>
            </w:tcBorders>
            <w:shd w:val="clear" w:color="000000" w:fill="F2F2F2"/>
            <w:noWrap/>
            <w:vAlign w:val="bottom"/>
            <w:hideMark/>
          </w:tcPr>
          <w:p w:rsidR="004B7E21" w:rsidRPr="00C93045" w:rsidRDefault="004B7E21" w:rsidP="0004396F">
            <w:pPr>
              <w:spacing w:after="0" w:line="240" w:lineRule="auto"/>
              <w:jc w:val="center"/>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75</w:t>
            </w:r>
          </w:p>
        </w:tc>
        <w:tc>
          <w:tcPr>
            <w:tcW w:w="1876" w:type="dxa"/>
            <w:tcBorders>
              <w:top w:val="nil"/>
              <w:left w:val="nil"/>
              <w:bottom w:val="nil"/>
              <w:right w:val="nil"/>
            </w:tcBorders>
            <w:shd w:val="clear" w:color="000000" w:fill="F2F2F2"/>
            <w:noWrap/>
            <w:vAlign w:val="bottom"/>
            <w:hideMark/>
          </w:tcPr>
          <w:p w:rsidR="004B7E21" w:rsidRPr="00C93045" w:rsidRDefault="004B7E21" w:rsidP="0004396F">
            <w:pPr>
              <w:spacing w:after="0" w:line="240" w:lineRule="auto"/>
              <w:jc w:val="center"/>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88</w:t>
            </w:r>
          </w:p>
        </w:tc>
        <w:tc>
          <w:tcPr>
            <w:tcW w:w="555" w:type="dxa"/>
            <w:tcBorders>
              <w:top w:val="nil"/>
              <w:left w:val="nil"/>
              <w:bottom w:val="nil"/>
              <w:right w:val="nil"/>
            </w:tcBorders>
            <w:shd w:val="clear" w:color="000000" w:fill="F2F2F2"/>
            <w:noWrap/>
            <w:vAlign w:val="bottom"/>
            <w:hideMark/>
          </w:tcPr>
          <w:p w:rsidR="004B7E21" w:rsidRPr="00C93045" w:rsidRDefault="004B7E21" w:rsidP="0004396F">
            <w:pPr>
              <w:spacing w:after="0" w:line="240" w:lineRule="auto"/>
              <w:jc w:val="center"/>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33</w:t>
            </w:r>
          </w:p>
        </w:tc>
        <w:tc>
          <w:tcPr>
            <w:tcW w:w="1878" w:type="dxa"/>
            <w:tcBorders>
              <w:top w:val="nil"/>
              <w:left w:val="single" w:sz="4" w:space="0" w:color="auto"/>
              <w:bottom w:val="nil"/>
              <w:right w:val="nil"/>
            </w:tcBorders>
            <w:shd w:val="clear" w:color="000000" w:fill="F2F2F2"/>
            <w:noWrap/>
            <w:vAlign w:val="bottom"/>
            <w:hideMark/>
          </w:tcPr>
          <w:p w:rsidR="004B7E21" w:rsidRPr="00C93045" w:rsidRDefault="004B7E21" w:rsidP="0004396F">
            <w:pPr>
              <w:spacing w:after="0" w:line="240" w:lineRule="auto"/>
              <w:jc w:val="center"/>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65</w:t>
            </w:r>
          </w:p>
        </w:tc>
        <w:tc>
          <w:tcPr>
            <w:tcW w:w="1896" w:type="dxa"/>
            <w:tcBorders>
              <w:top w:val="nil"/>
              <w:left w:val="nil"/>
              <w:bottom w:val="nil"/>
              <w:right w:val="nil"/>
            </w:tcBorders>
            <w:shd w:val="clear" w:color="000000" w:fill="F2F2F2"/>
            <w:noWrap/>
            <w:vAlign w:val="bottom"/>
            <w:hideMark/>
          </w:tcPr>
          <w:p w:rsidR="004B7E21" w:rsidRPr="00C93045" w:rsidRDefault="004B7E21" w:rsidP="0004396F">
            <w:pPr>
              <w:spacing w:after="0" w:line="240" w:lineRule="auto"/>
              <w:jc w:val="center"/>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69</w:t>
            </w:r>
          </w:p>
        </w:tc>
        <w:tc>
          <w:tcPr>
            <w:tcW w:w="736" w:type="dxa"/>
            <w:tcBorders>
              <w:top w:val="nil"/>
              <w:left w:val="nil"/>
              <w:bottom w:val="nil"/>
              <w:right w:val="single" w:sz="8" w:space="0" w:color="auto"/>
            </w:tcBorders>
            <w:shd w:val="clear" w:color="000000" w:fill="F2F2F2"/>
            <w:noWrap/>
            <w:vAlign w:val="bottom"/>
            <w:hideMark/>
          </w:tcPr>
          <w:p w:rsidR="004B7E21" w:rsidRPr="00C93045" w:rsidRDefault="004B7E21" w:rsidP="0004396F">
            <w:pPr>
              <w:spacing w:after="0" w:line="240" w:lineRule="auto"/>
              <w:jc w:val="center"/>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65</w:t>
            </w:r>
          </w:p>
        </w:tc>
      </w:tr>
      <w:tr w:rsidR="004B7E21" w:rsidRPr="00C93045" w:rsidTr="0004396F">
        <w:trPr>
          <w:trHeight w:val="300"/>
        </w:trPr>
        <w:tc>
          <w:tcPr>
            <w:tcW w:w="1121" w:type="dxa"/>
            <w:tcBorders>
              <w:top w:val="nil"/>
              <w:left w:val="single" w:sz="8" w:space="0" w:color="auto"/>
              <w:bottom w:val="single" w:sz="8" w:space="0" w:color="auto"/>
              <w:right w:val="nil"/>
            </w:tcBorders>
            <w:shd w:val="clear" w:color="000000" w:fill="F2F2F2"/>
            <w:noWrap/>
            <w:vAlign w:val="bottom"/>
            <w:hideMark/>
          </w:tcPr>
          <w:p w:rsidR="004B7E21" w:rsidRPr="00C93045" w:rsidRDefault="004B7E21" w:rsidP="0004396F">
            <w:pPr>
              <w:spacing w:after="0" w:line="240" w:lineRule="auto"/>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Secondary</w:t>
            </w:r>
          </w:p>
        </w:tc>
        <w:tc>
          <w:tcPr>
            <w:tcW w:w="1298" w:type="dxa"/>
            <w:tcBorders>
              <w:top w:val="nil"/>
              <w:left w:val="nil"/>
              <w:bottom w:val="single" w:sz="8" w:space="0" w:color="auto"/>
              <w:right w:val="nil"/>
            </w:tcBorders>
            <w:shd w:val="clear" w:color="000000" w:fill="F2F2F2"/>
            <w:noWrap/>
            <w:vAlign w:val="bottom"/>
            <w:hideMark/>
          </w:tcPr>
          <w:p w:rsidR="004B7E21" w:rsidRPr="00C93045" w:rsidRDefault="004B7E21" w:rsidP="0004396F">
            <w:pPr>
              <w:spacing w:after="0" w:line="240" w:lineRule="auto"/>
              <w:jc w:val="center"/>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87</w:t>
            </w:r>
          </w:p>
        </w:tc>
        <w:tc>
          <w:tcPr>
            <w:tcW w:w="1876" w:type="dxa"/>
            <w:tcBorders>
              <w:top w:val="nil"/>
              <w:left w:val="nil"/>
              <w:bottom w:val="single" w:sz="8" w:space="0" w:color="auto"/>
              <w:right w:val="nil"/>
            </w:tcBorders>
            <w:shd w:val="clear" w:color="000000" w:fill="F2F2F2"/>
            <w:noWrap/>
            <w:vAlign w:val="bottom"/>
            <w:hideMark/>
          </w:tcPr>
          <w:p w:rsidR="004B7E21" w:rsidRPr="00C93045" w:rsidRDefault="004B7E21" w:rsidP="0004396F">
            <w:pPr>
              <w:spacing w:after="0" w:line="240" w:lineRule="auto"/>
              <w:jc w:val="center"/>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87</w:t>
            </w:r>
          </w:p>
        </w:tc>
        <w:tc>
          <w:tcPr>
            <w:tcW w:w="555" w:type="dxa"/>
            <w:tcBorders>
              <w:top w:val="nil"/>
              <w:left w:val="nil"/>
              <w:bottom w:val="single" w:sz="8" w:space="0" w:color="auto"/>
              <w:right w:val="nil"/>
            </w:tcBorders>
            <w:shd w:val="clear" w:color="000000" w:fill="F2F2F2"/>
            <w:noWrap/>
            <w:vAlign w:val="bottom"/>
            <w:hideMark/>
          </w:tcPr>
          <w:p w:rsidR="004B7E21" w:rsidRPr="00C93045" w:rsidRDefault="004B7E21" w:rsidP="0004396F">
            <w:pPr>
              <w:spacing w:after="0" w:line="240" w:lineRule="auto"/>
              <w:jc w:val="center"/>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33</w:t>
            </w:r>
          </w:p>
        </w:tc>
        <w:tc>
          <w:tcPr>
            <w:tcW w:w="1878" w:type="dxa"/>
            <w:tcBorders>
              <w:top w:val="nil"/>
              <w:left w:val="single" w:sz="4" w:space="0" w:color="auto"/>
              <w:bottom w:val="single" w:sz="8" w:space="0" w:color="auto"/>
              <w:right w:val="nil"/>
            </w:tcBorders>
            <w:shd w:val="clear" w:color="000000" w:fill="F2F2F2"/>
            <w:noWrap/>
            <w:vAlign w:val="bottom"/>
            <w:hideMark/>
          </w:tcPr>
          <w:p w:rsidR="004B7E21" w:rsidRPr="00C93045" w:rsidRDefault="004B7E21" w:rsidP="0004396F">
            <w:pPr>
              <w:spacing w:after="0" w:line="240" w:lineRule="auto"/>
              <w:jc w:val="center"/>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76</w:t>
            </w:r>
          </w:p>
        </w:tc>
        <w:tc>
          <w:tcPr>
            <w:tcW w:w="1896" w:type="dxa"/>
            <w:tcBorders>
              <w:top w:val="nil"/>
              <w:left w:val="nil"/>
              <w:bottom w:val="single" w:sz="8" w:space="0" w:color="auto"/>
              <w:right w:val="nil"/>
            </w:tcBorders>
            <w:shd w:val="clear" w:color="000000" w:fill="F2F2F2"/>
            <w:noWrap/>
            <w:vAlign w:val="bottom"/>
            <w:hideMark/>
          </w:tcPr>
          <w:p w:rsidR="004B7E21" w:rsidRPr="00C93045" w:rsidRDefault="004B7E21" w:rsidP="0004396F">
            <w:pPr>
              <w:spacing w:after="0" w:line="240" w:lineRule="auto"/>
              <w:jc w:val="center"/>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76</w:t>
            </w:r>
          </w:p>
        </w:tc>
        <w:tc>
          <w:tcPr>
            <w:tcW w:w="736" w:type="dxa"/>
            <w:tcBorders>
              <w:top w:val="nil"/>
              <w:left w:val="nil"/>
              <w:bottom w:val="single" w:sz="8" w:space="0" w:color="auto"/>
              <w:right w:val="single" w:sz="8" w:space="0" w:color="auto"/>
            </w:tcBorders>
            <w:shd w:val="clear" w:color="000000" w:fill="F2F2F2"/>
            <w:noWrap/>
            <w:vAlign w:val="bottom"/>
            <w:hideMark/>
          </w:tcPr>
          <w:p w:rsidR="004B7E21" w:rsidRPr="00C93045" w:rsidRDefault="004B7E21" w:rsidP="0004396F">
            <w:pPr>
              <w:spacing w:after="0" w:line="240" w:lineRule="auto"/>
              <w:jc w:val="center"/>
              <w:rPr>
                <w:rFonts w:ascii="Calibri Light" w:eastAsia="Times New Roman" w:hAnsi="Calibri Light" w:cs="Calibri Light"/>
                <w:color w:val="000000"/>
                <w:lang w:eastAsia="en-GB"/>
              </w:rPr>
            </w:pPr>
            <w:r w:rsidRPr="00C93045">
              <w:rPr>
                <w:rFonts w:ascii="Calibri Light" w:eastAsia="Times New Roman" w:hAnsi="Calibri Light" w:cs="Calibri Light"/>
                <w:color w:val="000000"/>
                <w:lang w:eastAsia="en-GB"/>
              </w:rPr>
              <w:t>43</w:t>
            </w:r>
          </w:p>
        </w:tc>
      </w:tr>
    </w:tbl>
    <w:p w:rsidR="0064578B" w:rsidRDefault="0064578B">
      <w:pPr>
        <w:rPr>
          <w:rFonts w:asciiTheme="majorHAnsi" w:hAnsiTheme="majorHAnsi" w:cstheme="majorHAnsi"/>
          <w:sz w:val="28"/>
          <w:szCs w:val="28"/>
        </w:rPr>
      </w:pPr>
    </w:p>
    <w:p w:rsidR="0064578B" w:rsidRDefault="0064578B">
      <w:pPr>
        <w:rPr>
          <w:rFonts w:asciiTheme="majorHAnsi" w:hAnsiTheme="majorHAnsi" w:cstheme="majorHAnsi"/>
          <w:sz w:val="28"/>
          <w:szCs w:val="28"/>
        </w:rPr>
      </w:pPr>
      <w:r>
        <w:rPr>
          <w:rFonts w:asciiTheme="majorHAnsi" w:hAnsiTheme="majorHAnsi" w:cstheme="majorHAnsi"/>
          <w:sz w:val="28"/>
          <w:szCs w:val="28"/>
        </w:rPr>
        <w:br w:type="page"/>
      </w:r>
    </w:p>
    <w:tbl>
      <w:tblPr>
        <w:tblW w:w="8360" w:type="dxa"/>
        <w:tblLook w:val="04A0" w:firstRow="1" w:lastRow="0" w:firstColumn="1" w:lastColumn="0" w:noHBand="0" w:noVBand="1"/>
      </w:tblPr>
      <w:tblGrid>
        <w:gridCol w:w="2424"/>
        <w:gridCol w:w="552"/>
        <w:gridCol w:w="2686"/>
        <w:gridCol w:w="939"/>
        <w:gridCol w:w="1131"/>
        <w:gridCol w:w="628"/>
      </w:tblGrid>
      <w:tr w:rsidR="004B7E21" w:rsidRPr="005C5E5A" w:rsidTr="0004396F">
        <w:trPr>
          <w:trHeight w:val="288"/>
        </w:trPr>
        <w:tc>
          <w:tcPr>
            <w:tcW w:w="8360" w:type="dxa"/>
            <w:gridSpan w:val="6"/>
            <w:tcBorders>
              <w:top w:val="nil"/>
              <w:left w:val="nil"/>
              <w:bottom w:val="single" w:sz="4" w:space="0" w:color="auto"/>
              <w:right w:val="nil"/>
            </w:tcBorders>
            <w:shd w:val="clear" w:color="auto" w:fill="auto"/>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Pr>
                <w:rFonts w:asciiTheme="majorHAnsi" w:eastAsia="Times New Roman" w:hAnsiTheme="majorHAnsi" w:cstheme="majorHAnsi"/>
                <w:color w:val="000000"/>
                <w:lang w:eastAsia="en-GB"/>
              </w:rPr>
              <w:t>Table 3</w:t>
            </w:r>
            <w:r w:rsidRPr="005C5E5A">
              <w:rPr>
                <w:rFonts w:asciiTheme="majorHAnsi" w:eastAsia="Times New Roman" w:hAnsiTheme="majorHAnsi" w:cstheme="majorHAnsi"/>
                <w:color w:val="000000"/>
                <w:lang w:eastAsia="en-GB"/>
              </w:rPr>
              <w:t>: Change in the share of private sector schooling provision in SSA, 2000/nya to 2018/n</w:t>
            </w:r>
            <w:r>
              <w:rPr>
                <w:rFonts w:asciiTheme="majorHAnsi" w:eastAsia="Times New Roman" w:hAnsiTheme="majorHAnsi" w:cstheme="majorHAnsi"/>
                <w:color w:val="000000"/>
                <w:lang w:eastAsia="en-GB"/>
              </w:rPr>
              <w:t xml:space="preserve">earest </w:t>
            </w:r>
            <w:r w:rsidRPr="005C5E5A">
              <w:rPr>
                <w:rFonts w:asciiTheme="majorHAnsi" w:eastAsia="Times New Roman" w:hAnsiTheme="majorHAnsi" w:cstheme="majorHAnsi"/>
                <w:color w:val="000000"/>
                <w:lang w:eastAsia="en-GB"/>
              </w:rPr>
              <w:t>y</w:t>
            </w:r>
            <w:r>
              <w:rPr>
                <w:rFonts w:asciiTheme="majorHAnsi" w:eastAsia="Times New Roman" w:hAnsiTheme="majorHAnsi" w:cstheme="majorHAnsi"/>
                <w:color w:val="000000"/>
                <w:lang w:eastAsia="en-GB"/>
              </w:rPr>
              <w:t>e</w:t>
            </w:r>
            <w:r w:rsidRPr="005C5E5A">
              <w:rPr>
                <w:rFonts w:asciiTheme="majorHAnsi" w:eastAsia="Times New Roman" w:hAnsiTheme="majorHAnsi" w:cstheme="majorHAnsi"/>
                <w:color w:val="000000"/>
                <w:lang w:eastAsia="en-GB"/>
              </w:rPr>
              <w:t>a</w:t>
            </w:r>
            <w:r>
              <w:rPr>
                <w:rFonts w:asciiTheme="majorHAnsi" w:eastAsia="Times New Roman" w:hAnsiTheme="majorHAnsi" w:cstheme="majorHAnsi"/>
                <w:color w:val="000000"/>
                <w:lang w:eastAsia="en-GB"/>
              </w:rPr>
              <w:t>r</w:t>
            </w:r>
            <w:r w:rsidRPr="005C5E5A">
              <w:rPr>
                <w:rFonts w:asciiTheme="majorHAnsi" w:eastAsia="Times New Roman" w:hAnsiTheme="majorHAnsi" w:cstheme="majorHAnsi"/>
                <w:color w:val="000000"/>
                <w:lang w:eastAsia="en-GB"/>
              </w:rPr>
              <w:t xml:space="preserve"> </w:t>
            </w:r>
            <w:r>
              <w:rPr>
                <w:rFonts w:asciiTheme="majorHAnsi" w:eastAsia="Times New Roman" w:hAnsiTheme="majorHAnsi" w:cstheme="majorHAnsi"/>
                <w:color w:val="000000"/>
                <w:lang w:eastAsia="en-GB"/>
              </w:rPr>
              <w:t>available</w:t>
            </w:r>
            <w:r w:rsidRPr="005C5E5A">
              <w:rPr>
                <w:rFonts w:asciiTheme="majorHAnsi" w:eastAsia="Times New Roman" w:hAnsiTheme="majorHAnsi" w:cstheme="majorHAnsi"/>
                <w:color w:val="000000"/>
                <w:lang w:eastAsia="en-GB"/>
              </w:rPr>
              <w:t xml:space="preserve">  (number of countries)</w:t>
            </w:r>
          </w:p>
        </w:tc>
      </w:tr>
      <w:tr w:rsidR="004B7E21" w:rsidRPr="005C5E5A" w:rsidTr="0004396F">
        <w:trPr>
          <w:trHeight w:val="288"/>
        </w:trPr>
        <w:tc>
          <w:tcPr>
            <w:tcW w:w="2424" w:type="dxa"/>
            <w:tcBorders>
              <w:top w:val="single" w:sz="4" w:space="0" w:color="auto"/>
              <w:left w:val="single" w:sz="4" w:space="0" w:color="auto"/>
              <w:bottom w:val="single" w:sz="4" w:space="0" w:color="auto"/>
              <w:right w:val="nil"/>
            </w:tcBorders>
            <w:shd w:val="clear" w:color="000000" w:fill="C6E0B4"/>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 point change</w:t>
            </w:r>
          </w:p>
        </w:tc>
        <w:tc>
          <w:tcPr>
            <w:tcW w:w="552" w:type="dxa"/>
            <w:tcBorders>
              <w:top w:val="single" w:sz="4" w:space="0" w:color="auto"/>
              <w:left w:val="nil"/>
              <w:bottom w:val="single" w:sz="4" w:space="0" w:color="auto"/>
              <w:right w:val="nil"/>
            </w:tcBorders>
            <w:shd w:val="clear" w:color="000000" w:fill="C6E0B4"/>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&lt;-1</w:t>
            </w:r>
          </w:p>
        </w:tc>
        <w:tc>
          <w:tcPr>
            <w:tcW w:w="2686" w:type="dxa"/>
            <w:tcBorders>
              <w:top w:val="single" w:sz="4" w:space="0" w:color="auto"/>
              <w:left w:val="nil"/>
              <w:bottom w:val="single" w:sz="4" w:space="0" w:color="auto"/>
              <w:right w:val="nil"/>
            </w:tcBorders>
            <w:shd w:val="clear" w:color="000000" w:fill="C6E0B4"/>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minus 1 to plus 1</w:t>
            </w:r>
          </w:p>
        </w:tc>
        <w:tc>
          <w:tcPr>
            <w:tcW w:w="939" w:type="dxa"/>
            <w:tcBorders>
              <w:top w:val="single" w:sz="4" w:space="0" w:color="auto"/>
              <w:left w:val="nil"/>
              <w:bottom w:val="single" w:sz="4" w:space="0" w:color="auto"/>
              <w:right w:val="nil"/>
            </w:tcBorders>
            <w:shd w:val="clear" w:color="000000" w:fill="C6E0B4"/>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 to 5</w:t>
            </w:r>
          </w:p>
        </w:tc>
        <w:tc>
          <w:tcPr>
            <w:tcW w:w="1131" w:type="dxa"/>
            <w:tcBorders>
              <w:top w:val="single" w:sz="4" w:space="0" w:color="auto"/>
              <w:left w:val="nil"/>
              <w:bottom w:val="single" w:sz="4" w:space="0" w:color="auto"/>
              <w:right w:val="nil"/>
            </w:tcBorders>
            <w:shd w:val="clear" w:color="000000" w:fill="C6E0B4"/>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6 to 10</w:t>
            </w:r>
          </w:p>
        </w:tc>
        <w:tc>
          <w:tcPr>
            <w:tcW w:w="628" w:type="dxa"/>
            <w:tcBorders>
              <w:top w:val="single" w:sz="4" w:space="0" w:color="auto"/>
              <w:left w:val="nil"/>
              <w:bottom w:val="single" w:sz="4" w:space="0" w:color="auto"/>
              <w:right w:val="single" w:sz="4" w:space="0" w:color="auto"/>
            </w:tcBorders>
            <w:shd w:val="clear" w:color="000000" w:fill="C6E0B4"/>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10&gt;</w:t>
            </w:r>
          </w:p>
        </w:tc>
      </w:tr>
      <w:tr w:rsidR="004B7E21" w:rsidRPr="005C5E5A" w:rsidTr="0004396F">
        <w:trPr>
          <w:trHeight w:val="288"/>
        </w:trPr>
        <w:tc>
          <w:tcPr>
            <w:tcW w:w="2424" w:type="dxa"/>
            <w:tcBorders>
              <w:top w:val="nil"/>
              <w:left w:val="single" w:sz="4" w:space="0" w:color="auto"/>
              <w:bottom w:val="nil"/>
              <w:right w:val="nil"/>
            </w:tcBorders>
            <w:shd w:val="clear" w:color="000000" w:fill="F2F2F2"/>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 xml:space="preserve">Primary </w:t>
            </w:r>
          </w:p>
        </w:tc>
        <w:tc>
          <w:tcPr>
            <w:tcW w:w="552"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2</w:t>
            </w:r>
          </w:p>
        </w:tc>
        <w:tc>
          <w:tcPr>
            <w:tcW w:w="2686"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11</w:t>
            </w:r>
          </w:p>
        </w:tc>
        <w:tc>
          <w:tcPr>
            <w:tcW w:w="939"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13</w:t>
            </w:r>
          </w:p>
        </w:tc>
        <w:tc>
          <w:tcPr>
            <w:tcW w:w="1131"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5</w:t>
            </w:r>
          </w:p>
        </w:tc>
        <w:tc>
          <w:tcPr>
            <w:tcW w:w="628" w:type="dxa"/>
            <w:tcBorders>
              <w:top w:val="nil"/>
              <w:left w:val="nil"/>
              <w:bottom w:val="nil"/>
              <w:right w:val="single" w:sz="4" w:space="0" w:color="auto"/>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6</w:t>
            </w:r>
          </w:p>
        </w:tc>
      </w:tr>
      <w:tr w:rsidR="004B7E21" w:rsidRPr="005C5E5A" w:rsidTr="0004396F">
        <w:trPr>
          <w:trHeight w:val="300"/>
        </w:trPr>
        <w:tc>
          <w:tcPr>
            <w:tcW w:w="2424" w:type="dxa"/>
            <w:tcBorders>
              <w:top w:val="nil"/>
              <w:left w:val="single" w:sz="4" w:space="0" w:color="auto"/>
              <w:bottom w:val="single" w:sz="4" w:space="0" w:color="auto"/>
              <w:right w:val="nil"/>
            </w:tcBorders>
            <w:shd w:val="clear" w:color="000000" w:fill="F2F2F2"/>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Secondary</w:t>
            </w:r>
          </w:p>
        </w:tc>
        <w:tc>
          <w:tcPr>
            <w:tcW w:w="552" w:type="dxa"/>
            <w:tcBorders>
              <w:top w:val="nil"/>
              <w:left w:val="nil"/>
              <w:bottom w:val="single" w:sz="4" w:space="0" w:color="auto"/>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10</w:t>
            </w:r>
          </w:p>
        </w:tc>
        <w:tc>
          <w:tcPr>
            <w:tcW w:w="2686" w:type="dxa"/>
            <w:tcBorders>
              <w:top w:val="nil"/>
              <w:left w:val="nil"/>
              <w:bottom w:val="single" w:sz="4" w:space="0" w:color="auto"/>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3</w:t>
            </w:r>
          </w:p>
        </w:tc>
        <w:tc>
          <w:tcPr>
            <w:tcW w:w="939" w:type="dxa"/>
            <w:tcBorders>
              <w:top w:val="nil"/>
              <w:left w:val="nil"/>
              <w:bottom w:val="single" w:sz="4" w:space="0" w:color="auto"/>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5</w:t>
            </w:r>
          </w:p>
        </w:tc>
        <w:tc>
          <w:tcPr>
            <w:tcW w:w="1131" w:type="dxa"/>
            <w:tcBorders>
              <w:top w:val="nil"/>
              <w:left w:val="nil"/>
              <w:bottom w:val="single" w:sz="4" w:space="0" w:color="auto"/>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6</w:t>
            </w:r>
          </w:p>
        </w:tc>
        <w:tc>
          <w:tcPr>
            <w:tcW w:w="628" w:type="dxa"/>
            <w:tcBorders>
              <w:top w:val="nil"/>
              <w:left w:val="nil"/>
              <w:bottom w:val="single" w:sz="4" w:space="0" w:color="auto"/>
              <w:right w:val="single" w:sz="4" w:space="0" w:color="auto"/>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3</w:t>
            </w:r>
          </w:p>
        </w:tc>
      </w:tr>
    </w:tbl>
    <w:p w:rsidR="004B7E21" w:rsidRDefault="004B7E21" w:rsidP="004B7E21">
      <w:pPr>
        <w:rPr>
          <w:rFonts w:asciiTheme="majorHAnsi" w:hAnsiTheme="majorHAnsi" w:cstheme="majorHAnsi"/>
          <w:i/>
          <w:sz w:val="28"/>
          <w:szCs w:val="28"/>
        </w:rPr>
      </w:pPr>
    </w:p>
    <w:p w:rsidR="004B7E21" w:rsidRDefault="004B7E21">
      <w:pPr>
        <w:rPr>
          <w:rFonts w:asciiTheme="majorHAnsi" w:hAnsiTheme="majorHAnsi" w:cstheme="majorHAnsi"/>
          <w:sz w:val="28"/>
          <w:szCs w:val="28"/>
        </w:rPr>
      </w:pPr>
      <w:r>
        <w:rPr>
          <w:rFonts w:asciiTheme="majorHAnsi" w:hAnsiTheme="majorHAnsi" w:cstheme="majorHAnsi"/>
          <w:sz w:val="28"/>
          <w:szCs w:val="28"/>
        </w:rPr>
        <w:br w:type="page"/>
      </w:r>
    </w:p>
    <w:tbl>
      <w:tblPr>
        <w:tblW w:w="9360" w:type="dxa"/>
        <w:tblLook w:val="04A0" w:firstRow="1" w:lastRow="0" w:firstColumn="1" w:lastColumn="0" w:noHBand="0" w:noVBand="1"/>
      </w:tblPr>
      <w:tblGrid>
        <w:gridCol w:w="1652"/>
        <w:gridCol w:w="1028"/>
        <w:gridCol w:w="1289"/>
        <w:gridCol w:w="862"/>
        <w:gridCol w:w="1287"/>
        <w:gridCol w:w="940"/>
        <w:gridCol w:w="1410"/>
        <w:gridCol w:w="892"/>
      </w:tblGrid>
      <w:tr w:rsidR="004B7E21" w:rsidRPr="005C5E5A" w:rsidTr="0004396F">
        <w:trPr>
          <w:trHeight w:val="288"/>
        </w:trPr>
        <w:tc>
          <w:tcPr>
            <w:tcW w:w="8468" w:type="dxa"/>
            <w:gridSpan w:val="7"/>
            <w:tcBorders>
              <w:top w:val="nil"/>
              <w:left w:val="nil"/>
              <w:bottom w:val="nil"/>
              <w:right w:val="nil"/>
            </w:tcBorders>
            <w:shd w:val="clear" w:color="auto" w:fill="auto"/>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Pr>
                <w:rFonts w:asciiTheme="majorHAnsi" w:eastAsia="Times New Roman" w:hAnsiTheme="majorHAnsi" w:cstheme="majorHAnsi"/>
                <w:color w:val="000000"/>
                <w:lang w:eastAsia="en-GB"/>
              </w:rPr>
              <w:t>Table 4</w:t>
            </w:r>
            <w:r w:rsidRPr="005C5E5A">
              <w:rPr>
                <w:rFonts w:asciiTheme="majorHAnsi" w:eastAsia="Times New Roman" w:hAnsiTheme="majorHAnsi" w:cstheme="majorHAnsi"/>
                <w:color w:val="000000"/>
                <w:lang w:eastAsia="en-GB"/>
              </w:rPr>
              <w:t xml:space="preserve">: Share of female students in total private sector enrolments and gender </w:t>
            </w:r>
          </w:p>
        </w:tc>
        <w:tc>
          <w:tcPr>
            <w:tcW w:w="892" w:type="dxa"/>
            <w:tcBorders>
              <w:top w:val="nil"/>
              <w:left w:val="nil"/>
              <w:bottom w:val="nil"/>
              <w:right w:val="nil"/>
            </w:tcBorders>
            <w:shd w:val="clear" w:color="auto" w:fill="auto"/>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p>
        </w:tc>
      </w:tr>
      <w:tr w:rsidR="004B7E21" w:rsidRPr="005C5E5A" w:rsidTr="0004396F">
        <w:trPr>
          <w:trHeight w:val="300"/>
        </w:trPr>
        <w:tc>
          <w:tcPr>
            <w:tcW w:w="9360" w:type="dxa"/>
            <w:gridSpan w:val="8"/>
            <w:tcBorders>
              <w:top w:val="nil"/>
              <w:left w:val="nil"/>
              <w:bottom w:val="nil"/>
              <w:right w:val="nil"/>
            </w:tcBorders>
            <w:shd w:val="clear" w:color="auto" w:fill="auto"/>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parity index</w:t>
            </w:r>
            <w:r>
              <w:rPr>
                <w:rFonts w:asciiTheme="majorHAnsi" w:eastAsia="Times New Roman" w:hAnsiTheme="majorHAnsi" w:cstheme="majorHAnsi"/>
                <w:color w:val="000000"/>
                <w:lang w:eastAsia="en-GB"/>
              </w:rPr>
              <w:t>es</w:t>
            </w:r>
            <w:r w:rsidRPr="005C5E5A">
              <w:rPr>
                <w:rFonts w:asciiTheme="majorHAnsi" w:eastAsia="Times New Roman" w:hAnsiTheme="majorHAnsi" w:cstheme="majorHAnsi"/>
                <w:color w:val="000000"/>
                <w:lang w:eastAsia="en-GB"/>
              </w:rPr>
              <w:t xml:space="preserve"> for private </w:t>
            </w:r>
            <w:r>
              <w:rPr>
                <w:rFonts w:asciiTheme="majorHAnsi" w:eastAsia="Times New Roman" w:hAnsiTheme="majorHAnsi" w:cstheme="majorHAnsi"/>
                <w:color w:val="000000"/>
                <w:lang w:eastAsia="en-GB"/>
              </w:rPr>
              <w:t xml:space="preserve">schools </w:t>
            </w:r>
            <w:r w:rsidRPr="005C5E5A">
              <w:rPr>
                <w:rFonts w:asciiTheme="majorHAnsi" w:eastAsia="Times New Roman" w:hAnsiTheme="majorHAnsi" w:cstheme="majorHAnsi"/>
                <w:color w:val="000000"/>
                <w:lang w:eastAsia="en-GB"/>
              </w:rPr>
              <w:t>and all primary and secondary school enrolments, 2017-2019</w:t>
            </w:r>
          </w:p>
        </w:tc>
      </w:tr>
      <w:tr w:rsidR="004B7E21" w:rsidRPr="005C5E5A" w:rsidTr="0004396F">
        <w:trPr>
          <w:trHeight w:val="288"/>
        </w:trPr>
        <w:tc>
          <w:tcPr>
            <w:tcW w:w="1652" w:type="dxa"/>
            <w:tcBorders>
              <w:top w:val="single" w:sz="8" w:space="0" w:color="auto"/>
              <w:left w:val="single" w:sz="8" w:space="0" w:color="auto"/>
              <w:bottom w:val="nil"/>
              <w:right w:val="nil"/>
            </w:tcBorders>
            <w:shd w:val="clear" w:color="000000" w:fill="C6E0B4"/>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 </w:t>
            </w:r>
          </w:p>
        </w:tc>
        <w:tc>
          <w:tcPr>
            <w:tcW w:w="2317" w:type="dxa"/>
            <w:gridSpan w:val="2"/>
            <w:tcBorders>
              <w:top w:val="single" w:sz="8" w:space="0" w:color="auto"/>
              <w:left w:val="nil"/>
              <w:bottom w:val="nil"/>
              <w:right w:val="nil"/>
            </w:tcBorders>
            <w:shd w:val="clear" w:color="000000" w:fill="C6E0B4"/>
            <w:noWrap/>
            <w:vAlign w:val="bottom"/>
            <w:hideMark/>
          </w:tcPr>
          <w:p w:rsidR="004B7E21" w:rsidRPr="005C5E5A" w:rsidRDefault="004B7E21" w:rsidP="0004396F">
            <w:pPr>
              <w:spacing w:after="0" w:line="240" w:lineRule="auto"/>
              <w:ind w:firstLineChars="400" w:firstLine="880"/>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 female</w:t>
            </w:r>
          </w:p>
        </w:tc>
        <w:tc>
          <w:tcPr>
            <w:tcW w:w="2149" w:type="dxa"/>
            <w:gridSpan w:val="2"/>
            <w:tcBorders>
              <w:top w:val="single" w:sz="8" w:space="0" w:color="auto"/>
              <w:left w:val="single" w:sz="4" w:space="0" w:color="auto"/>
              <w:bottom w:val="nil"/>
              <w:right w:val="nil"/>
            </w:tcBorders>
            <w:shd w:val="clear" w:color="000000" w:fill="C6E0B4"/>
            <w:noWrap/>
            <w:vAlign w:val="bottom"/>
            <w:hideMark/>
          </w:tcPr>
          <w:p w:rsidR="004B7E21" w:rsidRPr="005C5E5A" w:rsidRDefault="004B7E21" w:rsidP="0004396F">
            <w:pPr>
              <w:spacing w:after="0" w:line="240" w:lineRule="auto"/>
              <w:ind w:firstLineChars="300" w:firstLine="660"/>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GPI primary</w:t>
            </w:r>
          </w:p>
        </w:tc>
        <w:tc>
          <w:tcPr>
            <w:tcW w:w="2350" w:type="dxa"/>
            <w:gridSpan w:val="2"/>
            <w:tcBorders>
              <w:top w:val="single" w:sz="8" w:space="0" w:color="auto"/>
              <w:left w:val="nil"/>
              <w:bottom w:val="nil"/>
              <w:right w:val="single" w:sz="8" w:space="0" w:color="000000"/>
            </w:tcBorders>
            <w:shd w:val="clear" w:color="000000" w:fill="C6E0B4"/>
            <w:noWrap/>
            <w:vAlign w:val="bottom"/>
            <w:hideMark/>
          </w:tcPr>
          <w:p w:rsidR="004B7E21" w:rsidRPr="005C5E5A" w:rsidRDefault="004B7E21" w:rsidP="0004396F">
            <w:pPr>
              <w:spacing w:after="0" w:line="240" w:lineRule="auto"/>
              <w:ind w:firstLineChars="300" w:firstLine="660"/>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GPI secondary</w:t>
            </w:r>
          </w:p>
        </w:tc>
        <w:tc>
          <w:tcPr>
            <w:tcW w:w="892" w:type="dxa"/>
            <w:tcBorders>
              <w:top w:val="nil"/>
              <w:left w:val="nil"/>
              <w:bottom w:val="nil"/>
              <w:right w:val="nil"/>
            </w:tcBorders>
            <w:shd w:val="clear" w:color="auto" w:fill="auto"/>
            <w:noWrap/>
            <w:vAlign w:val="bottom"/>
            <w:hideMark/>
          </w:tcPr>
          <w:p w:rsidR="004B7E21" w:rsidRPr="005C5E5A" w:rsidRDefault="004B7E21" w:rsidP="0004396F">
            <w:pPr>
              <w:spacing w:after="0" w:line="240" w:lineRule="auto"/>
              <w:ind w:firstLineChars="300" w:firstLine="660"/>
              <w:rPr>
                <w:rFonts w:asciiTheme="majorHAnsi" w:eastAsia="Times New Roman" w:hAnsiTheme="majorHAnsi" w:cstheme="majorHAnsi"/>
                <w:color w:val="000000"/>
                <w:lang w:eastAsia="en-GB"/>
              </w:rPr>
            </w:pPr>
          </w:p>
        </w:tc>
      </w:tr>
      <w:tr w:rsidR="004B7E21" w:rsidRPr="005C5E5A" w:rsidTr="0004396F">
        <w:trPr>
          <w:trHeight w:val="288"/>
        </w:trPr>
        <w:tc>
          <w:tcPr>
            <w:tcW w:w="1652" w:type="dxa"/>
            <w:tcBorders>
              <w:top w:val="nil"/>
              <w:left w:val="single" w:sz="8" w:space="0" w:color="auto"/>
              <w:bottom w:val="single" w:sz="4" w:space="0" w:color="auto"/>
              <w:right w:val="nil"/>
            </w:tcBorders>
            <w:shd w:val="clear" w:color="000000" w:fill="C6E0B4"/>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Country</w:t>
            </w:r>
          </w:p>
        </w:tc>
        <w:tc>
          <w:tcPr>
            <w:tcW w:w="1028" w:type="dxa"/>
            <w:tcBorders>
              <w:top w:val="nil"/>
              <w:left w:val="nil"/>
              <w:bottom w:val="single" w:sz="4" w:space="0" w:color="auto"/>
              <w:right w:val="nil"/>
            </w:tcBorders>
            <w:shd w:val="clear" w:color="000000" w:fill="C6E0B4"/>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Primary</w:t>
            </w:r>
          </w:p>
        </w:tc>
        <w:tc>
          <w:tcPr>
            <w:tcW w:w="1289" w:type="dxa"/>
            <w:tcBorders>
              <w:top w:val="nil"/>
              <w:left w:val="nil"/>
              <w:bottom w:val="single" w:sz="4" w:space="0" w:color="auto"/>
              <w:right w:val="nil"/>
            </w:tcBorders>
            <w:shd w:val="clear" w:color="000000" w:fill="C6E0B4"/>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Secondary</w:t>
            </w:r>
          </w:p>
        </w:tc>
        <w:tc>
          <w:tcPr>
            <w:tcW w:w="862" w:type="dxa"/>
            <w:tcBorders>
              <w:top w:val="nil"/>
              <w:left w:val="single" w:sz="4" w:space="0" w:color="auto"/>
              <w:bottom w:val="single" w:sz="4" w:space="0" w:color="auto"/>
              <w:right w:val="nil"/>
            </w:tcBorders>
            <w:shd w:val="clear" w:color="000000" w:fill="C6E0B4"/>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All</w:t>
            </w:r>
          </w:p>
        </w:tc>
        <w:tc>
          <w:tcPr>
            <w:tcW w:w="1287" w:type="dxa"/>
            <w:tcBorders>
              <w:top w:val="nil"/>
              <w:left w:val="nil"/>
              <w:bottom w:val="single" w:sz="4" w:space="0" w:color="auto"/>
              <w:right w:val="nil"/>
            </w:tcBorders>
            <w:shd w:val="clear" w:color="000000" w:fill="C6E0B4"/>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Private</w:t>
            </w:r>
          </w:p>
        </w:tc>
        <w:tc>
          <w:tcPr>
            <w:tcW w:w="940" w:type="dxa"/>
            <w:tcBorders>
              <w:top w:val="nil"/>
              <w:left w:val="nil"/>
              <w:bottom w:val="single" w:sz="4" w:space="0" w:color="auto"/>
              <w:right w:val="nil"/>
            </w:tcBorders>
            <w:shd w:val="clear" w:color="000000" w:fill="C6E0B4"/>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All</w:t>
            </w:r>
          </w:p>
        </w:tc>
        <w:tc>
          <w:tcPr>
            <w:tcW w:w="1410" w:type="dxa"/>
            <w:tcBorders>
              <w:top w:val="nil"/>
              <w:left w:val="nil"/>
              <w:bottom w:val="single" w:sz="4" w:space="0" w:color="auto"/>
              <w:right w:val="single" w:sz="8" w:space="0" w:color="auto"/>
            </w:tcBorders>
            <w:shd w:val="clear" w:color="000000" w:fill="C6E0B4"/>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Private</w:t>
            </w:r>
          </w:p>
        </w:tc>
        <w:tc>
          <w:tcPr>
            <w:tcW w:w="892" w:type="dxa"/>
            <w:tcBorders>
              <w:top w:val="nil"/>
              <w:left w:val="nil"/>
              <w:bottom w:val="nil"/>
              <w:right w:val="nil"/>
            </w:tcBorders>
            <w:shd w:val="clear" w:color="auto" w:fill="auto"/>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p>
        </w:tc>
      </w:tr>
      <w:tr w:rsidR="004B7E21" w:rsidRPr="005C5E5A" w:rsidTr="0004396F">
        <w:trPr>
          <w:trHeight w:val="288"/>
        </w:trPr>
        <w:tc>
          <w:tcPr>
            <w:tcW w:w="1652" w:type="dxa"/>
            <w:tcBorders>
              <w:top w:val="nil"/>
              <w:left w:val="single" w:sz="8" w:space="0" w:color="auto"/>
              <w:bottom w:val="nil"/>
              <w:right w:val="nil"/>
            </w:tcBorders>
            <w:shd w:val="clear" w:color="000000" w:fill="F2F2F2"/>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DR Congo</w:t>
            </w:r>
          </w:p>
        </w:tc>
        <w:tc>
          <w:tcPr>
            <w:tcW w:w="1028"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49</w:t>
            </w:r>
          </w:p>
        </w:tc>
        <w:tc>
          <w:tcPr>
            <w:tcW w:w="1289"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50</w:t>
            </w:r>
          </w:p>
        </w:tc>
        <w:tc>
          <w:tcPr>
            <w:tcW w:w="862" w:type="dxa"/>
            <w:tcBorders>
              <w:top w:val="nil"/>
              <w:left w:val="single" w:sz="4" w:space="0" w:color="auto"/>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1.00</w:t>
            </w:r>
          </w:p>
        </w:tc>
        <w:tc>
          <w:tcPr>
            <w:tcW w:w="1287"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0.96</w:t>
            </w:r>
          </w:p>
        </w:tc>
        <w:tc>
          <w:tcPr>
            <w:tcW w:w="940"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1.03</w:t>
            </w:r>
          </w:p>
        </w:tc>
        <w:tc>
          <w:tcPr>
            <w:tcW w:w="1410" w:type="dxa"/>
            <w:tcBorders>
              <w:top w:val="nil"/>
              <w:left w:val="nil"/>
              <w:bottom w:val="nil"/>
              <w:right w:val="single" w:sz="8" w:space="0" w:color="auto"/>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1.00</w:t>
            </w:r>
          </w:p>
        </w:tc>
        <w:tc>
          <w:tcPr>
            <w:tcW w:w="892" w:type="dxa"/>
            <w:tcBorders>
              <w:top w:val="nil"/>
              <w:left w:val="nil"/>
              <w:bottom w:val="nil"/>
              <w:right w:val="nil"/>
            </w:tcBorders>
            <w:shd w:val="clear" w:color="auto" w:fill="auto"/>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p>
        </w:tc>
      </w:tr>
      <w:tr w:rsidR="004B7E21" w:rsidRPr="005C5E5A" w:rsidTr="0004396F">
        <w:trPr>
          <w:trHeight w:val="288"/>
        </w:trPr>
        <w:tc>
          <w:tcPr>
            <w:tcW w:w="1652" w:type="dxa"/>
            <w:tcBorders>
              <w:top w:val="nil"/>
              <w:left w:val="single" w:sz="8" w:space="0" w:color="auto"/>
              <w:bottom w:val="nil"/>
              <w:right w:val="nil"/>
            </w:tcBorders>
            <w:shd w:val="clear" w:color="000000" w:fill="F2F2F2"/>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Ghana</w:t>
            </w:r>
          </w:p>
        </w:tc>
        <w:tc>
          <w:tcPr>
            <w:tcW w:w="1028"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50</w:t>
            </w:r>
          </w:p>
        </w:tc>
        <w:tc>
          <w:tcPr>
            <w:tcW w:w="1289"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53</w:t>
            </w:r>
          </w:p>
        </w:tc>
        <w:tc>
          <w:tcPr>
            <w:tcW w:w="862" w:type="dxa"/>
            <w:tcBorders>
              <w:top w:val="nil"/>
              <w:left w:val="single" w:sz="4" w:space="0" w:color="auto"/>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1.01</w:t>
            </w:r>
          </w:p>
        </w:tc>
        <w:tc>
          <w:tcPr>
            <w:tcW w:w="1287"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1.00</w:t>
            </w:r>
          </w:p>
        </w:tc>
        <w:tc>
          <w:tcPr>
            <w:tcW w:w="940"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1.00</w:t>
            </w:r>
          </w:p>
        </w:tc>
        <w:tc>
          <w:tcPr>
            <w:tcW w:w="1410" w:type="dxa"/>
            <w:tcBorders>
              <w:top w:val="nil"/>
              <w:left w:val="nil"/>
              <w:bottom w:val="nil"/>
              <w:right w:val="single" w:sz="8" w:space="0" w:color="auto"/>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1.13</w:t>
            </w:r>
          </w:p>
        </w:tc>
        <w:tc>
          <w:tcPr>
            <w:tcW w:w="892" w:type="dxa"/>
            <w:tcBorders>
              <w:top w:val="nil"/>
              <w:left w:val="nil"/>
              <w:bottom w:val="nil"/>
              <w:right w:val="nil"/>
            </w:tcBorders>
            <w:shd w:val="clear" w:color="auto" w:fill="auto"/>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p>
        </w:tc>
      </w:tr>
      <w:tr w:rsidR="004B7E21" w:rsidRPr="005C5E5A" w:rsidTr="0004396F">
        <w:trPr>
          <w:trHeight w:val="288"/>
        </w:trPr>
        <w:tc>
          <w:tcPr>
            <w:tcW w:w="1652" w:type="dxa"/>
            <w:tcBorders>
              <w:top w:val="nil"/>
              <w:left w:val="single" w:sz="8" w:space="0" w:color="auto"/>
              <w:bottom w:val="nil"/>
              <w:right w:val="nil"/>
            </w:tcBorders>
            <w:shd w:val="clear" w:color="000000" w:fill="F2F2F2"/>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Guinea Bissau</w:t>
            </w:r>
          </w:p>
        </w:tc>
        <w:tc>
          <w:tcPr>
            <w:tcW w:w="1028"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51</w:t>
            </w:r>
          </w:p>
        </w:tc>
        <w:tc>
          <w:tcPr>
            <w:tcW w:w="1289"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50</w:t>
            </w:r>
          </w:p>
        </w:tc>
        <w:tc>
          <w:tcPr>
            <w:tcW w:w="862" w:type="dxa"/>
            <w:tcBorders>
              <w:top w:val="nil"/>
              <w:left w:val="single" w:sz="4" w:space="0" w:color="auto"/>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0.93</w:t>
            </w:r>
          </w:p>
        </w:tc>
        <w:tc>
          <w:tcPr>
            <w:tcW w:w="1287"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1.04</w:t>
            </w:r>
          </w:p>
        </w:tc>
        <w:tc>
          <w:tcPr>
            <w:tcW w:w="940"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na</w:t>
            </w:r>
          </w:p>
        </w:tc>
        <w:tc>
          <w:tcPr>
            <w:tcW w:w="1410" w:type="dxa"/>
            <w:tcBorders>
              <w:top w:val="nil"/>
              <w:left w:val="nil"/>
              <w:bottom w:val="nil"/>
              <w:right w:val="single" w:sz="8" w:space="0" w:color="auto"/>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1.04</w:t>
            </w:r>
          </w:p>
        </w:tc>
        <w:tc>
          <w:tcPr>
            <w:tcW w:w="892" w:type="dxa"/>
            <w:tcBorders>
              <w:top w:val="nil"/>
              <w:left w:val="nil"/>
              <w:bottom w:val="nil"/>
              <w:right w:val="nil"/>
            </w:tcBorders>
            <w:shd w:val="clear" w:color="auto" w:fill="auto"/>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p>
        </w:tc>
      </w:tr>
      <w:tr w:rsidR="004B7E21" w:rsidRPr="005C5E5A" w:rsidTr="0004396F">
        <w:trPr>
          <w:trHeight w:val="288"/>
        </w:trPr>
        <w:tc>
          <w:tcPr>
            <w:tcW w:w="1652" w:type="dxa"/>
            <w:tcBorders>
              <w:top w:val="nil"/>
              <w:left w:val="single" w:sz="8" w:space="0" w:color="auto"/>
              <w:bottom w:val="nil"/>
              <w:right w:val="nil"/>
            </w:tcBorders>
            <w:shd w:val="clear" w:color="000000" w:fill="F2F2F2"/>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Lesotho</w:t>
            </w:r>
          </w:p>
        </w:tc>
        <w:tc>
          <w:tcPr>
            <w:tcW w:w="1028"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51</w:t>
            </w:r>
          </w:p>
        </w:tc>
        <w:tc>
          <w:tcPr>
            <w:tcW w:w="1289"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63</w:t>
            </w:r>
          </w:p>
        </w:tc>
        <w:tc>
          <w:tcPr>
            <w:tcW w:w="862" w:type="dxa"/>
            <w:tcBorders>
              <w:top w:val="nil"/>
              <w:left w:val="single" w:sz="4" w:space="0" w:color="auto"/>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0.95</w:t>
            </w:r>
          </w:p>
        </w:tc>
        <w:tc>
          <w:tcPr>
            <w:tcW w:w="1287"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1.04</w:t>
            </w:r>
          </w:p>
        </w:tc>
        <w:tc>
          <w:tcPr>
            <w:tcW w:w="940"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1.26</w:t>
            </w:r>
          </w:p>
        </w:tc>
        <w:tc>
          <w:tcPr>
            <w:tcW w:w="1410" w:type="dxa"/>
            <w:tcBorders>
              <w:top w:val="nil"/>
              <w:left w:val="nil"/>
              <w:bottom w:val="nil"/>
              <w:right w:val="single" w:sz="8" w:space="0" w:color="auto"/>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1.34</w:t>
            </w:r>
          </w:p>
        </w:tc>
        <w:tc>
          <w:tcPr>
            <w:tcW w:w="892" w:type="dxa"/>
            <w:tcBorders>
              <w:top w:val="nil"/>
              <w:left w:val="nil"/>
              <w:bottom w:val="nil"/>
              <w:right w:val="nil"/>
            </w:tcBorders>
            <w:shd w:val="clear" w:color="auto" w:fill="auto"/>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p>
        </w:tc>
      </w:tr>
      <w:tr w:rsidR="004B7E21" w:rsidRPr="005C5E5A" w:rsidTr="0004396F">
        <w:trPr>
          <w:trHeight w:val="288"/>
        </w:trPr>
        <w:tc>
          <w:tcPr>
            <w:tcW w:w="1652" w:type="dxa"/>
            <w:tcBorders>
              <w:top w:val="nil"/>
              <w:left w:val="single" w:sz="8" w:space="0" w:color="auto"/>
              <w:bottom w:val="nil"/>
              <w:right w:val="nil"/>
            </w:tcBorders>
            <w:shd w:val="clear" w:color="000000" w:fill="F2F2F2"/>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Madagascar</w:t>
            </w:r>
          </w:p>
        </w:tc>
        <w:tc>
          <w:tcPr>
            <w:tcW w:w="1028"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50</w:t>
            </w:r>
          </w:p>
        </w:tc>
        <w:tc>
          <w:tcPr>
            <w:tcW w:w="1289"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55</w:t>
            </w:r>
          </w:p>
        </w:tc>
        <w:tc>
          <w:tcPr>
            <w:tcW w:w="862" w:type="dxa"/>
            <w:tcBorders>
              <w:top w:val="nil"/>
              <w:left w:val="single" w:sz="4" w:space="0" w:color="auto"/>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1.01</w:t>
            </w:r>
          </w:p>
        </w:tc>
        <w:tc>
          <w:tcPr>
            <w:tcW w:w="1287"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1.00</w:t>
            </w:r>
          </w:p>
        </w:tc>
        <w:tc>
          <w:tcPr>
            <w:tcW w:w="940"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1.03</w:t>
            </w:r>
          </w:p>
        </w:tc>
        <w:tc>
          <w:tcPr>
            <w:tcW w:w="1410" w:type="dxa"/>
            <w:tcBorders>
              <w:top w:val="nil"/>
              <w:left w:val="nil"/>
              <w:bottom w:val="nil"/>
              <w:right w:val="single" w:sz="8" w:space="0" w:color="auto"/>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1.22</w:t>
            </w:r>
          </w:p>
        </w:tc>
        <w:tc>
          <w:tcPr>
            <w:tcW w:w="892" w:type="dxa"/>
            <w:tcBorders>
              <w:top w:val="nil"/>
              <w:left w:val="nil"/>
              <w:bottom w:val="nil"/>
              <w:right w:val="nil"/>
            </w:tcBorders>
            <w:shd w:val="clear" w:color="auto" w:fill="auto"/>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p>
        </w:tc>
      </w:tr>
      <w:tr w:rsidR="004B7E21" w:rsidRPr="005C5E5A" w:rsidTr="0004396F">
        <w:trPr>
          <w:trHeight w:val="288"/>
        </w:trPr>
        <w:tc>
          <w:tcPr>
            <w:tcW w:w="1652" w:type="dxa"/>
            <w:tcBorders>
              <w:top w:val="nil"/>
              <w:left w:val="single" w:sz="8" w:space="0" w:color="auto"/>
              <w:bottom w:val="nil"/>
              <w:right w:val="nil"/>
            </w:tcBorders>
            <w:shd w:val="clear" w:color="000000" w:fill="F2F2F2"/>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Sierra Leone</w:t>
            </w:r>
          </w:p>
        </w:tc>
        <w:tc>
          <w:tcPr>
            <w:tcW w:w="1028"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52</w:t>
            </w:r>
          </w:p>
        </w:tc>
        <w:tc>
          <w:tcPr>
            <w:tcW w:w="1289"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54</w:t>
            </w:r>
          </w:p>
        </w:tc>
        <w:tc>
          <w:tcPr>
            <w:tcW w:w="862" w:type="dxa"/>
            <w:tcBorders>
              <w:top w:val="nil"/>
              <w:left w:val="single" w:sz="4" w:space="0" w:color="auto"/>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1.03</w:t>
            </w:r>
          </w:p>
        </w:tc>
        <w:tc>
          <w:tcPr>
            <w:tcW w:w="1287"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1.08</w:t>
            </w:r>
          </w:p>
        </w:tc>
        <w:tc>
          <w:tcPr>
            <w:tcW w:w="940"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0.97</w:t>
            </w:r>
          </w:p>
        </w:tc>
        <w:tc>
          <w:tcPr>
            <w:tcW w:w="1410" w:type="dxa"/>
            <w:tcBorders>
              <w:top w:val="nil"/>
              <w:left w:val="nil"/>
              <w:bottom w:val="nil"/>
              <w:right w:val="single" w:sz="8" w:space="0" w:color="auto"/>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1.12</w:t>
            </w:r>
          </w:p>
        </w:tc>
        <w:tc>
          <w:tcPr>
            <w:tcW w:w="892" w:type="dxa"/>
            <w:tcBorders>
              <w:top w:val="nil"/>
              <w:left w:val="nil"/>
              <w:bottom w:val="nil"/>
              <w:right w:val="nil"/>
            </w:tcBorders>
            <w:shd w:val="clear" w:color="auto" w:fill="auto"/>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p>
        </w:tc>
      </w:tr>
      <w:tr w:rsidR="004B7E21" w:rsidRPr="005C5E5A" w:rsidTr="0004396F">
        <w:trPr>
          <w:trHeight w:val="300"/>
        </w:trPr>
        <w:tc>
          <w:tcPr>
            <w:tcW w:w="1652" w:type="dxa"/>
            <w:tcBorders>
              <w:top w:val="nil"/>
              <w:left w:val="single" w:sz="8" w:space="0" w:color="auto"/>
              <w:bottom w:val="single" w:sz="8" w:space="0" w:color="auto"/>
              <w:right w:val="nil"/>
            </w:tcBorders>
            <w:shd w:val="clear" w:color="000000" w:fill="F2F2F2"/>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Zimbabwe</w:t>
            </w:r>
          </w:p>
        </w:tc>
        <w:tc>
          <w:tcPr>
            <w:tcW w:w="1028" w:type="dxa"/>
            <w:tcBorders>
              <w:top w:val="nil"/>
              <w:left w:val="nil"/>
              <w:bottom w:val="single" w:sz="8" w:space="0" w:color="auto"/>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49</w:t>
            </w:r>
          </w:p>
        </w:tc>
        <w:tc>
          <w:tcPr>
            <w:tcW w:w="1289" w:type="dxa"/>
            <w:tcBorders>
              <w:top w:val="nil"/>
              <w:left w:val="nil"/>
              <w:bottom w:val="single" w:sz="8" w:space="0" w:color="auto"/>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56</w:t>
            </w:r>
          </w:p>
        </w:tc>
        <w:tc>
          <w:tcPr>
            <w:tcW w:w="862" w:type="dxa"/>
            <w:tcBorders>
              <w:top w:val="nil"/>
              <w:left w:val="single" w:sz="4" w:space="0" w:color="auto"/>
              <w:bottom w:val="single" w:sz="8" w:space="0" w:color="auto"/>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0.98</w:t>
            </w:r>
          </w:p>
        </w:tc>
        <w:tc>
          <w:tcPr>
            <w:tcW w:w="1287" w:type="dxa"/>
            <w:tcBorders>
              <w:top w:val="nil"/>
              <w:left w:val="nil"/>
              <w:bottom w:val="single" w:sz="8" w:space="0" w:color="auto"/>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0.96</w:t>
            </w:r>
          </w:p>
        </w:tc>
        <w:tc>
          <w:tcPr>
            <w:tcW w:w="940" w:type="dxa"/>
            <w:tcBorders>
              <w:top w:val="nil"/>
              <w:left w:val="nil"/>
              <w:bottom w:val="single" w:sz="8" w:space="0" w:color="auto"/>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0.99</w:t>
            </w:r>
          </w:p>
        </w:tc>
        <w:tc>
          <w:tcPr>
            <w:tcW w:w="1410" w:type="dxa"/>
            <w:tcBorders>
              <w:top w:val="nil"/>
              <w:left w:val="nil"/>
              <w:bottom w:val="single" w:sz="8" w:space="0" w:color="auto"/>
              <w:right w:val="single" w:sz="8" w:space="0" w:color="auto"/>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1.30</w:t>
            </w:r>
          </w:p>
        </w:tc>
        <w:tc>
          <w:tcPr>
            <w:tcW w:w="892" w:type="dxa"/>
            <w:tcBorders>
              <w:top w:val="nil"/>
              <w:left w:val="nil"/>
              <w:bottom w:val="nil"/>
              <w:right w:val="nil"/>
            </w:tcBorders>
            <w:shd w:val="clear" w:color="auto" w:fill="auto"/>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p>
        </w:tc>
      </w:tr>
    </w:tbl>
    <w:p w:rsidR="004B7E21" w:rsidRPr="005C5E5A" w:rsidRDefault="004B7E21" w:rsidP="004B7E21">
      <w:pPr>
        <w:jc w:val="both"/>
        <w:rPr>
          <w:rFonts w:asciiTheme="majorHAnsi" w:hAnsiTheme="majorHAnsi" w:cstheme="majorHAnsi"/>
          <w:sz w:val="28"/>
          <w:szCs w:val="28"/>
        </w:rPr>
      </w:pPr>
    </w:p>
    <w:p w:rsidR="004B7E21" w:rsidRDefault="004B7E21">
      <w:pPr>
        <w:rPr>
          <w:rFonts w:asciiTheme="majorHAnsi" w:hAnsiTheme="majorHAnsi" w:cstheme="majorHAnsi"/>
          <w:sz w:val="28"/>
          <w:szCs w:val="28"/>
        </w:rPr>
      </w:pPr>
      <w:r>
        <w:rPr>
          <w:rFonts w:asciiTheme="majorHAnsi" w:hAnsiTheme="majorHAnsi" w:cstheme="majorHAnsi"/>
          <w:sz w:val="28"/>
          <w:szCs w:val="28"/>
        </w:rPr>
        <w:br w:type="page"/>
      </w:r>
    </w:p>
    <w:tbl>
      <w:tblPr>
        <w:tblW w:w="9360" w:type="dxa"/>
        <w:tblLook w:val="04A0" w:firstRow="1" w:lastRow="0" w:firstColumn="1" w:lastColumn="0" w:noHBand="0" w:noVBand="1"/>
      </w:tblPr>
      <w:tblGrid>
        <w:gridCol w:w="2288"/>
        <w:gridCol w:w="2188"/>
        <w:gridCol w:w="1432"/>
        <w:gridCol w:w="2081"/>
        <w:gridCol w:w="1371"/>
      </w:tblGrid>
      <w:tr w:rsidR="004B7E21" w:rsidRPr="005C5E5A" w:rsidTr="0004396F">
        <w:trPr>
          <w:trHeight w:val="288"/>
        </w:trPr>
        <w:tc>
          <w:tcPr>
            <w:tcW w:w="9360" w:type="dxa"/>
            <w:gridSpan w:val="5"/>
            <w:tcBorders>
              <w:top w:val="nil"/>
              <w:left w:val="nil"/>
              <w:bottom w:val="nil"/>
              <w:right w:val="nil"/>
            </w:tcBorders>
            <w:shd w:val="clear" w:color="auto" w:fill="auto"/>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Pr>
                <w:rFonts w:asciiTheme="majorHAnsi" w:eastAsia="Times New Roman" w:hAnsiTheme="majorHAnsi" w:cstheme="majorHAnsi"/>
                <w:color w:val="000000"/>
                <w:lang w:eastAsia="en-GB"/>
              </w:rPr>
              <w:t>Table 5</w:t>
            </w:r>
            <w:r w:rsidRPr="005C5E5A">
              <w:rPr>
                <w:rFonts w:asciiTheme="majorHAnsi" w:eastAsia="Times New Roman" w:hAnsiTheme="majorHAnsi" w:cstheme="majorHAnsi"/>
                <w:color w:val="000000"/>
                <w:lang w:eastAsia="en-GB"/>
              </w:rPr>
              <w:t>: Private school students as a % of total primary and secondary school enrolments by gender,</w:t>
            </w:r>
          </w:p>
        </w:tc>
      </w:tr>
      <w:tr w:rsidR="004B7E21" w:rsidRPr="005C5E5A" w:rsidTr="0004396F">
        <w:trPr>
          <w:trHeight w:val="300"/>
        </w:trPr>
        <w:tc>
          <w:tcPr>
            <w:tcW w:w="7989" w:type="dxa"/>
            <w:gridSpan w:val="4"/>
            <w:tcBorders>
              <w:top w:val="nil"/>
              <w:left w:val="nil"/>
              <w:bottom w:val="nil"/>
              <w:right w:val="nil"/>
            </w:tcBorders>
            <w:shd w:val="clear" w:color="auto" w:fill="auto"/>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MICS6 countries, 2017-2019 (rounded %)</w:t>
            </w:r>
          </w:p>
        </w:tc>
        <w:tc>
          <w:tcPr>
            <w:tcW w:w="1371" w:type="dxa"/>
            <w:tcBorders>
              <w:top w:val="nil"/>
              <w:left w:val="nil"/>
              <w:bottom w:val="nil"/>
              <w:right w:val="nil"/>
            </w:tcBorders>
            <w:shd w:val="clear" w:color="auto" w:fill="auto"/>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p>
        </w:tc>
      </w:tr>
      <w:tr w:rsidR="004B7E21" w:rsidRPr="005C5E5A" w:rsidTr="0004396F">
        <w:trPr>
          <w:trHeight w:val="288"/>
        </w:trPr>
        <w:tc>
          <w:tcPr>
            <w:tcW w:w="2288" w:type="dxa"/>
            <w:tcBorders>
              <w:top w:val="single" w:sz="8" w:space="0" w:color="auto"/>
              <w:left w:val="single" w:sz="8" w:space="0" w:color="auto"/>
              <w:bottom w:val="nil"/>
              <w:right w:val="nil"/>
            </w:tcBorders>
            <w:shd w:val="clear" w:color="000000" w:fill="C6E0B4"/>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 </w:t>
            </w:r>
          </w:p>
        </w:tc>
        <w:tc>
          <w:tcPr>
            <w:tcW w:w="3620" w:type="dxa"/>
            <w:gridSpan w:val="2"/>
            <w:tcBorders>
              <w:top w:val="single" w:sz="8" w:space="0" w:color="auto"/>
              <w:left w:val="nil"/>
              <w:bottom w:val="nil"/>
              <w:right w:val="nil"/>
            </w:tcBorders>
            <w:shd w:val="clear" w:color="000000" w:fill="C6E0B4"/>
            <w:noWrap/>
            <w:vAlign w:val="bottom"/>
            <w:hideMark/>
          </w:tcPr>
          <w:p w:rsidR="004B7E21" w:rsidRPr="005C5E5A" w:rsidRDefault="004B7E21" w:rsidP="0004396F">
            <w:pPr>
              <w:spacing w:after="0" w:line="240" w:lineRule="auto"/>
              <w:ind w:firstLineChars="800" w:firstLine="1760"/>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Primary</w:t>
            </w:r>
          </w:p>
        </w:tc>
        <w:tc>
          <w:tcPr>
            <w:tcW w:w="3452" w:type="dxa"/>
            <w:gridSpan w:val="2"/>
            <w:tcBorders>
              <w:top w:val="single" w:sz="8" w:space="0" w:color="auto"/>
              <w:left w:val="single" w:sz="4" w:space="0" w:color="auto"/>
              <w:bottom w:val="nil"/>
              <w:right w:val="single" w:sz="8" w:space="0" w:color="000000"/>
            </w:tcBorders>
            <w:shd w:val="clear" w:color="000000" w:fill="C6E0B4"/>
            <w:noWrap/>
            <w:vAlign w:val="bottom"/>
            <w:hideMark/>
          </w:tcPr>
          <w:p w:rsidR="004B7E21" w:rsidRPr="005C5E5A" w:rsidRDefault="004B7E21" w:rsidP="0004396F">
            <w:pPr>
              <w:spacing w:after="0" w:line="240" w:lineRule="auto"/>
              <w:ind w:firstLineChars="700" w:firstLine="1540"/>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Secondary</w:t>
            </w:r>
          </w:p>
        </w:tc>
      </w:tr>
      <w:tr w:rsidR="004B7E21" w:rsidRPr="005C5E5A" w:rsidTr="0004396F">
        <w:trPr>
          <w:trHeight w:val="288"/>
        </w:trPr>
        <w:tc>
          <w:tcPr>
            <w:tcW w:w="2288" w:type="dxa"/>
            <w:tcBorders>
              <w:top w:val="nil"/>
              <w:left w:val="single" w:sz="8" w:space="0" w:color="auto"/>
              <w:bottom w:val="single" w:sz="4" w:space="0" w:color="auto"/>
              <w:right w:val="nil"/>
            </w:tcBorders>
            <w:shd w:val="clear" w:color="000000" w:fill="C6E0B4"/>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Country</w:t>
            </w:r>
          </w:p>
        </w:tc>
        <w:tc>
          <w:tcPr>
            <w:tcW w:w="2188" w:type="dxa"/>
            <w:tcBorders>
              <w:top w:val="nil"/>
              <w:left w:val="nil"/>
              <w:bottom w:val="single" w:sz="4" w:space="0" w:color="auto"/>
              <w:right w:val="nil"/>
            </w:tcBorders>
            <w:shd w:val="clear" w:color="000000" w:fill="C6E0B4"/>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Female</w:t>
            </w:r>
          </w:p>
        </w:tc>
        <w:tc>
          <w:tcPr>
            <w:tcW w:w="1432" w:type="dxa"/>
            <w:tcBorders>
              <w:top w:val="nil"/>
              <w:left w:val="nil"/>
              <w:bottom w:val="single" w:sz="4" w:space="0" w:color="auto"/>
              <w:right w:val="nil"/>
            </w:tcBorders>
            <w:shd w:val="clear" w:color="000000" w:fill="C6E0B4"/>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Male</w:t>
            </w:r>
          </w:p>
        </w:tc>
        <w:tc>
          <w:tcPr>
            <w:tcW w:w="2081" w:type="dxa"/>
            <w:tcBorders>
              <w:top w:val="nil"/>
              <w:left w:val="single" w:sz="4" w:space="0" w:color="auto"/>
              <w:bottom w:val="single" w:sz="4" w:space="0" w:color="auto"/>
              <w:right w:val="nil"/>
            </w:tcBorders>
            <w:shd w:val="clear" w:color="000000" w:fill="C6E0B4"/>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Female</w:t>
            </w:r>
          </w:p>
        </w:tc>
        <w:tc>
          <w:tcPr>
            <w:tcW w:w="1371" w:type="dxa"/>
            <w:tcBorders>
              <w:top w:val="nil"/>
              <w:left w:val="nil"/>
              <w:bottom w:val="single" w:sz="4" w:space="0" w:color="auto"/>
              <w:right w:val="single" w:sz="8" w:space="0" w:color="auto"/>
            </w:tcBorders>
            <w:shd w:val="clear" w:color="000000" w:fill="C6E0B4"/>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Male</w:t>
            </w:r>
          </w:p>
        </w:tc>
      </w:tr>
      <w:tr w:rsidR="004B7E21" w:rsidRPr="005C5E5A" w:rsidTr="0004396F">
        <w:trPr>
          <w:trHeight w:val="288"/>
        </w:trPr>
        <w:tc>
          <w:tcPr>
            <w:tcW w:w="2288" w:type="dxa"/>
            <w:tcBorders>
              <w:top w:val="nil"/>
              <w:left w:val="single" w:sz="8" w:space="0" w:color="auto"/>
              <w:bottom w:val="nil"/>
              <w:right w:val="nil"/>
            </w:tcBorders>
            <w:shd w:val="clear" w:color="000000" w:fill="F2F2F2"/>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DR Congo</w:t>
            </w:r>
          </w:p>
        </w:tc>
        <w:tc>
          <w:tcPr>
            <w:tcW w:w="2188"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18</w:t>
            </w:r>
          </w:p>
        </w:tc>
        <w:tc>
          <w:tcPr>
            <w:tcW w:w="1432"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17</w:t>
            </w:r>
          </w:p>
        </w:tc>
        <w:tc>
          <w:tcPr>
            <w:tcW w:w="2081" w:type="dxa"/>
            <w:tcBorders>
              <w:top w:val="nil"/>
              <w:left w:val="single" w:sz="4" w:space="0" w:color="auto"/>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22</w:t>
            </w:r>
          </w:p>
        </w:tc>
        <w:tc>
          <w:tcPr>
            <w:tcW w:w="1371" w:type="dxa"/>
            <w:tcBorders>
              <w:top w:val="nil"/>
              <w:left w:val="nil"/>
              <w:bottom w:val="nil"/>
              <w:right w:val="single" w:sz="8" w:space="0" w:color="auto"/>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19</w:t>
            </w:r>
          </w:p>
        </w:tc>
      </w:tr>
      <w:tr w:rsidR="004B7E21" w:rsidRPr="005C5E5A" w:rsidTr="0004396F">
        <w:trPr>
          <w:trHeight w:val="288"/>
        </w:trPr>
        <w:tc>
          <w:tcPr>
            <w:tcW w:w="2288" w:type="dxa"/>
            <w:tcBorders>
              <w:top w:val="nil"/>
              <w:left w:val="single" w:sz="8" w:space="0" w:color="auto"/>
              <w:bottom w:val="nil"/>
              <w:right w:val="nil"/>
            </w:tcBorders>
            <w:shd w:val="clear" w:color="000000" w:fill="F2F2F2"/>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Ghana</w:t>
            </w:r>
          </w:p>
        </w:tc>
        <w:tc>
          <w:tcPr>
            <w:tcW w:w="2188"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26</w:t>
            </w:r>
          </w:p>
        </w:tc>
        <w:tc>
          <w:tcPr>
            <w:tcW w:w="1432"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25</w:t>
            </w:r>
          </w:p>
        </w:tc>
        <w:tc>
          <w:tcPr>
            <w:tcW w:w="2081" w:type="dxa"/>
            <w:tcBorders>
              <w:top w:val="nil"/>
              <w:left w:val="single" w:sz="4" w:space="0" w:color="auto"/>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17</w:t>
            </w:r>
          </w:p>
        </w:tc>
        <w:tc>
          <w:tcPr>
            <w:tcW w:w="1371" w:type="dxa"/>
            <w:tcBorders>
              <w:top w:val="nil"/>
              <w:left w:val="nil"/>
              <w:bottom w:val="nil"/>
              <w:right w:val="single" w:sz="8" w:space="0" w:color="auto"/>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14</w:t>
            </w:r>
          </w:p>
        </w:tc>
      </w:tr>
      <w:tr w:rsidR="004B7E21" w:rsidRPr="005C5E5A" w:rsidTr="0004396F">
        <w:trPr>
          <w:trHeight w:val="288"/>
        </w:trPr>
        <w:tc>
          <w:tcPr>
            <w:tcW w:w="2288" w:type="dxa"/>
            <w:tcBorders>
              <w:top w:val="nil"/>
              <w:left w:val="single" w:sz="8" w:space="0" w:color="auto"/>
              <w:bottom w:val="nil"/>
              <w:right w:val="nil"/>
            </w:tcBorders>
            <w:shd w:val="clear" w:color="000000" w:fill="F2F2F2"/>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Guinea Bissau</w:t>
            </w:r>
          </w:p>
        </w:tc>
        <w:tc>
          <w:tcPr>
            <w:tcW w:w="2188"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55</w:t>
            </w:r>
          </w:p>
        </w:tc>
        <w:tc>
          <w:tcPr>
            <w:tcW w:w="1432"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50</w:t>
            </w:r>
          </w:p>
        </w:tc>
        <w:tc>
          <w:tcPr>
            <w:tcW w:w="2081" w:type="dxa"/>
            <w:tcBorders>
              <w:top w:val="nil"/>
              <w:left w:val="single" w:sz="4" w:space="0" w:color="auto"/>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47</w:t>
            </w:r>
          </w:p>
        </w:tc>
        <w:tc>
          <w:tcPr>
            <w:tcW w:w="1371" w:type="dxa"/>
            <w:tcBorders>
              <w:top w:val="nil"/>
              <w:left w:val="nil"/>
              <w:bottom w:val="nil"/>
              <w:right w:val="single" w:sz="8" w:space="0" w:color="auto"/>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42</w:t>
            </w:r>
          </w:p>
        </w:tc>
      </w:tr>
      <w:tr w:rsidR="004B7E21" w:rsidRPr="005C5E5A" w:rsidTr="0004396F">
        <w:trPr>
          <w:trHeight w:val="288"/>
        </w:trPr>
        <w:tc>
          <w:tcPr>
            <w:tcW w:w="2288" w:type="dxa"/>
            <w:tcBorders>
              <w:top w:val="nil"/>
              <w:left w:val="single" w:sz="8" w:space="0" w:color="auto"/>
              <w:bottom w:val="nil"/>
              <w:right w:val="nil"/>
            </w:tcBorders>
            <w:shd w:val="clear" w:color="000000" w:fill="F2F2F2"/>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Lesotho</w:t>
            </w:r>
          </w:p>
        </w:tc>
        <w:tc>
          <w:tcPr>
            <w:tcW w:w="2188"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9</w:t>
            </w:r>
          </w:p>
        </w:tc>
        <w:tc>
          <w:tcPr>
            <w:tcW w:w="1432"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8</w:t>
            </w:r>
          </w:p>
        </w:tc>
        <w:tc>
          <w:tcPr>
            <w:tcW w:w="2081" w:type="dxa"/>
            <w:tcBorders>
              <w:top w:val="nil"/>
              <w:left w:val="single" w:sz="4" w:space="0" w:color="auto"/>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9</w:t>
            </w:r>
          </w:p>
        </w:tc>
        <w:tc>
          <w:tcPr>
            <w:tcW w:w="1371" w:type="dxa"/>
            <w:tcBorders>
              <w:top w:val="nil"/>
              <w:left w:val="nil"/>
              <w:bottom w:val="nil"/>
              <w:right w:val="single" w:sz="8" w:space="0" w:color="auto"/>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7</w:t>
            </w:r>
          </w:p>
        </w:tc>
      </w:tr>
      <w:tr w:rsidR="004B7E21" w:rsidRPr="005C5E5A" w:rsidTr="0004396F">
        <w:trPr>
          <w:trHeight w:val="288"/>
        </w:trPr>
        <w:tc>
          <w:tcPr>
            <w:tcW w:w="2288" w:type="dxa"/>
            <w:tcBorders>
              <w:top w:val="nil"/>
              <w:left w:val="single" w:sz="8" w:space="0" w:color="auto"/>
              <w:bottom w:val="nil"/>
              <w:right w:val="nil"/>
            </w:tcBorders>
            <w:shd w:val="clear" w:color="000000" w:fill="F2F2F2"/>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Madagascar</w:t>
            </w:r>
          </w:p>
        </w:tc>
        <w:tc>
          <w:tcPr>
            <w:tcW w:w="2188"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20</w:t>
            </w:r>
          </w:p>
        </w:tc>
        <w:tc>
          <w:tcPr>
            <w:tcW w:w="1432"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20</w:t>
            </w:r>
          </w:p>
        </w:tc>
        <w:tc>
          <w:tcPr>
            <w:tcW w:w="2081" w:type="dxa"/>
            <w:tcBorders>
              <w:top w:val="nil"/>
              <w:left w:val="single" w:sz="4" w:space="0" w:color="auto"/>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39</w:t>
            </w:r>
          </w:p>
        </w:tc>
        <w:tc>
          <w:tcPr>
            <w:tcW w:w="1371" w:type="dxa"/>
            <w:tcBorders>
              <w:top w:val="nil"/>
              <w:left w:val="nil"/>
              <w:bottom w:val="nil"/>
              <w:right w:val="single" w:sz="8" w:space="0" w:color="auto"/>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37</w:t>
            </w:r>
          </w:p>
        </w:tc>
      </w:tr>
      <w:tr w:rsidR="004B7E21" w:rsidRPr="005C5E5A" w:rsidTr="0004396F">
        <w:trPr>
          <w:trHeight w:val="288"/>
        </w:trPr>
        <w:tc>
          <w:tcPr>
            <w:tcW w:w="2288" w:type="dxa"/>
            <w:tcBorders>
              <w:top w:val="nil"/>
              <w:left w:val="single" w:sz="8" w:space="0" w:color="auto"/>
              <w:bottom w:val="nil"/>
              <w:right w:val="nil"/>
            </w:tcBorders>
            <w:shd w:val="clear" w:color="000000" w:fill="F2F2F2"/>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Sierra Leone</w:t>
            </w:r>
          </w:p>
        </w:tc>
        <w:tc>
          <w:tcPr>
            <w:tcW w:w="2188"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10</w:t>
            </w:r>
          </w:p>
        </w:tc>
        <w:tc>
          <w:tcPr>
            <w:tcW w:w="1432"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10</w:t>
            </w:r>
          </w:p>
        </w:tc>
        <w:tc>
          <w:tcPr>
            <w:tcW w:w="2081" w:type="dxa"/>
            <w:tcBorders>
              <w:top w:val="nil"/>
              <w:left w:val="single" w:sz="4" w:space="0" w:color="auto"/>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15</w:t>
            </w:r>
          </w:p>
        </w:tc>
        <w:tc>
          <w:tcPr>
            <w:tcW w:w="1371" w:type="dxa"/>
            <w:tcBorders>
              <w:top w:val="nil"/>
              <w:left w:val="nil"/>
              <w:bottom w:val="nil"/>
              <w:right w:val="single" w:sz="8" w:space="0" w:color="auto"/>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13</w:t>
            </w:r>
          </w:p>
        </w:tc>
      </w:tr>
      <w:tr w:rsidR="004B7E21" w:rsidRPr="005C5E5A" w:rsidTr="0004396F">
        <w:trPr>
          <w:trHeight w:val="300"/>
        </w:trPr>
        <w:tc>
          <w:tcPr>
            <w:tcW w:w="2288" w:type="dxa"/>
            <w:tcBorders>
              <w:top w:val="nil"/>
              <w:left w:val="single" w:sz="8" w:space="0" w:color="auto"/>
              <w:bottom w:val="single" w:sz="8" w:space="0" w:color="auto"/>
              <w:right w:val="nil"/>
            </w:tcBorders>
            <w:shd w:val="clear" w:color="000000" w:fill="F2F2F2"/>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Zimbabwe</w:t>
            </w:r>
          </w:p>
        </w:tc>
        <w:tc>
          <w:tcPr>
            <w:tcW w:w="2188" w:type="dxa"/>
            <w:tcBorders>
              <w:top w:val="nil"/>
              <w:left w:val="nil"/>
              <w:bottom w:val="single" w:sz="8" w:space="0" w:color="auto"/>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5</w:t>
            </w:r>
          </w:p>
        </w:tc>
        <w:tc>
          <w:tcPr>
            <w:tcW w:w="1432" w:type="dxa"/>
            <w:tcBorders>
              <w:top w:val="nil"/>
              <w:left w:val="nil"/>
              <w:bottom w:val="single" w:sz="8" w:space="0" w:color="auto"/>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5</w:t>
            </w:r>
          </w:p>
        </w:tc>
        <w:tc>
          <w:tcPr>
            <w:tcW w:w="2081" w:type="dxa"/>
            <w:tcBorders>
              <w:top w:val="nil"/>
              <w:left w:val="single" w:sz="4" w:space="0" w:color="auto"/>
              <w:bottom w:val="single" w:sz="8" w:space="0" w:color="auto"/>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11</w:t>
            </w:r>
          </w:p>
        </w:tc>
        <w:tc>
          <w:tcPr>
            <w:tcW w:w="1371" w:type="dxa"/>
            <w:tcBorders>
              <w:top w:val="nil"/>
              <w:left w:val="nil"/>
              <w:bottom w:val="single" w:sz="8" w:space="0" w:color="auto"/>
              <w:right w:val="single" w:sz="8" w:space="0" w:color="auto"/>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8</w:t>
            </w:r>
          </w:p>
        </w:tc>
      </w:tr>
    </w:tbl>
    <w:p w:rsidR="004B7E21" w:rsidRPr="005C5E5A" w:rsidRDefault="004B7E21" w:rsidP="004B7E21">
      <w:pPr>
        <w:jc w:val="both"/>
        <w:rPr>
          <w:rFonts w:asciiTheme="majorHAnsi" w:hAnsiTheme="majorHAnsi" w:cstheme="majorHAnsi"/>
          <w:sz w:val="28"/>
          <w:szCs w:val="28"/>
        </w:rPr>
      </w:pPr>
    </w:p>
    <w:p w:rsidR="004B7E21" w:rsidRDefault="004B7E21">
      <w:pPr>
        <w:rPr>
          <w:rFonts w:asciiTheme="majorHAnsi" w:hAnsiTheme="majorHAnsi" w:cstheme="majorHAnsi"/>
          <w:sz w:val="28"/>
          <w:szCs w:val="28"/>
        </w:rPr>
      </w:pPr>
      <w:r>
        <w:rPr>
          <w:rFonts w:asciiTheme="majorHAnsi" w:hAnsiTheme="majorHAnsi" w:cstheme="majorHAnsi"/>
          <w:sz w:val="28"/>
          <w:szCs w:val="28"/>
        </w:rPr>
        <w:br w:type="page"/>
      </w:r>
    </w:p>
    <w:tbl>
      <w:tblPr>
        <w:tblW w:w="9214" w:type="dxa"/>
        <w:tblLook w:val="04A0" w:firstRow="1" w:lastRow="0" w:firstColumn="1" w:lastColumn="0" w:noHBand="0" w:noVBand="1"/>
      </w:tblPr>
      <w:tblGrid>
        <w:gridCol w:w="1984"/>
        <w:gridCol w:w="2673"/>
        <w:gridCol w:w="1448"/>
        <w:gridCol w:w="2149"/>
        <w:gridCol w:w="960"/>
      </w:tblGrid>
      <w:tr w:rsidR="004B7E21" w:rsidRPr="00474E2B" w:rsidTr="0004396F">
        <w:trPr>
          <w:trHeight w:val="288"/>
        </w:trPr>
        <w:tc>
          <w:tcPr>
            <w:tcW w:w="8254" w:type="dxa"/>
            <w:gridSpan w:val="4"/>
            <w:tcBorders>
              <w:top w:val="nil"/>
              <w:left w:val="nil"/>
              <w:bottom w:val="nil"/>
              <w:right w:val="nil"/>
            </w:tcBorders>
            <w:shd w:val="clear" w:color="auto" w:fill="auto"/>
            <w:noWrap/>
            <w:vAlign w:val="bottom"/>
            <w:hideMark/>
          </w:tcPr>
          <w:p w:rsidR="004B7E21" w:rsidRPr="00474E2B" w:rsidRDefault="004B7E21" w:rsidP="0004396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Table 6</w:t>
            </w:r>
            <w:r w:rsidRPr="00474E2B">
              <w:rPr>
                <w:rFonts w:ascii="Calibri" w:eastAsia="Times New Roman" w:hAnsi="Calibri" w:cs="Calibri"/>
                <w:color w:val="000000"/>
                <w:lang w:eastAsia="en-GB"/>
              </w:rPr>
              <w:t xml:space="preserve">:  Share of school age population living in rural areas and share of private  </w:t>
            </w:r>
          </w:p>
        </w:tc>
        <w:tc>
          <w:tcPr>
            <w:tcW w:w="960" w:type="dxa"/>
            <w:tcBorders>
              <w:top w:val="nil"/>
              <w:left w:val="nil"/>
              <w:bottom w:val="nil"/>
              <w:right w:val="nil"/>
            </w:tcBorders>
            <w:shd w:val="clear" w:color="auto" w:fill="auto"/>
            <w:noWrap/>
            <w:vAlign w:val="bottom"/>
            <w:hideMark/>
          </w:tcPr>
          <w:p w:rsidR="004B7E21" w:rsidRPr="00474E2B" w:rsidRDefault="004B7E21" w:rsidP="0004396F">
            <w:pPr>
              <w:spacing w:after="0" w:line="240" w:lineRule="auto"/>
              <w:rPr>
                <w:rFonts w:ascii="Calibri" w:eastAsia="Times New Roman" w:hAnsi="Calibri" w:cs="Calibri"/>
                <w:color w:val="000000"/>
                <w:lang w:eastAsia="en-GB"/>
              </w:rPr>
            </w:pPr>
          </w:p>
        </w:tc>
      </w:tr>
      <w:tr w:rsidR="004B7E21" w:rsidRPr="00474E2B" w:rsidTr="0004396F">
        <w:trPr>
          <w:trHeight w:val="300"/>
        </w:trPr>
        <w:tc>
          <w:tcPr>
            <w:tcW w:w="9214" w:type="dxa"/>
            <w:gridSpan w:val="5"/>
            <w:tcBorders>
              <w:top w:val="nil"/>
              <w:left w:val="nil"/>
              <w:bottom w:val="nil"/>
              <w:right w:val="nil"/>
            </w:tcBorders>
            <w:shd w:val="clear" w:color="auto" w:fill="auto"/>
            <w:noWrap/>
            <w:vAlign w:val="bottom"/>
            <w:hideMark/>
          </w:tcPr>
          <w:p w:rsidR="004B7E21" w:rsidRPr="00474E2B" w:rsidRDefault="004B7E21" w:rsidP="0004396F">
            <w:pPr>
              <w:spacing w:after="0" w:line="240" w:lineRule="auto"/>
              <w:rPr>
                <w:rFonts w:ascii="Calibri" w:eastAsia="Times New Roman" w:hAnsi="Calibri" w:cs="Calibri"/>
                <w:color w:val="000000"/>
                <w:lang w:eastAsia="en-GB"/>
              </w:rPr>
            </w:pPr>
            <w:r w:rsidRPr="00474E2B">
              <w:rPr>
                <w:rFonts w:ascii="Calibri" w:eastAsia="Times New Roman" w:hAnsi="Calibri" w:cs="Calibri"/>
                <w:color w:val="000000"/>
                <w:lang w:eastAsia="en-GB"/>
              </w:rPr>
              <w:t>school enrolments in rural areas, MIC6 countries, 2017-2019 (rounded percentages)</w:t>
            </w:r>
          </w:p>
        </w:tc>
      </w:tr>
      <w:tr w:rsidR="004B7E21" w:rsidRPr="00474E2B" w:rsidTr="0004396F">
        <w:trPr>
          <w:trHeight w:val="288"/>
        </w:trPr>
        <w:tc>
          <w:tcPr>
            <w:tcW w:w="1984" w:type="dxa"/>
            <w:tcBorders>
              <w:top w:val="single" w:sz="8" w:space="0" w:color="auto"/>
              <w:left w:val="single" w:sz="8" w:space="0" w:color="auto"/>
              <w:bottom w:val="nil"/>
              <w:right w:val="nil"/>
            </w:tcBorders>
            <w:shd w:val="clear" w:color="000000" w:fill="C6E0B4"/>
            <w:noWrap/>
            <w:vAlign w:val="bottom"/>
            <w:hideMark/>
          </w:tcPr>
          <w:p w:rsidR="004B7E21" w:rsidRPr="00474E2B" w:rsidRDefault="004B7E21" w:rsidP="0004396F">
            <w:pPr>
              <w:spacing w:after="0" w:line="240" w:lineRule="auto"/>
              <w:rPr>
                <w:rFonts w:ascii="Calibri" w:eastAsia="Times New Roman" w:hAnsi="Calibri" w:cs="Calibri"/>
                <w:color w:val="000000"/>
                <w:lang w:eastAsia="en-GB"/>
              </w:rPr>
            </w:pPr>
            <w:r w:rsidRPr="00474E2B">
              <w:rPr>
                <w:rFonts w:ascii="Calibri" w:eastAsia="Times New Roman" w:hAnsi="Calibri" w:cs="Calibri"/>
                <w:color w:val="000000"/>
                <w:lang w:eastAsia="en-GB"/>
              </w:rPr>
              <w:t> </w:t>
            </w:r>
          </w:p>
        </w:tc>
        <w:tc>
          <w:tcPr>
            <w:tcW w:w="2673" w:type="dxa"/>
            <w:tcBorders>
              <w:top w:val="single" w:sz="8" w:space="0" w:color="auto"/>
              <w:left w:val="nil"/>
              <w:bottom w:val="nil"/>
              <w:right w:val="nil"/>
            </w:tcBorders>
            <w:shd w:val="clear" w:color="000000" w:fill="C6E0B4"/>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r w:rsidRPr="00474E2B">
              <w:rPr>
                <w:rFonts w:ascii="Calibri" w:eastAsia="Times New Roman" w:hAnsi="Calibri" w:cs="Calibri"/>
                <w:color w:val="000000"/>
                <w:lang w:eastAsia="en-GB"/>
              </w:rPr>
              <w:t>% school age pop</w:t>
            </w:r>
          </w:p>
        </w:tc>
        <w:tc>
          <w:tcPr>
            <w:tcW w:w="3597" w:type="dxa"/>
            <w:gridSpan w:val="2"/>
            <w:tcBorders>
              <w:top w:val="single" w:sz="8" w:space="0" w:color="auto"/>
              <w:left w:val="single" w:sz="4" w:space="0" w:color="auto"/>
              <w:bottom w:val="nil"/>
              <w:right w:val="single" w:sz="8" w:space="0" w:color="000000"/>
            </w:tcBorders>
            <w:shd w:val="clear" w:color="000000" w:fill="C6E0B4"/>
            <w:noWrap/>
            <w:vAlign w:val="bottom"/>
            <w:hideMark/>
          </w:tcPr>
          <w:p w:rsidR="004B7E21" w:rsidRPr="00474E2B" w:rsidRDefault="004B7E21" w:rsidP="0004396F">
            <w:pPr>
              <w:spacing w:after="0" w:line="240" w:lineRule="auto"/>
              <w:rPr>
                <w:rFonts w:ascii="Calibri" w:eastAsia="Times New Roman" w:hAnsi="Calibri" w:cs="Calibri"/>
                <w:color w:val="000000"/>
                <w:lang w:eastAsia="en-GB"/>
              </w:rPr>
            </w:pPr>
            <w:r w:rsidRPr="00474E2B">
              <w:rPr>
                <w:rFonts w:ascii="Calibri" w:eastAsia="Times New Roman" w:hAnsi="Calibri" w:cs="Calibri"/>
                <w:color w:val="000000"/>
                <w:lang w:eastAsia="en-GB"/>
              </w:rPr>
              <w:t xml:space="preserve">Rural  private enrolments % total PSP </w:t>
            </w:r>
          </w:p>
        </w:tc>
        <w:tc>
          <w:tcPr>
            <w:tcW w:w="960" w:type="dxa"/>
            <w:tcBorders>
              <w:top w:val="nil"/>
              <w:left w:val="nil"/>
              <w:bottom w:val="nil"/>
              <w:right w:val="nil"/>
            </w:tcBorders>
            <w:shd w:val="clear" w:color="auto" w:fill="auto"/>
            <w:noWrap/>
            <w:vAlign w:val="bottom"/>
            <w:hideMark/>
          </w:tcPr>
          <w:p w:rsidR="004B7E21" w:rsidRPr="00474E2B" w:rsidRDefault="004B7E21" w:rsidP="0004396F">
            <w:pPr>
              <w:spacing w:after="0" w:line="240" w:lineRule="auto"/>
              <w:rPr>
                <w:rFonts w:ascii="Calibri" w:eastAsia="Times New Roman" w:hAnsi="Calibri" w:cs="Calibri"/>
                <w:color w:val="000000"/>
                <w:lang w:eastAsia="en-GB"/>
              </w:rPr>
            </w:pPr>
          </w:p>
        </w:tc>
      </w:tr>
      <w:tr w:rsidR="004B7E21" w:rsidRPr="00474E2B" w:rsidTr="0004396F">
        <w:trPr>
          <w:trHeight w:val="288"/>
        </w:trPr>
        <w:tc>
          <w:tcPr>
            <w:tcW w:w="1984" w:type="dxa"/>
            <w:tcBorders>
              <w:top w:val="nil"/>
              <w:left w:val="single" w:sz="8" w:space="0" w:color="auto"/>
              <w:bottom w:val="single" w:sz="4" w:space="0" w:color="auto"/>
              <w:right w:val="nil"/>
            </w:tcBorders>
            <w:shd w:val="clear" w:color="000000" w:fill="C6E0B4"/>
            <w:noWrap/>
            <w:vAlign w:val="bottom"/>
            <w:hideMark/>
          </w:tcPr>
          <w:p w:rsidR="004B7E21" w:rsidRPr="00474E2B" w:rsidRDefault="004B7E21" w:rsidP="0004396F">
            <w:pPr>
              <w:spacing w:after="0" w:line="240" w:lineRule="auto"/>
              <w:rPr>
                <w:rFonts w:ascii="Calibri" w:eastAsia="Times New Roman" w:hAnsi="Calibri" w:cs="Calibri"/>
                <w:color w:val="000000"/>
                <w:lang w:eastAsia="en-GB"/>
              </w:rPr>
            </w:pPr>
            <w:r w:rsidRPr="00474E2B">
              <w:rPr>
                <w:rFonts w:ascii="Calibri" w:eastAsia="Times New Roman" w:hAnsi="Calibri" w:cs="Calibri"/>
                <w:color w:val="000000"/>
                <w:lang w:eastAsia="en-GB"/>
              </w:rPr>
              <w:t>Country</w:t>
            </w:r>
          </w:p>
        </w:tc>
        <w:tc>
          <w:tcPr>
            <w:tcW w:w="2673" w:type="dxa"/>
            <w:tcBorders>
              <w:top w:val="nil"/>
              <w:left w:val="nil"/>
              <w:bottom w:val="single" w:sz="4" w:space="0" w:color="auto"/>
              <w:right w:val="nil"/>
            </w:tcBorders>
            <w:shd w:val="clear" w:color="000000" w:fill="C6E0B4"/>
            <w:noWrap/>
            <w:vAlign w:val="bottom"/>
            <w:hideMark/>
          </w:tcPr>
          <w:p w:rsidR="004B7E21" w:rsidRPr="00474E2B" w:rsidRDefault="004B7E21" w:rsidP="0004396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474E2B">
              <w:rPr>
                <w:rFonts w:ascii="Calibri" w:eastAsia="Times New Roman" w:hAnsi="Calibri" w:cs="Calibri"/>
                <w:color w:val="000000"/>
                <w:lang w:eastAsia="en-GB"/>
              </w:rPr>
              <w:t>living in rural areas</w:t>
            </w:r>
          </w:p>
        </w:tc>
        <w:tc>
          <w:tcPr>
            <w:tcW w:w="1448" w:type="dxa"/>
            <w:tcBorders>
              <w:top w:val="nil"/>
              <w:left w:val="single" w:sz="4" w:space="0" w:color="auto"/>
              <w:bottom w:val="single" w:sz="4" w:space="0" w:color="auto"/>
              <w:right w:val="nil"/>
            </w:tcBorders>
            <w:shd w:val="clear" w:color="000000" w:fill="C6E0B4"/>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r w:rsidRPr="00474E2B">
              <w:rPr>
                <w:rFonts w:ascii="Calibri" w:eastAsia="Times New Roman" w:hAnsi="Calibri" w:cs="Calibri"/>
                <w:color w:val="000000"/>
                <w:lang w:eastAsia="en-GB"/>
              </w:rPr>
              <w:t>Primary</w:t>
            </w:r>
          </w:p>
        </w:tc>
        <w:tc>
          <w:tcPr>
            <w:tcW w:w="2149" w:type="dxa"/>
            <w:tcBorders>
              <w:top w:val="nil"/>
              <w:left w:val="nil"/>
              <w:bottom w:val="single" w:sz="4" w:space="0" w:color="auto"/>
              <w:right w:val="single" w:sz="8" w:space="0" w:color="auto"/>
            </w:tcBorders>
            <w:shd w:val="clear" w:color="000000" w:fill="C6E0B4"/>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r w:rsidRPr="00474E2B">
              <w:rPr>
                <w:rFonts w:ascii="Calibri" w:eastAsia="Times New Roman" w:hAnsi="Calibri" w:cs="Calibri"/>
                <w:color w:val="000000"/>
                <w:lang w:eastAsia="en-GB"/>
              </w:rPr>
              <w:t>Secondary</w:t>
            </w:r>
          </w:p>
        </w:tc>
        <w:tc>
          <w:tcPr>
            <w:tcW w:w="960" w:type="dxa"/>
            <w:tcBorders>
              <w:top w:val="nil"/>
              <w:left w:val="nil"/>
              <w:bottom w:val="nil"/>
              <w:right w:val="nil"/>
            </w:tcBorders>
            <w:shd w:val="clear" w:color="auto" w:fill="auto"/>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p>
        </w:tc>
      </w:tr>
      <w:tr w:rsidR="004B7E21" w:rsidRPr="00474E2B" w:rsidTr="0004396F">
        <w:trPr>
          <w:trHeight w:val="288"/>
        </w:trPr>
        <w:tc>
          <w:tcPr>
            <w:tcW w:w="1984" w:type="dxa"/>
            <w:tcBorders>
              <w:top w:val="nil"/>
              <w:left w:val="single" w:sz="8" w:space="0" w:color="auto"/>
              <w:bottom w:val="nil"/>
              <w:right w:val="nil"/>
            </w:tcBorders>
            <w:shd w:val="clear" w:color="000000" w:fill="F2F2F2"/>
            <w:noWrap/>
            <w:vAlign w:val="bottom"/>
            <w:hideMark/>
          </w:tcPr>
          <w:p w:rsidR="004B7E21" w:rsidRPr="00474E2B" w:rsidRDefault="004B7E21" w:rsidP="0004396F">
            <w:pPr>
              <w:spacing w:after="0" w:line="240" w:lineRule="auto"/>
              <w:rPr>
                <w:rFonts w:ascii="Calibri" w:eastAsia="Times New Roman" w:hAnsi="Calibri" w:cs="Calibri"/>
                <w:color w:val="000000"/>
                <w:lang w:eastAsia="en-GB"/>
              </w:rPr>
            </w:pPr>
            <w:r w:rsidRPr="00474E2B">
              <w:rPr>
                <w:rFonts w:ascii="Calibri" w:eastAsia="Times New Roman" w:hAnsi="Calibri" w:cs="Calibri"/>
                <w:color w:val="000000"/>
                <w:lang w:eastAsia="en-GB"/>
              </w:rPr>
              <w:t>DR Congo</w:t>
            </w:r>
          </w:p>
        </w:tc>
        <w:tc>
          <w:tcPr>
            <w:tcW w:w="2673" w:type="dxa"/>
            <w:tcBorders>
              <w:top w:val="nil"/>
              <w:left w:val="nil"/>
              <w:bottom w:val="nil"/>
              <w:right w:val="nil"/>
            </w:tcBorders>
            <w:shd w:val="clear" w:color="000000" w:fill="F2F2F2"/>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r w:rsidRPr="00474E2B">
              <w:rPr>
                <w:rFonts w:ascii="Calibri" w:eastAsia="Times New Roman" w:hAnsi="Calibri" w:cs="Calibri"/>
                <w:color w:val="000000"/>
                <w:lang w:eastAsia="en-GB"/>
              </w:rPr>
              <w:t>56</w:t>
            </w:r>
          </w:p>
        </w:tc>
        <w:tc>
          <w:tcPr>
            <w:tcW w:w="1448" w:type="dxa"/>
            <w:tcBorders>
              <w:top w:val="nil"/>
              <w:left w:val="single" w:sz="4" w:space="0" w:color="auto"/>
              <w:bottom w:val="nil"/>
              <w:right w:val="nil"/>
            </w:tcBorders>
            <w:shd w:val="clear" w:color="000000" w:fill="F2F2F2"/>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r w:rsidRPr="00474E2B">
              <w:rPr>
                <w:rFonts w:ascii="Calibri" w:eastAsia="Times New Roman" w:hAnsi="Calibri" w:cs="Calibri"/>
                <w:color w:val="000000"/>
                <w:lang w:eastAsia="en-GB"/>
              </w:rPr>
              <w:t>31</w:t>
            </w:r>
          </w:p>
        </w:tc>
        <w:tc>
          <w:tcPr>
            <w:tcW w:w="2149" w:type="dxa"/>
            <w:tcBorders>
              <w:top w:val="nil"/>
              <w:left w:val="nil"/>
              <w:bottom w:val="nil"/>
              <w:right w:val="single" w:sz="8" w:space="0" w:color="auto"/>
            </w:tcBorders>
            <w:shd w:val="clear" w:color="000000" w:fill="F2F2F2"/>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r w:rsidRPr="00474E2B">
              <w:rPr>
                <w:rFonts w:ascii="Calibri" w:eastAsia="Times New Roman" w:hAnsi="Calibri" w:cs="Calibri"/>
                <w:color w:val="000000"/>
                <w:lang w:eastAsia="en-GB"/>
              </w:rPr>
              <w:t>14</w:t>
            </w:r>
          </w:p>
        </w:tc>
        <w:tc>
          <w:tcPr>
            <w:tcW w:w="960" w:type="dxa"/>
            <w:tcBorders>
              <w:top w:val="nil"/>
              <w:left w:val="nil"/>
              <w:bottom w:val="nil"/>
              <w:right w:val="nil"/>
            </w:tcBorders>
            <w:shd w:val="clear" w:color="auto" w:fill="auto"/>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p>
        </w:tc>
      </w:tr>
      <w:tr w:rsidR="004B7E21" w:rsidRPr="00474E2B" w:rsidTr="0004396F">
        <w:trPr>
          <w:trHeight w:val="288"/>
        </w:trPr>
        <w:tc>
          <w:tcPr>
            <w:tcW w:w="1984" w:type="dxa"/>
            <w:tcBorders>
              <w:top w:val="nil"/>
              <w:left w:val="single" w:sz="8" w:space="0" w:color="auto"/>
              <w:bottom w:val="nil"/>
              <w:right w:val="nil"/>
            </w:tcBorders>
            <w:shd w:val="clear" w:color="000000" w:fill="F2F2F2"/>
            <w:noWrap/>
            <w:vAlign w:val="bottom"/>
            <w:hideMark/>
          </w:tcPr>
          <w:p w:rsidR="004B7E21" w:rsidRPr="00474E2B" w:rsidRDefault="004B7E21" w:rsidP="0004396F">
            <w:pPr>
              <w:spacing w:after="0" w:line="240" w:lineRule="auto"/>
              <w:rPr>
                <w:rFonts w:ascii="Calibri" w:eastAsia="Times New Roman" w:hAnsi="Calibri" w:cs="Calibri"/>
                <w:color w:val="000000"/>
                <w:lang w:eastAsia="en-GB"/>
              </w:rPr>
            </w:pPr>
            <w:r w:rsidRPr="00474E2B">
              <w:rPr>
                <w:rFonts w:ascii="Calibri" w:eastAsia="Times New Roman" w:hAnsi="Calibri" w:cs="Calibri"/>
                <w:color w:val="000000"/>
                <w:lang w:eastAsia="en-GB"/>
              </w:rPr>
              <w:t>Ghana</w:t>
            </w:r>
          </w:p>
        </w:tc>
        <w:tc>
          <w:tcPr>
            <w:tcW w:w="2673" w:type="dxa"/>
            <w:tcBorders>
              <w:top w:val="nil"/>
              <w:left w:val="nil"/>
              <w:bottom w:val="nil"/>
              <w:right w:val="nil"/>
            </w:tcBorders>
            <w:shd w:val="clear" w:color="000000" w:fill="F2F2F2"/>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r w:rsidRPr="00474E2B">
              <w:rPr>
                <w:rFonts w:ascii="Calibri" w:eastAsia="Times New Roman" w:hAnsi="Calibri" w:cs="Calibri"/>
                <w:color w:val="000000"/>
                <w:lang w:eastAsia="en-GB"/>
              </w:rPr>
              <w:t>57</w:t>
            </w:r>
          </w:p>
        </w:tc>
        <w:tc>
          <w:tcPr>
            <w:tcW w:w="1448" w:type="dxa"/>
            <w:tcBorders>
              <w:top w:val="nil"/>
              <w:left w:val="single" w:sz="4" w:space="0" w:color="auto"/>
              <w:bottom w:val="nil"/>
              <w:right w:val="nil"/>
            </w:tcBorders>
            <w:shd w:val="clear" w:color="000000" w:fill="F2F2F2"/>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r w:rsidRPr="00474E2B">
              <w:rPr>
                <w:rFonts w:ascii="Calibri" w:eastAsia="Times New Roman" w:hAnsi="Calibri" w:cs="Calibri"/>
                <w:color w:val="000000"/>
                <w:lang w:eastAsia="en-GB"/>
              </w:rPr>
              <w:t>37</w:t>
            </w:r>
          </w:p>
        </w:tc>
        <w:tc>
          <w:tcPr>
            <w:tcW w:w="2149" w:type="dxa"/>
            <w:tcBorders>
              <w:top w:val="nil"/>
              <w:left w:val="nil"/>
              <w:bottom w:val="nil"/>
              <w:right w:val="single" w:sz="8" w:space="0" w:color="auto"/>
            </w:tcBorders>
            <w:shd w:val="clear" w:color="000000" w:fill="F2F2F2"/>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r w:rsidRPr="00474E2B">
              <w:rPr>
                <w:rFonts w:ascii="Calibri" w:eastAsia="Times New Roman" w:hAnsi="Calibri" w:cs="Calibri"/>
                <w:color w:val="000000"/>
                <w:lang w:eastAsia="en-GB"/>
              </w:rPr>
              <w:t>30</w:t>
            </w:r>
          </w:p>
        </w:tc>
        <w:tc>
          <w:tcPr>
            <w:tcW w:w="960" w:type="dxa"/>
            <w:tcBorders>
              <w:top w:val="nil"/>
              <w:left w:val="nil"/>
              <w:bottom w:val="nil"/>
              <w:right w:val="nil"/>
            </w:tcBorders>
            <w:shd w:val="clear" w:color="auto" w:fill="auto"/>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p>
        </w:tc>
      </w:tr>
      <w:tr w:rsidR="004B7E21" w:rsidRPr="00474E2B" w:rsidTr="0004396F">
        <w:trPr>
          <w:trHeight w:val="288"/>
        </w:trPr>
        <w:tc>
          <w:tcPr>
            <w:tcW w:w="1984" w:type="dxa"/>
            <w:tcBorders>
              <w:top w:val="nil"/>
              <w:left w:val="single" w:sz="8" w:space="0" w:color="auto"/>
              <w:bottom w:val="nil"/>
              <w:right w:val="nil"/>
            </w:tcBorders>
            <w:shd w:val="clear" w:color="000000" w:fill="F2F2F2"/>
            <w:noWrap/>
            <w:vAlign w:val="bottom"/>
            <w:hideMark/>
          </w:tcPr>
          <w:p w:rsidR="004B7E21" w:rsidRPr="00474E2B" w:rsidRDefault="004B7E21" w:rsidP="0004396F">
            <w:pPr>
              <w:spacing w:after="0" w:line="240" w:lineRule="auto"/>
              <w:rPr>
                <w:rFonts w:ascii="Calibri" w:eastAsia="Times New Roman" w:hAnsi="Calibri" w:cs="Calibri"/>
                <w:color w:val="000000"/>
                <w:lang w:eastAsia="en-GB"/>
              </w:rPr>
            </w:pPr>
            <w:r w:rsidRPr="00474E2B">
              <w:rPr>
                <w:rFonts w:ascii="Calibri" w:eastAsia="Times New Roman" w:hAnsi="Calibri" w:cs="Calibri"/>
                <w:color w:val="000000"/>
                <w:lang w:eastAsia="en-GB"/>
              </w:rPr>
              <w:t>Guinea Bissau</w:t>
            </w:r>
          </w:p>
        </w:tc>
        <w:tc>
          <w:tcPr>
            <w:tcW w:w="2673" w:type="dxa"/>
            <w:tcBorders>
              <w:top w:val="nil"/>
              <w:left w:val="nil"/>
              <w:bottom w:val="nil"/>
              <w:right w:val="nil"/>
            </w:tcBorders>
            <w:shd w:val="clear" w:color="000000" w:fill="F2F2F2"/>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r w:rsidRPr="00474E2B">
              <w:rPr>
                <w:rFonts w:ascii="Calibri" w:eastAsia="Times New Roman" w:hAnsi="Calibri" w:cs="Calibri"/>
                <w:color w:val="000000"/>
                <w:lang w:eastAsia="en-GB"/>
              </w:rPr>
              <w:t>64</w:t>
            </w:r>
          </w:p>
        </w:tc>
        <w:tc>
          <w:tcPr>
            <w:tcW w:w="1448" w:type="dxa"/>
            <w:tcBorders>
              <w:top w:val="nil"/>
              <w:left w:val="single" w:sz="4" w:space="0" w:color="auto"/>
              <w:bottom w:val="nil"/>
              <w:right w:val="nil"/>
            </w:tcBorders>
            <w:shd w:val="clear" w:color="000000" w:fill="F2F2F2"/>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r w:rsidRPr="00474E2B">
              <w:rPr>
                <w:rFonts w:ascii="Calibri" w:eastAsia="Times New Roman" w:hAnsi="Calibri" w:cs="Calibri"/>
                <w:color w:val="000000"/>
                <w:lang w:eastAsia="en-GB"/>
              </w:rPr>
              <w:t>50</w:t>
            </w:r>
          </w:p>
        </w:tc>
        <w:tc>
          <w:tcPr>
            <w:tcW w:w="2149" w:type="dxa"/>
            <w:tcBorders>
              <w:top w:val="nil"/>
              <w:left w:val="nil"/>
              <w:bottom w:val="nil"/>
              <w:right w:val="single" w:sz="8" w:space="0" w:color="auto"/>
            </w:tcBorders>
            <w:shd w:val="clear" w:color="000000" w:fill="F2F2F2"/>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r w:rsidRPr="00474E2B">
              <w:rPr>
                <w:rFonts w:ascii="Calibri" w:eastAsia="Times New Roman" w:hAnsi="Calibri" w:cs="Calibri"/>
                <w:color w:val="000000"/>
                <w:lang w:eastAsia="en-GB"/>
              </w:rPr>
              <w:t>19</w:t>
            </w:r>
          </w:p>
        </w:tc>
        <w:tc>
          <w:tcPr>
            <w:tcW w:w="960" w:type="dxa"/>
            <w:tcBorders>
              <w:top w:val="nil"/>
              <w:left w:val="nil"/>
              <w:bottom w:val="nil"/>
              <w:right w:val="nil"/>
            </w:tcBorders>
            <w:shd w:val="clear" w:color="auto" w:fill="auto"/>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p>
        </w:tc>
      </w:tr>
      <w:tr w:rsidR="004B7E21" w:rsidRPr="00474E2B" w:rsidTr="0004396F">
        <w:trPr>
          <w:trHeight w:val="288"/>
        </w:trPr>
        <w:tc>
          <w:tcPr>
            <w:tcW w:w="1984" w:type="dxa"/>
            <w:tcBorders>
              <w:top w:val="nil"/>
              <w:left w:val="single" w:sz="8" w:space="0" w:color="auto"/>
              <w:bottom w:val="nil"/>
              <w:right w:val="nil"/>
            </w:tcBorders>
            <w:shd w:val="clear" w:color="000000" w:fill="F2F2F2"/>
            <w:noWrap/>
            <w:vAlign w:val="bottom"/>
            <w:hideMark/>
          </w:tcPr>
          <w:p w:rsidR="004B7E21" w:rsidRPr="00474E2B" w:rsidRDefault="004B7E21" w:rsidP="0004396F">
            <w:pPr>
              <w:spacing w:after="0" w:line="240" w:lineRule="auto"/>
              <w:rPr>
                <w:rFonts w:ascii="Calibri" w:eastAsia="Times New Roman" w:hAnsi="Calibri" w:cs="Calibri"/>
                <w:color w:val="000000"/>
                <w:lang w:eastAsia="en-GB"/>
              </w:rPr>
            </w:pPr>
            <w:r w:rsidRPr="00474E2B">
              <w:rPr>
                <w:rFonts w:ascii="Calibri" w:eastAsia="Times New Roman" w:hAnsi="Calibri" w:cs="Calibri"/>
                <w:color w:val="000000"/>
                <w:lang w:eastAsia="en-GB"/>
              </w:rPr>
              <w:t>Lesotho</w:t>
            </w:r>
          </w:p>
        </w:tc>
        <w:tc>
          <w:tcPr>
            <w:tcW w:w="2673" w:type="dxa"/>
            <w:tcBorders>
              <w:top w:val="nil"/>
              <w:left w:val="nil"/>
              <w:bottom w:val="nil"/>
              <w:right w:val="nil"/>
            </w:tcBorders>
            <w:shd w:val="clear" w:color="000000" w:fill="F2F2F2"/>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r w:rsidRPr="00474E2B">
              <w:rPr>
                <w:rFonts w:ascii="Calibri" w:eastAsia="Times New Roman" w:hAnsi="Calibri" w:cs="Calibri"/>
                <w:color w:val="000000"/>
                <w:lang w:eastAsia="en-GB"/>
              </w:rPr>
              <w:t>68</w:t>
            </w:r>
          </w:p>
        </w:tc>
        <w:tc>
          <w:tcPr>
            <w:tcW w:w="1448" w:type="dxa"/>
            <w:tcBorders>
              <w:top w:val="nil"/>
              <w:left w:val="single" w:sz="4" w:space="0" w:color="auto"/>
              <w:bottom w:val="nil"/>
              <w:right w:val="nil"/>
            </w:tcBorders>
            <w:shd w:val="clear" w:color="000000" w:fill="F2F2F2"/>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r w:rsidRPr="00474E2B">
              <w:rPr>
                <w:rFonts w:ascii="Calibri" w:eastAsia="Times New Roman" w:hAnsi="Calibri" w:cs="Calibri"/>
                <w:color w:val="000000"/>
                <w:lang w:eastAsia="en-GB"/>
              </w:rPr>
              <w:t>25</w:t>
            </w:r>
          </w:p>
        </w:tc>
        <w:tc>
          <w:tcPr>
            <w:tcW w:w="2149" w:type="dxa"/>
            <w:tcBorders>
              <w:top w:val="nil"/>
              <w:left w:val="nil"/>
              <w:bottom w:val="nil"/>
              <w:right w:val="single" w:sz="8" w:space="0" w:color="auto"/>
            </w:tcBorders>
            <w:shd w:val="clear" w:color="000000" w:fill="F2F2F2"/>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r w:rsidRPr="00474E2B">
              <w:rPr>
                <w:rFonts w:ascii="Calibri" w:eastAsia="Times New Roman" w:hAnsi="Calibri" w:cs="Calibri"/>
                <w:color w:val="000000"/>
                <w:lang w:eastAsia="en-GB"/>
              </w:rPr>
              <w:t>36</w:t>
            </w:r>
          </w:p>
        </w:tc>
        <w:tc>
          <w:tcPr>
            <w:tcW w:w="960" w:type="dxa"/>
            <w:tcBorders>
              <w:top w:val="nil"/>
              <w:left w:val="nil"/>
              <w:bottom w:val="nil"/>
              <w:right w:val="nil"/>
            </w:tcBorders>
            <w:shd w:val="clear" w:color="auto" w:fill="auto"/>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p>
        </w:tc>
      </w:tr>
      <w:tr w:rsidR="004B7E21" w:rsidRPr="00474E2B" w:rsidTr="0004396F">
        <w:trPr>
          <w:trHeight w:val="288"/>
        </w:trPr>
        <w:tc>
          <w:tcPr>
            <w:tcW w:w="1984" w:type="dxa"/>
            <w:tcBorders>
              <w:top w:val="nil"/>
              <w:left w:val="single" w:sz="8" w:space="0" w:color="auto"/>
              <w:bottom w:val="nil"/>
              <w:right w:val="nil"/>
            </w:tcBorders>
            <w:shd w:val="clear" w:color="000000" w:fill="F2F2F2"/>
            <w:noWrap/>
            <w:vAlign w:val="bottom"/>
            <w:hideMark/>
          </w:tcPr>
          <w:p w:rsidR="004B7E21" w:rsidRPr="00474E2B" w:rsidRDefault="004B7E21" w:rsidP="0004396F">
            <w:pPr>
              <w:spacing w:after="0" w:line="240" w:lineRule="auto"/>
              <w:rPr>
                <w:rFonts w:ascii="Calibri" w:eastAsia="Times New Roman" w:hAnsi="Calibri" w:cs="Calibri"/>
                <w:color w:val="000000"/>
                <w:lang w:eastAsia="en-GB"/>
              </w:rPr>
            </w:pPr>
            <w:r w:rsidRPr="00474E2B">
              <w:rPr>
                <w:rFonts w:ascii="Calibri" w:eastAsia="Times New Roman" w:hAnsi="Calibri" w:cs="Calibri"/>
                <w:color w:val="000000"/>
                <w:lang w:eastAsia="en-GB"/>
              </w:rPr>
              <w:t>Madagascar</w:t>
            </w:r>
          </w:p>
        </w:tc>
        <w:tc>
          <w:tcPr>
            <w:tcW w:w="2673" w:type="dxa"/>
            <w:tcBorders>
              <w:top w:val="nil"/>
              <w:left w:val="nil"/>
              <w:bottom w:val="nil"/>
              <w:right w:val="nil"/>
            </w:tcBorders>
            <w:shd w:val="clear" w:color="000000" w:fill="F2F2F2"/>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r w:rsidRPr="00474E2B">
              <w:rPr>
                <w:rFonts w:ascii="Calibri" w:eastAsia="Times New Roman" w:hAnsi="Calibri" w:cs="Calibri"/>
                <w:color w:val="000000"/>
                <w:lang w:eastAsia="en-GB"/>
              </w:rPr>
              <w:t>79</w:t>
            </w:r>
          </w:p>
        </w:tc>
        <w:tc>
          <w:tcPr>
            <w:tcW w:w="1448" w:type="dxa"/>
            <w:tcBorders>
              <w:top w:val="nil"/>
              <w:left w:val="single" w:sz="4" w:space="0" w:color="auto"/>
              <w:bottom w:val="nil"/>
              <w:right w:val="nil"/>
            </w:tcBorders>
            <w:shd w:val="clear" w:color="000000" w:fill="F2F2F2"/>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r w:rsidRPr="00474E2B">
              <w:rPr>
                <w:rFonts w:ascii="Calibri" w:eastAsia="Times New Roman" w:hAnsi="Calibri" w:cs="Calibri"/>
                <w:color w:val="000000"/>
                <w:lang w:eastAsia="en-GB"/>
              </w:rPr>
              <w:t>63</w:t>
            </w:r>
          </w:p>
        </w:tc>
        <w:tc>
          <w:tcPr>
            <w:tcW w:w="2149" w:type="dxa"/>
            <w:tcBorders>
              <w:top w:val="nil"/>
              <w:left w:val="nil"/>
              <w:bottom w:val="nil"/>
              <w:right w:val="single" w:sz="8" w:space="0" w:color="auto"/>
            </w:tcBorders>
            <w:shd w:val="clear" w:color="000000" w:fill="F2F2F2"/>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r w:rsidRPr="00474E2B">
              <w:rPr>
                <w:rFonts w:ascii="Calibri" w:eastAsia="Times New Roman" w:hAnsi="Calibri" w:cs="Calibri"/>
                <w:color w:val="000000"/>
                <w:lang w:eastAsia="en-GB"/>
              </w:rPr>
              <w:t>47</w:t>
            </w:r>
          </w:p>
        </w:tc>
        <w:tc>
          <w:tcPr>
            <w:tcW w:w="960" w:type="dxa"/>
            <w:tcBorders>
              <w:top w:val="nil"/>
              <w:left w:val="nil"/>
              <w:bottom w:val="nil"/>
              <w:right w:val="nil"/>
            </w:tcBorders>
            <w:shd w:val="clear" w:color="auto" w:fill="auto"/>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p>
        </w:tc>
      </w:tr>
      <w:tr w:rsidR="004B7E21" w:rsidRPr="00474E2B" w:rsidTr="0004396F">
        <w:trPr>
          <w:trHeight w:val="288"/>
        </w:trPr>
        <w:tc>
          <w:tcPr>
            <w:tcW w:w="1984" w:type="dxa"/>
            <w:tcBorders>
              <w:top w:val="nil"/>
              <w:left w:val="single" w:sz="8" w:space="0" w:color="auto"/>
              <w:bottom w:val="nil"/>
              <w:right w:val="nil"/>
            </w:tcBorders>
            <w:shd w:val="clear" w:color="000000" w:fill="F2F2F2"/>
            <w:noWrap/>
            <w:vAlign w:val="bottom"/>
            <w:hideMark/>
          </w:tcPr>
          <w:p w:rsidR="004B7E21" w:rsidRPr="00474E2B" w:rsidRDefault="004B7E21" w:rsidP="0004396F">
            <w:pPr>
              <w:spacing w:after="0" w:line="240" w:lineRule="auto"/>
              <w:rPr>
                <w:rFonts w:ascii="Calibri" w:eastAsia="Times New Roman" w:hAnsi="Calibri" w:cs="Calibri"/>
                <w:color w:val="000000"/>
                <w:lang w:eastAsia="en-GB"/>
              </w:rPr>
            </w:pPr>
            <w:r w:rsidRPr="00474E2B">
              <w:rPr>
                <w:rFonts w:ascii="Calibri" w:eastAsia="Times New Roman" w:hAnsi="Calibri" w:cs="Calibri"/>
                <w:color w:val="000000"/>
                <w:lang w:eastAsia="en-GB"/>
              </w:rPr>
              <w:t>Sierra Leone</w:t>
            </w:r>
          </w:p>
        </w:tc>
        <w:tc>
          <w:tcPr>
            <w:tcW w:w="2673" w:type="dxa"/>
            <w:tcBorders>
              <w:top w:val="nil"/>
              <w:left w:val="nil"/>
              <w:bottom w:val="nil"/>
              <w:right w:val="nil"/>
            </w:tcBorders>
            <w:shd w:val="clear" w:color="000000" w:fill="F2F2F2"/>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r w:rsidRPr="00474E2B">
              <w:rPr>
                <w:rFonts w:ascii="Calibri" w:eastAsia="Times New Roman" w:hAnsi="Calibri" w:cs="Calibri"/>
                <w:color w:val="000000"/>
                <w:lang w:eastAsia="en-GB"/>
              </w:rPr>
              <w:t>57</w:t>
            </w:r>
          </w:p>
        </w:tc>
        <w:tc>
          <w:tcPr>
            <w:tcW w:w="1448" w:type="dxa"/>
            <w:tcBorders>
              <w:top w:val="nil"/>
              <w:left w:val="single" w:sz="4" w:space="0" w:color="auto"/>
              <w:bottom w:val="nil"/>
              <w:right w:val="nil"/>
            </w:tcBorders>
            <w:shd w:val="clear" w:color="000000" w:fill="F2F2F2"/>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r w:rsidRPr="00474E2B">
              <w:rPr>
                <w:rFonts w:ascii="Calibri" w:eastAsia="Times New Roman" w:hAnsi="Calibri" w:cs="Calibri"/>
                <w:color w:val="000000"/>
                <w:lang w:eastAsia="en-GB"/>
              </w:rPr>
              <w:t>17</w:t>
            </w:r>
          </w:p>
        </w:tc>
        <w:tc>
          <w:tcPr>
            <w:tcW w:w="2149" w:type="dxa"/>
            <w:tcBorders>
              <w:top w:val="nil"/>
              <w:left w:val="nil"/>
              <w:bottom w:val="nil"/>
              <w:right w:val="single" w:sz="8" w:space="0" w:color="auto"/>
            </w:tcBorders>
            <w:shd w:val="clear" w:color="000000" w:fill="F2F2F2"/>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r w:rsidRPr="00474E2B">
              <w:rPr>
                <w:rFonts w:ascii="Calibri" w:eastAsia="Times New Roman" w:hAnsi="Calibri" w:cs="Calibri"/>
                <w:color w:val="000000"/>
                <w:lang w:eastAsia="en-GB"/>
              </w:rPr>
              <w:t>9</w:t>
            </w:r>
          </w:p>
        </w:tc>
        <w:tc>
          <w:tcPr>
            <w:tcW w:w="960" w:type="dxa"/>
            <w:tcBorders>
              <w:top w:val="nil"/>
              <w:left w:val="nil"/>
              <w:bottom w:val="nil"/>
              <w:right w:val="nil"/>
            </w:tcBorders>
            <w:shd w:val="clear" w:color="auto" w:fill="auto"/>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p>
        </w:tc>
      </w:tr>
      <w:tr w:rsidR="004B7E21" w:rsidRPr="00474E2B" w:rsidTr="0004396F">
        <w:trPr>
          <w:trHeight w:val="300"/>
        </w:trPr>
        <w:tc>
          <w:tcPr>
            <w:tcW w:w="1984" w:type="dxa"/>
            <w:tcBorders>
              <w:top w:val="nil"/>
              <w:left w:val="single" w:sz="8" w:space="0" w:color="auto"/>
              <w:bottom w:val="single" w:sz="8" w:space="0" w:color="auto"/>
              <w:right w:val="nil"/>
            </w:tcBorders>
            <w:shd w:val="clear" w:color="000000" w:fill="F2F2F2"/>
            <w:noWrap/>
            <w:vAlign w:val="bottom"/>
            <w:hideMark/>
          </w:tcPr>
          <w:p w:rsidR="004B7E21" w:rsidRPr="00474E2B" w:rsidRDefault="004B7E21" w:rsidP="0004396F">
            <w:pPr>
              <w:spacing w:after="0" w:line="240" w:lineRule="auto"/>
              <w:rPr>
                <w:rFonts w:ascii="Calibri" w:eastAsia="Times New Roman" w:hAnsi="Calibri" w:cs="Calibri"/>
                <w:color w:val="000000"/>
                <w:lang w:eastAsia="en-GB"/>
              </w:rPr>
            </w:pPr>
            <w:r w:rsidRPr="00474E2B">
              <w:rPr>
                <w:rFonts w:ascii="Calibri" w:eastAsia="Times New Roman" w:hAnsi="Calibri" w:cs="Calibri"/>
                <w:color w:val="000000"/>
                <w:lang w:eastAsia="en-GB"/>
              </w:rPr>
              <w:t>Zimbabwe</w:t>
            </w:r>
          </w:p>
        </w:tc>
        <w:tc>
          <w:tcPr>
            <w:tcW w:w="2673" w:type="dxa"/>
            <w:tcBorders>
              <w:top w:val="nil"/>
              <w:left w:val="nil"/>
              <w:bottom w:val="single" w:sz="8" w:space="0" w:color="auto"/>
              <w:right w:val="nil"/>
            </w:tcBorders>
            <w:shd w:val="clear" w:color="000000" w:fill="F2F2F2"/>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r w:rsidRPr="00474E2B">
              <w:rPr>
                <w:rFonts w:ascii="Calibri" w:eastAsia="Times New Roman" w:hAnsi="Calibri" w:cs="Calibri"/>
                <w:color w:val="000000"/>
                <w:lang w:eastAsia="en-GB"/>
              </w:rPr>
              <w:t>74</w:t>
            </w:r>
          </w:p>
        </w:tc>
        <w:tc>
          <w:tcPr>
            <w:tcW w:w="1448" w:type="dxa"/>
            <w:tcBorders>
              <w:top w:val="nil"/>
              <w:left w:val="single" w:sz="4" w:space="0" w:color="auto"/>
              <w:bottom w:val="single" w:sz="8" w:space="0" w:color="auto"/>
              <w:right w:val="nil"/>
            </w:tcBorders>
            <w:shd w:val="clear" w:color="000000" w:fill="F2F2F2"/>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r w:rsidRPr="00474E2B">
              <w:rPr>
                <w:rFonts w:ascii="Calibri" w:eastAsia="Times New Roman" w:hAnsi="Calibri" w:cs="Calibri"/>
                <w:color w:val="000000"/>
                <w:lang w:eastAsia="en-GB"/>
              </w:rPr>
              <w:t>36</w:t>
            </w:r>
          </w:p>
        </w:tc>
        <w:tc>
          <w:tcPr>
            <w:tcW w:w="2149" w:type="dxa"/>
            <w:tcBorders>
              <w:top w:val="nil"/>
              <w:left w:val="nil"/>
              <w:bottom w:val="single" w:sz="8" w:space="0" w:color="auto"/>
              <w:right w:val="single" w:sz="8" w:space="0" w:color="auto"/>
            </w:tcBorders>
            <w:shd w:val="clear" w:color="000000" w:fill="F2F2F2"/>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r w:rsidRPr="00474E2B">
              <w:rPr>
                <w:rFonts w:ascii="Calibri" w:eastAsia="Times New Roman" w:hAnsi="Calibri" w:cs="Calibri"/>
                <w:color w:val="000000"/>
                <w:lang w:eastAsia="en-GB"/>
              </w:rPr>
              <w:t>21</w:t>
            </w:r>
          </w:p>
        </w:tc>
        <w:tc>
          <w:tcPr>
            <w:tcW w:w="960" w:type="dxa"/>
            <w:tcBorders>
              <w:top w:val="nil"/>
              <w:left w:val="nil"/>
              <w:bottom w:val="nil"/>
              <w:right w:val="nil"/>
            </w:tcBorders>
            <w:shd w:val="clear" w:color="auto" w:fill="auto"/>
            <w:noWrap/>
            <w:vAlign w:val="bottom"/>
            <w:hideMark/>
          </w:tcPr>
          <w:p w:rsidR="004B7E21" w:rsidRPr="00474E2B" w:rsidRDefault="004B7E21" w:rsidP="0004396F">
            <w:pPr>
              <w:spacing w:after="0" w:line="240" w:lineRule="auto"/>
              <w:jc w:val="center"/>
              <w:rPr>
                <w:rFonts w:ascii="Calibri" w:eastAsia="Times New Roman" w:hAnsi="Calibri" w:cs="Calibri"/>
                <w:color w:val="000000"/>
                <w:lang w:eastAsia="en-GB"/>
              </w:rPr>
            </w:pPr>
          </w:p>
        </w:tc>
      </w:tr>
    </w:tbl>
    <w:p w:rsidR="004B7E21" w:rsidRPr="005C5E5A" w:rsidRDefault="004B7E21" w:rsidP="004B7E21">
      <w:pPr>
        <w:jc w:val="both"/>
        <w:rPr>
          <w:rFonts w:asciiTheme="majorHAnsi" w:hAnsiTheme="majorHAnsi" w:cstheme="majorHAnsi"/>
          <w:sz w:val="28"/>
          <w:szCs w:val="28"/>
        </w:rPr>
      </w:pPr>
    </w:p>
    <w:p w:rsidR="004B7E21" w:rsidRDefault="004B7E21">
      <w:pPr>
        <w:rPr>
          <w:rFonts w:asciiTheme="majorHAnsi" w:hAnsiTheme="majorHAnsi" w:cstheme="majorHAnsi"/>
          <w:sz w:val="28"/>
          <w:szCs w:val="28"/>
        </w:rPr>
      </w:pPr>
      <w:r>
        <w:rPr>
          <w:rFonts w:asciiTheme="majorHAnsi" w:hAnsiTheme="majorHAnsi" w:cstheme="majorHAnsi"/>
          <w:sz w:val="28"/>
          <w:szCs w:val="28"/>
        </w:rPr>
        <w:br w:type="page"/>
      </w:r>
    </w:p>
    <w:tbl>
      <w:tblPr>
        <w:tblW w:w="9360" w:type="dxa"/>
        <w:tblLook w:val="04A0" w:firstRow="1" w:lastRow="0" w:firstColumn="1" w:lastColumn="0" w:noHBand="0" w:noVBand="1"/>
      </w:tblPr>
      <w:tblGrid>
        <w:gridCol w:w="2627"/>
        <w:gridCol w:w="1606"/>
        <w:gridCol w:w="1844"/>
        <w:gridCol w:w="1526"/>
        <w:gridCol w:w="1757"/>
      </w:tblGrid>
      <w:tr w:rsidR="004B7E21" w:rsidRPr="005C5E5A" w:rsidTr="0004396F">
        <w:trPr>
          <w:trHeight w:val="288"/>
        </w:trPr>
        <w:tc>
          <w:tcPr>
            <w:tcW w:w="9360" w:type="dxa"/>
            <w:gridSpan w:val="5"/>
            <w:tcBorders>
              <w:top w:val="nil"/>
              <w:left w:val="nil"/>
              <w:bottom w:val="nil"/>
              <w:right w:val="nil"/>
            </w:tcBorders>
            <w:shd w:val="clear" w:color="auto" w:fill="auto"/>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Pr>
                <w:rFonts w:asciiTheme="majorHAnsi" w:eastAsia="Times New Roman" w:hAnsiTheme="majorHAnsi" w:cstheme="majorHAnsi"/>
                <w:color w:val="000000"/>
                <w:lang w:eastAsia="en-GB"/>
              </w:rPr>
              <w:t>Table 7</w:t>
            </w:r>
            <w:r w:rsidRPr="005C5E5A">
              <w:rPr>
                <w:rFonts w:asciiTheme="majorHAnsi" w:eastAsia="Times New Roman" w:hAnsiTheme="majorHAnsi" w:cstheme="majorHAnsi"/>
                <w:color w:val="000000"/>
                <w:lang w:eastAsia="en-GB"/>
              </w:rPr>
              <w:t>:</w:t>
            </w:r>
            <w:r>
              <w:rPr>
                <w:rFonts w:asciiTheme="majorHAnsi" w:eastAsia="Times New Roman" w:hAnsiTheme="majorHAnsi" w:cstheme="majorHAnsi"/>
                <w:color w:val="000000"/>
                <w:lang w:eastAsia="en-GB"/>
              </w:rPr>
              <w:t xml:space="preserve"> Private school students as a </w:t>
            </w:r>
            <w:r w:rsidRPr="005C5E5A">
              <w:rPr>
                <w:rFonts w:asciiTheme="majorHAnsi" w:eastAsia="Times New Roman" w:hAnsiTheme="majorHAnsi" w:cstheme="majorHAnsi"/>
                <w:color w:val="000000"/>
                <w:lang w:eastAsia="en-GB"/>
              </w:rPr>
              <w:t>% of total primary and secondary school enrolments by location,</w:t>
            </w:r>
          </w:p>
        </w:tc>
      </w:tr>
      <w:tr w:rsidR="004B7E21" w:rsidRPr="005C5E5A" w:rsidTr="0004396F">
        <w:trPr>
          <w:trHeight w:val="300"/>
        </w:trPr>
        <w:tc>
          <w:tcPr>
            <w:tcW w:w="9360" w:type="dxa"/>
            <w:gridSpan w:val="5"/>
            <w:tcBorders>
              <w:top w:val="nil"/>
              <w:left w:val="nil"/>
              <w:bottom w:val="nil"/>
              <w:right w:val="nil"/>
            </w:tcBorders>
            <w:shd w:val="clear" w:color="auto" w:fill="auto"/>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MICS6 countries, 2017-2019 (rounded %)</w:t>
            </w:r>
          </w:p>
        </w:tc>
      </w:tr>
      <w:tr w:rsidR="004B7E21" w:rsidRPr="005C5E5A" w:rsidTr="0004396F">
        <w:trPr>
          <w:trHeight w:val="288"/>
        </w:trPr>
        <w:tc>
          <w:tcPr>
            <w:tcW w:w="2627" w:type="dxa"/>
            <w:tcBorders>
              <w:top w:val="single" w:sz="8" w:space="0" w:color="auto"/>
              <w:left w:val="single" w:sz="8" w:space="0" w:color="auto"/>
              <w:bottom w:val="nil"/>
              <w:right w:val="nil"/>
            </w:tcBorders>
            <w:shd w:val="clear" w:color="000000" w:fill="C6E0B4"/>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 </w:t>
            </w:r>
          </w:p>
        </w:tc>
        <w:tc>
          <w:tcPr>
            <w:tcW w:w="3450" w:type="dxa"/>
            <w:gridSpan w:val="2"/>
            <w:tcBorders>
              <w:top w:val="single" w:sz="8" w:space="0" w:color="auto"/>
              <w:left w:val="nil"/>
              <w:bottom w:val="nil"/>
              <w:right w:val="nil"/>
            </w:tcBorders>
            <w:shd w:val="clear" w:color="000000" w:fill="C6E0B4"/>
            <w:noWrap/>
            <w:vAlign w:val="bottom"/>
            <w:hideMark/>
          </w:tcPr>
          <w:p w:rsidR="004B7E21" w:rsidRPr="005C5E5A" w:rsidRDefault="004B7E21" w:rsidP="0004396F">
            <w:pPr>
              <w:spacing w:after="0" w:line="240" w:lineRule="auto"/>
              <w:ind w:firstLineChars="700" w:firstLine="1540"/>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Primary</w:t>
            </w:r>
          </w:p>
        </w:tc>
        <w:tc>
          <w:tcPr>
            <w:tcW w:w="3283" w:type="dxa"/>
            <w:gridSpan w:val="2"/>
            <w:tcBorders>
              <w:top w:val="single" w:sz="8" w:space="0" w:color="auto"/>
              <w:left w:val="single" w:sz="4" w:space="0" w:color="auto"/>
              <w:bottom w:val="nil"/>
              <w:right w:val="single" w:sz="8" w:space="0" w:color="000000"/>
            </w:tcBorders>
            <w:shd w:val="clear" w:color="000000" w:fill="C6E0B4"/>
            <w:noWrap/>
            <w:vAlign w:val="bottom"/>
            <w:hideMark/>
          </w:tcPr>
          <w:p w:rsidR="004B7E21" w:rsidRPr="005C5E5A" w:rsidRDefault="004B7E21" w:rsidP="0004396F">
            <w:pPr>
              <w:spacing w:after="0" w:line="240" w:lineRule="auto"/>
              <w:ind w:firstLineChars="600" w:firstLine="1320"/>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Secondary</w:t>
            </w:r>
          </w:p>
        </w:tc>
      </w:tr>
      <w:tr w:rsidR="004B7E21" w:rsidRPr="005C5E5A" w:rsidTr="0004396F">
        <w:trPr>
          <w:trHeight w:val="288"/>
        </w:trPr>
        <w:tc>
          <w:tcPr>
            <w:tcW w:w="2627" w:type="dxa"/>
            <w:tcBorders>
              <w:top w:val="nil"/>
              <w:left w:val="single" w:sz="8" w:space="0" w:color="auto"/>
              <w:bottom w:val="nil"/>
              <w:right w:val="nil"/>
            </w:tcBorders>
            <w:shd w:val="clear" w:color="000000" w:fill="C6E0B4"/>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Country</w:t>
            </w:r>
          </w:p>
        </w:tc>
        <w:tc>
          <w:tcPr>
            <w:tcW w:w="1606" w:type="dxa"/>
            <w:tcBorders>
              <w:top w:val="nil"/>
              <w:left w:val="nil"/>
              <w:bottom w:val="nil"/>
              <w:right w:val="nil"/>
            </w:tcBorders>
            <w:shd w:val="clear" w:color="000000" w:fill="C6E0B4"/>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Rural</w:t>
            </w:r>
          </w:p>
        </w:tc>
        <w:tc>
          <w:tcPr>
            <w:tcW w:w="1844" w:type="dxa"/>
            <w:tcBorders>
              <w:top w:val="nil"/>
              <w:left w:val="nil"/>
              <w:bottom w:val="nil"/>
              <w:right w:val="nil"/>
            </w:tcBorders>
            <w:shd w:val="clear" w:color="000000" w:fill="C6E0B4"/>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Urban</w:t>
            </w:r>
          </w:p>
        </w:tc>
        <w:tc>
          <w:tcPr>
            <w:tcW w:w="1526" w:type="dxa"/>
            <w:tcBorders>
              <w:top w:val="nil"/>
              <w:left w:val="single" w:sz="4" w:space="0" w:color="auto"/>
              <w:bottom w:val="nil"/>
              <w:right w:val="nil"/>
            </w:tcBorders>
            <w:shd w:val="clear" w:color="000000" w:fill="C6E0B4"/>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Rural</w:t>
            </w:r>
          </w:p>
        </w:tc>
        <w:tc>
          <w:tcPr>
            <w:tcW w:w="1757" w:type="dxa"/>
            <w:tcBorders>
              <w:top w:val="nil"/>
              <w:left w:val="nil"/>
              <w:bottom w:val="nil"/>
              <w:right w:val="single" w:sz="8" w:space="0" w:color="auto"/>
            </w:tcBorders>
            <w:shd w:val="clear" w:color="000000" w:fill="C6E0B4"/>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Urban</w:t>
            </w:r>
          </w:p>
        </w:tc>
      </w:tr>
      <w:tr w:rsidR="004B7E21" w:rsidRPr="005C5E5A" w:rsidTr="0004396F">
        <w:trPr>
          <w:trHeight w:val="288"/>
        </w:trPr>
        <w:tc>
          <w:tcPr>
            <w:tcW w:w="2627" w:type="dxa"/>
            <w:tcBorders>
              <w:top w:val="single" w:sz="4" w:space="0" w:color="auto"/>
              <w:left w:val="single" w:sz="8" w:space="0" w:color="auto"/>
              <w:bottom w:val="nil"/>
              <w:right w:val="nil"/>
            </w:tcBorders>
            <w:shd w:val="clear" w:color="000000" w:fill="F2F2F2"/>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DR Congo</w:t>
            </w:r>
          </w:p>
        </w:tc>
        <w:tc>
          <w:tcPr>
            <w:tcW w:w="1606" w:type="dxa"/>
            <w:tcBorders>
              <w:top w:val="single" w:sz="4" w:space="0" w:color="auto"/>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7</w:t>
            </w:r>
          </w:p>
        </w:tc>
        <w:tc>
          <w:tcPr>
            <w:tcW w:w="1844" w:type="dxa"/>
            <w:tcBorders>
              <w:top w:val="single" w:sz="4" w:space="0" w:color="auto"/>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30</w:t>
            </w:r>
          </w:p>
        </w:tc>
        <w:tc>
          <w:tcPr>
            <w:tcW w:w="1526" w:type="dxa"/>
            <w:tcBorders>
              <w:top w:val="single" w:sz="4" w:space="0" w:color="auto"/>
              <w:left w:val="single" w:sz="4" w:space="0" w:color="auto"/>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9</w:t>
            </w:r>
          </w:p>
        </w:tc>
        <w:tc>
          <w:tcPr>
            <w:tcW w:w="1757" w:type="dxa"/>
            <w:tcBorders>
              <w:top w:val="single" w:sz="4" w:space="0" w:color="auto"/>
              <w:left w:val="nil"/>
              <w:bottom w:val="nil"/>
              <w:right w:val="single" w:sz="8" w:space="0" w:color="auto"/>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21</w:t>
            </w:r>
          </w:p>
        </w:tc>
      </w:tr>
      <w:tr w:rsidR="004B7E21" w:rsidRPr="005C5E5A" w:rsidTr="0004396F">
        <w:trPr>
          <w:trHeight w:val="288"/>
        </w:trPr>
        <w:tc>
          <w:tcPr>
            <w:tcW w:w="2627" w:type="dxa"/>
            <w:tcBorders>
              <w:top w:val="nil"/>
              <w:left w:val="single" w:sz="8" w:space="0" w:color="auto"/>
              <w:bottom w:val="nil"/>
              <w:right w:val="nil"/>
            </w:tcBorders>
            <w:shd w:val="clear" w:color="000000" w:fill="F2F2F2"/>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Ghana</w:t>
            </w:r>
          </w:p>
        </w:tc>
        <w:tc>
          <w:tcPr>
            <w:tcW w:w="1606"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16</w:t>
            </w:r>
          </w:p>
        </w:tc>
        <w:tc>
          <w:tcPr>
            <w:tcW w:w="1844"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38</w:t>
            </w:r>
          </w:p>
        </w:tc>
        <w:tc>
          <w:tcPr>
            <w:tcW w:w="1526" w:type="dxa"/>
            <w:tcBorders>
              <w:top w:val="nil"/>
              <w:left w:val="single" w:sz="4" w:space="0" w:color="auto"/>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9</w:t>
            </w:r>
          </w:p>
        </w:tc>
        <w:tc>
          <w:tcPr>
            <w:tcW w:w="1757" w:type="dxa"/>
            <w:tcBorders>
              <w:top w:val="nil"/>
              <w:left w:val="nil"/>
              <w:bottom w:val="nil"/>
              <w:right w:val="single" w:sz="8" w:space="0" w:color="auto"/>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21</w:t>
            </w:r>
          </w:p>
        </w:tc>
      </w:tr>
      <w:tr w:rsidR="004B7E21" w:rsidRPr="005C5E5A" w:rsidTr="0004396F">
        <w:trPr>
          <w:trHeight w:val="288"/>
        </w:trPr>
        <w:tc>
          <w:tcPr>
            <w:tcW w:w="2627" w:type="dxa"/>
            <w:tcBorders>
              <w:top w:val="nil"/>
              <w:left w:val="single" w:sz="8" w:space="0" w:color="auto"/>
              <w:bottom w:val="nil"/>
              <w:right w:val="nil"/>
            </w:tcBorders>
            <w:shd w:val="clear" w:color="000000" w:fill="F2F2F2"/>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Guinea Bissau</w:t>
            </w:r>
          </w:p>
        </w:tc>
        <w:tc>
          <w:tcPr>
            <w:tcW w:w="1606"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45</w:t>
            </w:r>
          </w:p>
        </w:tc>
        <w:tc>
          <w:tcPr>
            <w:tcW w:w="1844"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64</w:t>
            </w:r>
          </w:p>
        </w:tc>
        <w:tc>
          <w:tcPr>
            <w:tcW w:w="1526" w:type="dxa"/>
            <w:tcBorders>
              <w:top w:val="nil"/>
              <w:left w:val="single" w:sz="4" w:space="0" w:color="auto"/>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30</w:t>
            </w:r>
          </w:p>
        </w:tc>
        <w:tc>
          <w:tcPr>
            <w:tcW w:w="1757" w:type="dxa"/>
            <w:tcBorders>
              <w:top w:val="nil"/>
              <w:left w:val="nil"/>
              <w:bottom w:val="nil"/>
              <w:right w:val="single" w:sz="8" w:space="0" w:color="auto"/>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50</w:t>
            </w:r>
          </w:p>
        </w:tc>
      </w:tr>
      <w:tr w:rsidR="004B7E21" w:rsidRPr="005C5E5A" w:rsidTr="0004396F">
        <w:trPr>
          <w:trHeight w:val="288"/>
        </w:trPr>
        <w:tc>
          <w:tcPr>
            <w:tcW w:w="2627" w:type="dxa"/>
            <w:tcBorders>
              <w:top w:val="nil"/>
              <w:left w:val="single" w:sz="8" w:space="0" w:color="auto"/>
              <w:bottom w:val="nil"/>
              <w:right w:val="nil"/>
            </w:tcBorders>
            <w:shd w:val="clear" w:color="000000" w:fill="F2F2F2"/>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Lesotho</w:t>
            </w:r>
          </w:p>
        </w:tc>
        <w:tc>
          <w:tcPr>
            <w:tcW w:w="1606"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3</w:t>
            </w:r>
          </w:p>
        </w:tc>
        <w:tc>
          <w:tcPr>
            <w:tcW w:w="1844"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21</w:t>
            </w:r>
          </w:p>
        </w:tc>
        <w:tc>
          <w:tcPr>
            <w:tcW w:w="1526" w:type="dxa"/>
            <w:tcBorders>
              <w:top w:val="nil"/>
              <w:left w:val="single" w:sz="4" w:space="0" w:color="auto"/>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5</w:t>
            </w:r>
          </w:p>
        </w:tc>
        <w:tc>
          <w:tcPr>
            <w:tcW w:w="1757" w:type="dxa"/>
            <w:tcBorders>
              <w:top w:val="nil"/>
              <w:left w:val="nil"/>
              <w:bottom w:val="nil"/>
              <w:right w:val="single" w:sz="8" w:space="0" w:color="auto"/>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12</w:t>
            </w:r>
          </w:p>
        </w:tc>
      </w:tr>
      <w:tr w:rsidR="004B7E21" w:rsidRPr="005C5E5A" w:rsidTr="0004396F">
        <w:trPr>
          <w:trHeight w:val="288"/>
        </w:trPr>
        <w:tc>
          <w:tcPr>
            <w:tcW w:w="2627" w:type="dxa"/>
            <w:tcBorders>
              <w:top w:val="nil"/>
              <w:left w:val="single" w:sz="8" w:space="0" w:color="auto"/>
              <w:bottom w:val="nil"/>
              <w:right w:val="nil"/>
            </w:tcBorders>
            <w:shd w:val="clear" w:color="000000" w:fill="F2F2F2"/>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Madagascar</w:t>
            </w:r>
          </w:p>
        </w:tc>
        <w:tc>
          <w:tcPr>
            <w:tcW w:w="1606"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16</w:t>
            </w:r>
          </w:p>
        </w:tc>
        <w:tc>
          <w:tcPr>
            <w:tcW w:w="1844"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35</w:t>
            </w:r>
          </w:p>
        </w:tc>
        <w:tc>
          <w:tcPr>
            <w:tcW w:w="1526" w:type="dxa"/>
            <w:tcBorders>
              <w:top w:val="nil"/>
              <w:left w:val="single" w:sz="4" w:space="0" w:color="auto"/>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31</w:t>
            </w:r>
          </w:p>
        </w:tc>
        <w:tc>
          <w:tcPr>
            <w:tcW w:w="1757" w:type="dxa"/>
            <w:tcBorders>
              <w:top w:val="nil"/>
              <w:left w:val="nil"/>
              <w:bottom w:val="nil"/>
              <w:right w:val="single" w:sz="8" w:space="0" w:color="auto"/>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50</w:t>
            </w:r>
          </w:p>
        </w:tc>
      </w:tr>
      <w:tr w:rsidR="004B7E21" w:rsidRPr="005C5E5A" w:rsidTr="0004396F">
        <w:trPr>
          <w:trHeight w:val="288"/>
        </w:trPr>
        <w:tc>
          <w:tcPr>
            <w:tcW w:w="2627" w:type="dxa"/>
            <w:tcBorders>
              <w:top w:val="nil"/>
              <w:left w:val="single" w:sz="8" w:space="0" w:color="auto"/>
              <w:bottom w:val="nil"/>
              <w:right w:val="nil"/>
            </w:tcBorders>
            <w:shd w:val="clear" w:color="000000" w:fill="F2F2F2"/>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Sierra Leone</w:t>
            </w:r>
          </w:p>
        </w:tc>
        <w:tc>
          <w:tcPr>
            <w:tcW w:w="1606"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3</w:t>
            </w:r>
          </w:p>
        </w:tc>
        <w:tc>
          <w:tcPr>
            <w:tcW w:w="1844" w:type="dxa"/>
            <w:tcBorders>
              <w:top w:val="nil"/>
              <w:left w:val="nil"/>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20</w:t>
            </w:r>
          </w:p>
        </w:tc>
        <w:tc>
          <w:tcPr>
            <w:tcW w:w="1526" w:type="dxa"/>
            <w:tcBorders>
              <w:top w:val="nil"/>
              <w:left w:val="single" w:sz="4" w:space="0" w:color="auto"/>
              <w:bottom w:val="nil"/>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5</w:t>
            </w:r>
          </w:p>
        </w:tc>
        <w:tc>
          <w:tcPr>
            <w:tcW w:w="1757" w:type="dxa"/>
            <w:tcBorders>
              <w:top w:val="nil"/>
              <w:left w:val="nil"/>
              <w:bottom w:val="nil"/>
              <w:right w:val="single" w:sz="8" w:space="0" w:color="auto"/>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17</w:t>
            </w:r>
          </w:p>
        </w:tc>
      </w:tr>
      <w:tr w:rsidR="004B7E21" w:rsidRPr="005C5E5A" w:rsidTr="0004396F">
        <w:trPr>
          <w:trHeight w:val="300"/>
        </w:trPr>
        <w:tc>
          <w:tcPr>
            <w:tcW w:w="2627" w:type="dxa"/>
            <w:tcBorders>
              <w:top w:val="nil"/>
              <w:left w:val="single" w:sz="8" w:space="0" w:color="auto"/>
              <w:bottom w:val="single" w:sz="8" w:space="0" w:color="auto"/>
              <w:right w:val="nil"/>
            </w:tcBorders>
            <w:shd w:val="clear" w:color="000000" w:fill="F2F2F2"/>
            <w:noWrap/>
            <w:vAlign w:val="bottom"/>
            <w:hideMark/>
          </w:tcPr>
          <w:p w:rsidR="004B7E21" w:rsidRPr="005C5E5A" w:rsidRDefault="004B7E21" w:rsidP="0004396F">
            <w:pPr>
              <w:spacing w:after="0" w:line="240" w:lineRule="auto"/>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Zimbabwe</w:t>
            </w:r>
          </w:p>
        </w:tc>
        <w:tc>
          <w:tcPr>
            <w:tcW w:w="1606" w:type="dxa"/>
            <w:tcBorders>
              <w:top w:val="nil"/>
              <w:left w:val="nil"/>
              <w:bottom w:val="single" w:sz="8" w:space="0" w:color="auto"/>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2</w:t>
            </w:r>
          </w:p>
        </w:tc>
        <w:tc>
          <w:tcPr>
            <w:tcW w:w="1844" w:type="dxa"/>
            <w:tcBorders>
              <w:top w:val="nil"/>
              <w:left w:val="nil"/>
              <w:bottom w:val="single" w:sz="8" w:space="0" w:color="auto"/>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12</w:t>
            </w:r>
          </w:p>
        </w:tc>
        <w:tc>
          <w:tcPr>
            <w:tcW w:w="1526" w:type="dxa"/>
            <w:tcBorders>
              <w:top w:val="nil"/>
              <w:left w:val="single" w:sz="4" w:space="0" w:color="auto"/>
              <w:bottom w:val="single" w:sz="8" w:space="0" w:color="auto"/>
              <w:right w:val="nil"/>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3</w:t>
            </w:r>
          </w:p>
        </w:tc>
        <w:tc>
          <w:tcPr>
            <w:tcW w:w="1757" w:type="dxa"/>
            <w:tcBorders>
              <w:top w:val="nil"/>
              <w:left w:val="nil"/>
              <w:bottom w:val="single" w:sz="8" w:space="0" w:color="auto"/>
              <w:right w:val="single" w:sz="8" w:space="0" w:color="auto"/>
            </w:tcBorders>
            <w:shd w:val="clear" w:color="000000" w:fill="F2F2F2"/>
            <w:noWrap/>
            <w:vAlign w:val="bottom"/>
            <w:hideMark/>
          </w:tcPr>
          <w:p w:rsidR="004B7E21" w:rsidRPr="005C5E5A" w:rsidRDefault="004B7E21" w:rsidP="0004396F">
            <w:pPr>
              <w:spacing w:after="0" w:line="240" w:lineRule="auto"/>
              <w:jc w:val="center"/>
              <w:rPr>
                <w:rFonts w:asciiTheme="majorHAnsi" w:eastAsia="Times New Roman" w:hAnsiTheme="majorHAnsi" w:cstheme="majorHAnsi"/>
                <w:color w:val="000000"/>
                <w:lang w:eastAsia="en-GB"/>
              </w:rPr>
            </w:pPr>
            <w:r w:rsidRPr="005C5E5A">
              <w:rPr>
                <w:rFonts w:asciiTheme="majorHAnsi" w:eastAsia="Times New Roman" w:hAnsiTheme="majorHAnsi" w:cstheme="majorHAnsi"/>
                <w:color w:val="000000"/>
                <w:lang w:eastAsia="en-GB"/>
              </w:rPr>
              <w:t>22</w:t>
            </w:r>
          </w:p>
        </w:tc>
      </w:tr>
    </w:tbl>
    <w:p w:rsidR="004B7E21" w:rsidRDefault="004B7E21" w:rsidP="004B7E21">
      <w:pPr>
        <w:jc w:val="both"/>
        <w:rPr>
          <w:rFonts w:asciiTheme="majorHAnsi" w:hAnsiTheme="majorHAnsi" w:cstheme="majorHAnsi"/>
          <w:sz w:val="28"/>
          <w:szCs w:val="28"/>
        </w:rPr>
      </w:pPr>
    </w:p>
    <w:p w:rsidR="004B7E21" w:rsidRDefault="004B7E21">
      <w:pPr>
        <w:rPr>
          <w:rFonts w:asciiTheme="majorHAnsi" w:hAnsiTheme="majorHAnsi" w:cstheme="majorHAnsi"/>
          <w:sz w:val="28"/>
          <w:szCs w:val="28"/>
        </w:rPr>
      </w:pPr>
      <w:r>
        <w:rPr>
          <w:rFonts w:asciiTheme="majorHAnsi" w:hAnsiTheme="majorHAnsi" w:cstheme="majorHAnsi"/>
          <w:sz w:val="28"/>
          <w:szCs w:val="28"/>
        </w:rPr>
        <w:br w:type="page"/>
      </w:r>
    </w:p>
    <w:p w:rsidR="004B7E21" w:rsidRDefault="004B7E21">
      <w:pPr>
        <w:rPr>
          <w:rFonts w:asciiTheme="majorHAnsi" w:hAnsiTheme="majorHAnsi" w:cstheme="majorHAnsi"/>
          <w:sz w:val="28"/>
          <w:szCs w:val="28"/>
        </w:rPr>
      </w:pPr>
    </w:p>
    <w:tbl>
      <w:tblPr>
        <w:tblW w:w="9588" w:type="dxa"/>
        <w:tblLook w:val="04A0" w:firstRow="1" w:lastRow="0" w:firstColumn="1" w:lastColumn="0" w:noHBand="0" w:noVBand="1"/>
      </w:tblPr>
      <w:tblGrid>
        <w:gridCol w:w="1443"/>
        <w:gridCol w:w="976"/>
        <w:gridCol w:w="1202"/>
        <w:gridCol w:w="1280"/>
        <w:gridCol w:w="864"/>
        <w:gridCol w:w="908"/>
        <w:gridCol w:w="944"/>
        <w:gridCol w:w="1005"/>
        <w:gridCol w:w="966"/>
      </w:tblGrid>
      <w:tr w:rsidR="004B7E21" w:rsidRPr="002D74EB" w:rsidTr="0004396F">
        <w:trPr>
          <w:trHeight w:val="288"/>
        </w:trPr>
        <w:tc>
          <w:tcPr>
            <w:tcW w:w="9588" w:type="dxa"/>
            <w:gridSpan w:val="9"/>
            <w:tcBorders>
              <w:top w:val="nil"/>
              <w:left w:val="nil"/>
              <w:bottom w:val="nil"/>
              <w:right w:val="nil"/>
            </w:tcBorders>
            <w:shd w:val="clear" w:color="auto" w:fill="auto"/>
            <w:noWrap/>
            <w:vAlign w:val="bottom"/>
            <w:hideMark/>
          </w:tcPr>
          <w:p w:rsidR="004B7E21" w:rsidRPr="002D74EB" w:rsidRDefault="004B7E21" w:rsidP="0004396F">
            <w:pPr>
              <w:spacing w:after="0" w:line="240" w:lineRule="auto"/>
              <w:rPr>
                <w:rFonts w:asciiTheme="majorHAnsi" w:eastAsia="Times New Roman" w:hAnsiTheme="majorHAnsi" w:cstheme="majorHAnsi"/>
                <w:color w:val="000000"/>
                <w:lang w:eastAsia="en-GB"/>
              </w:rPr>
            </w:pPr>
            <w:r>
              <w:rPr>
                <w:rFonts w:asciiTheme="majorHAnsi" w:eastAsia="Times New Roman" w:hAnsiTheme="majorHAnsi" w:cstheme="majorHAnsi"/>
                <w:color w:val="000000"/>
                <w:lang w:eastAsia="en-GB"/>
              </w:rPr>
              <w:t>Table 8</w:t>
            </w:r>
            <w:r w:rsidRPr="002D74EB">
              <w:rPr>
                <w:rFonts w:asciiTheme="majorHAnsi" w:eastAsia="Times New Roman" w:hAnsiTheme="majorHAnsi" w:cstheme="majorHAnsi"/>
                <w:color w:val="000000"/>
                <w:lang w:eastAsia="en-GB"/>
              </w:rPr>
              <w:t xml:space="preserve">: Private school students as a % of total primary and secondary school enrolments </w:t>
            </w:r>
          </w:p>
        </w:tc>
      </w:tr>
      <w:tr w:rsidR="004B7E21" w:rsidRPr="002D74EB" w:rsidTr="0004396F">
        <w:trPr>
          <w:trHeight w:val="300"/>
        </w:trPr>
        <w:tc>
          <w:tcPr>
            <w:tcW w:w="9588" w:type="dxa"/>
            <w:gridSpan w:val="9"/>
            <w:tcBorders>
              <w:top w:val="nil"/>
              <w:left w:val="nil"/>
              <w:bottom w:val="nil"/>
              <w:right w:val="nil"/>
            </w:tcBorders>
            <w:shd w:val="clear" w:color="auto" w:fill="auto"/>
            <w:noWrap/>
            <w:vAlign w:val="bottom"/>
            <w:hideMark/>
          </w:tcPr>
          <w:p w:rsidR="004B7E21" w:rsidRPr="002D74EB" w:rsidRDefault="004B7E21" w:rsidP="0004396F">
            <w:pPr>
              <w:spacing w:after="0" w:line="240" w:lineRule="auto"/>
              <w:rPr>
                <w:rFonts w:asciiTheme="majorHAnsi" w:eastAsia="Times New Roman" w:hAnsiTheme="majorHAnsi" w:cstheme="majorHAnsi"/>
                <w:color w:val="000000"/>
                <w:lang w:eastAsia="en-GB"/>
              </w:rPr>
            </w:pPr>
            <w:r>
              <w:rPr>
                <w:rFonts w:asciiTheme="majorHAnsi" w:eastAsia="Times New Roman" w:hAnsiTheme="majorHAnsi" w:cstheme="majorHAnsi"/>
                <w:color w:val="000000"/>
                <w:lang w:eastAsia="en-GB"/>
              </w:rPr>
              <w:t>by location</w:t>
            </w:r>
            <w:r w:rsidRPr="002D74EB">
              <w:rPr>
                <w:rFonts w:asciiTheme="majorHAnsi" w:eastAsia="Times New Roman" w:hAnsiTheme="majorHAnsi" w:cstheme="majorHAnsi"/>
                <w:color w:val="000000"/>
                <w:lang w:eastAsia="en-GB"/>
              </w:rPr>
              <w:t xml:space="preserve"> and household wealth quintile. MICS6 countries, 2017-2019 (rounded %)</w:t>
            </w:r>
          </w:p>
        </w:tc>
      </w:tr>
      <w:tr w:rsidR="004B7E21" w:rsidRPr="005C5E5A" w:rsidTr="0004396F">
        <w:trPr>
          <w:trHeight w:val="288"/>
        </w:trPr>
        <w:tc>
          <w:tcPr>
            <w:tcW w:w="1443" w:type="dxa"/>
            <w:tcBorders>
              <w:top w:val="single" w:sz="8" w:space="0" w:color="auto"/>
              <w:left w:val="single" w:sz="8" w:space="0" w:color="auto"/>
              <w:bottom w:val="nil"/>
              <w:right w:val="nil"/>
            </w:tcBorders>
            <w:shd w:val="clear" w:color="000000" w:fill="C6E0B4"/>
            <w:noWrap/>
            <w:vAlign w:val="bottom"/>
            <w:hideMark/>
          </w:tcPr>
          <w:p w:rsidR="004B7E21" w:rsidRPr="002D74EB" w:rsidRDefault="004B7E21" w:rsidP="0004396F">
            <w:pPr>
              <w:spacing w:after="0" w:line="240" w:lineRule="auto"/>
              <w:ind w:firstLineChars="200" w:firstLine="440"/>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 </w:t>
            </w:r>
          </w:p>
        </w:tc>
        <w:tc>
          <w:tcPr>
            <w:tcW w:w="976" w:type="dxa"/>
            <w:tcBorders>
              <w:top w:val="single" w:sz="8" w:space="0" w:color="auto"/>
              <w:left w:val="nil"/>
              <w:bottom w:val="nil"/>
              <w:right w:val="nil"/>
            </w:tcBorders>
            <w:shd w:val="clear" w:color="000000" w:fill="C6E0B4"/>
            <w:noWrap/>
            <w:vAlign w:val="bottom"/>
            <w:hideMark/>
          </w:tcPr>
          <w:p w:rsidR="004B7E21" w:rsidRPr="002D74EB" w:rsidRDefault="004B7E21" w:rsidP="0004396F">
            <w:pPr>
              <w:spacing w:after="0" w:line="240" w:lineRule="auto"/>
              <w:ind w:firstLineChars="200" w:firstLine="440"/>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 </w:t>
            </w:r>
          </w:p>
        </w:tc>
        <w:tc>
          <w:tcPr>
            <w:tcW w:w="2482" w:type="dxa"/>
            <w:gridSpan w:val="2"/>
            <w:tcBorders>
              <w:top w:val="single" w:sz="8" w:space="0" w:color="auto"/>
              <w:left w:val="nil"/>
              <w:bottom w:val="nil"/>
              <w:right w:val="nil"/>
            </w:tcBorders>
            <w:shd w:val="clear" w:color="000000" w:fill="C6E0B4"/>
            <w:noWrap/>
            <w:vAlign w:val="bottom"/>
            <w:hideMark/>
          </w:tcPr>
          <w:p w:rsidR="004B7E21" w:rsidRPr="002D74EB" w:rsidRDefault="004B7E21" w:rsidP="0004396F">
            <w:pPr>
              <w:spacing w:after="0" w:line="240" w:lineRule="auto"/>
              <w:ind w:firstLineChars="400" w:firstLine="883"/>
              <w:rPr>
                <w:rFonts w:asciiTheme="majorHAnsi" w:eastAsia="Times New Roman" w:hAnsiTheme="majorHAnsi" w:cstheme="majorHAnsi"/>
                <w:b/>
                <w:bCs/>
                <w:color w:val="000000"/>
                <w:lang w:eastAsia="en-GB"/>
              </w:rPr>
            </w:pPr>
            <w:r w:rsidRPr="002D74EB">
              <w:rPr>
                <w:rFonts w:asciiTheme="majorHAnsi" w:eastAsia="Times New Roman" w:hAnsiTheme="majorHAnsi" w:cstheme="majorHAnsi"/>
                <w:b/>
                <w:bCs/>
                <w:color w:val="000000"/>
                <w:lang w:eastAsia="en-GB"/>
              </w:rPr>
              <w:t>PRIMARY</w:t>
            </w:r>
          </w:p>
        </w:tc>
        <w:tc>
          <w:tcPr>
            <w:tcW w:w="864" w:type="dxa"/>
            <w:tcBorders>
              <w:top w:val="single" w:sz="8" w:space="0" w:color="auto"/>
              <w:left w:val="nil"/>
              <w:bottom w:val="nil"/>
              <w:right w:val="single" w:sz="4" w:space="0" w:color="auto"/>
            </w:tcBorders>
            <w:shd w:val="clear" w:color="000000" w:fill="C6E0B4"/>
            <w:noWrap/>
            <w:vAlign w:val="bottom"/>
            <w:hideMark/>
          </w:tcPr>
          <w:p w:rsidR="004B7E21" w:rsidRPr="002D74EB" w:rsidRDefault="004B7E21" w:rsidP="0004396F">
            <w:pPr>
              <w:spacing w:after="0" w:line="240" w:lineRule="auto"/>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 </w:t>
            </w:r>
          </w:p>
        </w:tc>
        <w:tc>
          <w:tcPr>
            <w:tcW w:w="908" w:type="dxa"/>
            <w:tcBorders>
              <w:top w:val="single" w:sz="8" w:space="0" w:color="auto"/>
              <w:left w:val="nil"/>
              <w:bottom w:val="nil"/>
              <w:right w:val="nil"/>
            </w:tcBorders>
            <w:shd w:val="clear" w:color="000000" w:fill="C6E0B4"/>
            <w:noWrap/>
            <w:vAlign w:val="bottom"/>
            <w:hideMark/>
          </w:tcPr>
          <w:p w:rsidR="004B7E21" w:rsidRPr="002D74EB" w:rsidRDefault="004B7E21" w:rsidP="0004396F">
            <w:pPr>
              <w:spacing w:after="0" w:line="240" w:lineRule="auto"/>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 </w:t>
            </w:r>
          </w:p>
        </w:tc>
        <w:tc>
          <w:tcPr>
            <w:tcW w:w="1949" w:type="dxa"/>
            <w:gridSpan w:val="2"/>
            <w:tcBorders>
              <w:top w:val="single" w:sz="8" w:space="0" w:color="auto"/>
              <w:left w:val="nil"/>
              <w:bottom w:val="nil"/>
              <w:right w:val="nil"/>
            </w:tcBorders>
            <w:shd w:val="clear" w:color="000000" w:fill="C6E0B4"/>
            <w:noWrap/>
            <w:vAlign w:val="bottom"/>
            <w:hideMark/>
          </w:tcPr>
          <w:p w:rsidR="004B7E21" w:rsidRPr="002D74EB" w:rsidRDefault="004B7E21" w:rsidP="0004396F">
            <w:pPr>
              <w:spacing w:after="0" w:line="240" w:lineRule="auto"/>
              <w:ind w:firstLineChars="200" w:firstLine="442"/>
              <w:rPr>
                <w:rFonts w:asciiTheme="majorHAnsi" w:eastAsia="Times New Roman" w:hAnsiTheme="majorHAnsi" w:cstheme="majorHAnsi"/>
                <w:b/>
                <w:bCs/>
                <w:color w:val="000000"/>
                <w:lang w:eastAsia="en-GB"/>
              </w:rPr>
            </w:pPr>
            <w:r w:rsidRPr="002D74EB">
              <w:rPr>
                <w:rFonts w:asciiTheme="majorHAnsi" w:eastAsia="Times New Roman" w:hAnsiTheme="majorHAnsi" w:cstheme="majorHAnsi"/>
                <w:b/>
                <w:bCs/>
                <w:color w:val="000000"/>
                <w:lang w:eastAsia="en-GB"/>
              </w:rPr>
              <w:t>SECONDARY</w:t>
            </w:r>
          </w:p>
        </w:tc>
        <w:tc>
          <w:tcPr>
            <w:tcW w:w="966" w:type="dxa"/>
            <w:tcBorders>
              <w:top w:val="single" w:sz="8" w:space="0" w:color="auto"/>
              <w:left w:val="nil"/>
              <w:bottom w:val="nil"/>
              <w:right w:val="single" w:sz="8" w:space="0" w:color="auto"/>
            </w:tcBorders>
            <w:shd w:val="clear" w:color="000000" w:fill="C6E0B4"/>
            <w:noWrap/>
            <w:vAlign w:val="bottom"/>
            <w:hideMark/>
          </w:tcPr>
          <w:p w:rsidR="004B7E21" w:rsidRPr="002D74EB" w:rsidRDefault="004B7E21" w:rsidP="0004396F">
            <w:pPr>
              <w:spacing w:after="0" w:line="240" w:lineRule="auto"/>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 </w:t>
            </w:r>
          </w:p>
        </w:tc>
      </w:tr>
      <w:tr w:rsidR="004B7E21" w:rsidRPr="002D74EB" w:rsidTr="0004396F">
        <w:trPr>
          <w:trHeight w:val="288"/>
        </w:trPr>
        <w:tc>
          <w:tcPr>
            <w:tcW w:w="1443" w:type="dxa"/>
            <w:tcBorders>
              <w:top w:val="nil"/>
              <w:left w:val="single" w:sz="8" w:space="0" w:color="auto"/>
              <w:bottom w:val="nil"/>
              <w:right w:val="nil"/>
            </w:tcBorders>
            <w:shd w:val="clear" w:color="000000" w:fill="C6E0B4"/>
            <w:noWrap/>
            <w:vAlign w:val="bottom"/>
            <w:hideMark/>
          </w:tcPr>
          <w:p w:rsidR="004B7E21" w:rsidRPr="002D74EB" w:rsidRDefault="004B7E21" w:rsidP="0004396F">
            <w:pPr>
              <w:spacing w:after="0" w:line="240" w:lineRule="auto"/>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 </w:t>
            </w:r>
          </w:p>
        </w:tc>
        <w:tc>
          <w:tcPr>
            <w:tcW w:w="2178" w:type="dxa"/>
            <w:gridSpan w:val="2"/>
            <w:tcBorders>
              <w:top w:val="nil"/>
              <w:left w:val="nil"/>
              <w:bottom w:val="nil"/>
              <w:right w:val="nil"/>
            </w:tcBorders>
            <w:shd w:val="clear" w:color="000000" w:fill="C6E0B4"/>
            <w:noWrap/>
            <w:vAlign w:val="bottom"/>
            <w:hideMark/>
          </w:tcPr>
          <w:p w:rsidR="004B7E21" w:rsidRPr="002D74EB" w:rsidRDefault="004B7E21" w:rsidP="0004396F">
            <w:pPr>
              <w:spacing w:after="0" w:line="240" w:lineRule="auto"/>
              <w:ind w:firstLineChars="400" w:firstLine="880"/>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Rural</w:t>
            </w:r>
          </w:p>
        </w:tc>
        <w:tc>
          <w:tcPr>
            <w:tcW w:w="2144" w:type="dxa"/>
            <w:gridSpan w:val="2"/>
            <w:tcBorders>
              <w:top w:val="nil"/>
              <w:left w:val="nil"/>
              <w:bottom w:val="nil"/>
              <w:right w:val="single" w:sz="4" w:space="0" w:color="000000"/>
            </w:tcBorders>
            <w:shd w:val="clear" w:color="000000" w:fill="C6E0B4"/>
            <w:noWrap/>
            <w:vAlign w:val="bottom"/>
            <w:hideMark/>
          </w:tcPr>
          <w:p w:rsidR="004B7E21" w:rsidRPr="002D74EB" w:rsidRDefault="004B7E21" w:rsidP="0004396F">
            <w:pPr>
              <w:spacing w:after="0" w:line="240" w:lineRule="auto"/>
              <w:ind w:firstLineChars="300" w:firstLine="660"/>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Urban</w:t>
            </w:r>
          </w:p>
        </w:tc>
        <w:tc>
          <w:tcPr>
            <w:tcW w:w="1852" w:type="dxa"/>
            <w:gridSpan w:val="2"/>
            <w:tcBorders>
              <w:top w:val="nil"/>
              <w:left w:val="nil"/>
              <w:bottom w:val="nil"/>
              <w:right w:val="nil"/>
            </w:tcBorders>
            <w:shd w:val="clear" w:color="000000" w:fill="C6E0B4"/>
            <w:noWrap/>
            <w:vAlign w:val="bottom"/>
            <w:hideMark/>
          </w:tcPr>
          <w:p w:rsidR="004B7E21" w:rsidRPr="002D74EB" w:rsidRDefault="004B7E21" w:rsidP="0004396F">
            <w:pPr>
              <w:spacing w:after="0" w:line="240" w:lineRule="auto"/>
              <w:ind w:firstLineChars="300" w:firstLine="660"/>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Rural</w:t>
            </w:r>
          </w:p>
        </w:tc>
        <w:tc>
          <w:tcPr>
            <w:tcW w:w="1971" w:type="dxa"/>
            <w:gridSpan w:val="2"/>
            <w:tcBorders>
              <w:top w:val="nil"/>
              <w:left w:val="nil"/>
              <w:bottom w:val="nil"/>
              <w:right w:val="single" w:sz="8" w:space="0" w:color="000000"/>
            </w:tcBorders>
            <w:shd w:val="clear" w:color="000000" w:fill="C6E0B4"/>
            <w:noWrap/>
            <w:vAlign w:val="bottom"/>
            <w:hideMark/>
          </w:tcPr>
          <w:p w:rsidR="004B7E21" w:rsidRPr="002D74EB" w:rsidRDefault="004B7E21" w:rsidP="0004396F">
            <w:pPr>
              <w:spacing w:after="0" w:line="240" w:lineRule="auto"/>
              <w:ind w:firstLineChars="300" w:firstLine="660"/>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Urban</w:t>
            </w:r>
          </w:p>
        </w:tc>
      </w:tr>
      <w:tr w:rsidR="004B7E21" w:rsidRPr="005C5E5A" w:rsidTr="0004396F">
        <w:trPr>
          <w:trHeight w:val="288"/>
        </w:trPr>
        <w:tc>
          <w:tcPr>
            <w:tcW w:w="1443" w:type="dxa"/>
            <w:tcBorders>
              <w:top w:val="nil"/>
              <w:left w:val="single" w:sz="8" w:space="0" w:color="auto"/>
              <w:bottom w:val="single" w:sz="4" w:space="0" w:color="auto"/>
              <w:right w:val="nil"/>
            </w:tcBorders>
            <w:shd w:val="clear" w:color="000000" w:fill="C6E0B4"/>
            <w:noWrap/>
            <w:vAlign w:val="bottom"/>
            <w:hideMark/>
          </w:tcPr>
          <w:p w:rsidR="004B7E21" w:rsidRPr="002D74EB" w:rsidRDefault="004B7E21" w:rsidP="0004396F">
            <w:pPr>
              <w:spacing w:after="0" w:line="240" w:lineRule="auto"/>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Country</w:t>
            </w:r>
          </w:p>
        </w:tc>
        <w:tc>
          <w:tcPr>
            <w:tcW w:w="976" w:type="dxa"/>
            <w:tcBorders>
              <w:top w:val="nil"/>
              <w:left w:val="nil"/>
              <w:bottom w:val="single" w:sz="4" w:space="0" w:color="auto"/>
              <w:right w:val="nil"/>
            </w:tcBorders>
            <w:shd w:val="clear" w:color="000000" w:fill="C6E0B4"/>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Poorest</w:t>
            </w:r>
          </w:p>
        </w:tc>
        <w:tc>
          <w:tcPr>
            <w:tcW w:w="1202" w:type="dxa"/>
            <w:tcBorders>
              <w:top w:val="nil"/>
              <w:left w:val="nil"/>
              <w:bottom w:val="single" w:sz="4" w:space="0" w:color="auto"/>
              <w:right w:val="nil"/>
            </w:tcBorders>
            <w:shd w:val="clear" w:color="000000" w:fill="C6E0B4"/>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Richest</w:t>
            </w:r>
          </w:p>
        </w:tc>
        <w:tc>
          <w:tcPr>
            <w:tcW w:w="1280" w:type="dxa"/>
            <w:tcBorders>
              <w:top w:val="nil"/>
              <w:left w:val="nil"/>
              <w:bottom w:val="single" w:sz="4" w:space="0" w:color="auto"/>
              <w:right w:val="nil"/>
            </w:tcBorders>
            <w:shd w:val="clear" w:color="000000" w:fill="C6E0B4"/>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Poorest</w:t>
            </w:r>
          </w:p>
        </w:tc>
        <w:tc>
          <w:tcPr>
            <w:tcW w:w="864" w:type="dxa"/>
            <w:tcBorders>
              <w:top w:val="nil"/>
              <w:left w:val="nil"/>
              <w:bottom w:val="single" w:sz="4" w:space="0" w:color="auto"/>
              <w:right w:val="single" w:sz="4" w:space="0" w:color="auto"/>
            </w:tcBorders>
            <w:shd w:val="clear" w:color="000000" w:fill="C6E0B4"/>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Richest</w:t>
            </w:r>
          </w:p>
        </w:tc>
        <w:tc>
          <w:tcPr>
            <w:tcW w:w="908" w:type="dxa"/>
            <w:tcBorders>
              <w:top w:val="nil"/>
              <w:left w:val="nil"/>
              <w:bottom w:val="single" w:sz="4" w:space="0" w:color="auto"/>
              <w:right w:val="nil"/>
            </w:tcBorders>
            <w:shd w:val="clear" w:color="000000" w:fill="C6E0B4"/>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Poorest</w:t>
            </w:r>
          </w:p>
        </w:tc>
        <w:tc>
          <w:tcPr>
            <w:tcW w:w="944" w:type="dxa"/>
            <w:tcBorders>
              <w:top w:val="nil"/>
              <w:left w:val="nil"/>
              <w:bottom w:val="single" w:sz="4" w:space="0" w:color="auto"/>
              <w:right w:val="nil"/>
            </w:tcBorders>
            <w:shd w:val="clear" w:color="000000" w:fill="C6E0B4"/>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Richest</w:t>
            </w:r>
          </w:p>
        </w:tc>
        <w:tc>
          <w:tcPr>
            <w:tcW w:w="1005" w:type="dxa"/>
            <w:tcBorders>
              <w:top w:val="nil"/>
              <w:left w:val="nil"/>
              <w:bottom w:val="single" w:sz="4" w:space="0" w:color="auto"/>
              <w:right w:val="nil"/>
            </w:tcBorders>
            <w:shd w:val="clear" w:color="000000" w:fill="C6E0B4"/>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Poorest</w:t>
            </w:r>
          </w:p>
        </w:tc>
        <w:tc>
          <w:tcPr>
            <w:tcW w:w="966" w:type="dxa"/>
            <w:tcBorders>
              <w:top w:val="nil"/>
              <w:left w:val="nil"/>
              <w:bottom w:val="single" w:sz="4" w:space="0" w:color="auto"/>
              <w:right w:val="single" w:sz="8" w:space="0" w:color="auto"/>
            </w:tcBorders>
            <w:shd w:val="clear" w:color="000000" w:fill="C6E0B4"/>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Richest</w:t>
            </w:r>
          </w:p>
        </w:tc>
      </w:tr>
      <w:tr w:rsidR="004B7E21" w:rsidRPr="005C5E5A" w:rsidTr="0004396F">
        <w:trPr>
          <w:trHeight w:val="288"/>
        </w:trPr>
        <w:tc>
          <w:tcPr>
            <w:tcW w:w="1443" w:type="dxa"/>
            <w:tcBorders>
              <w:top w:val="nil"/>
              <w:left w:val="single" w:sz="8" w:space="0" w:color="auto"/>
              <w:bottom w:val="nil"/>
              <w:right w:val="nil"/>
            </w:tcBorders>
            <w:shd w:val="clear" w:color="000000" w:fill="F2F2F2"/>
            <w:noWrap/>
            <w:vAlign w:val="bottom"/>
            <w:hideMark/>
          </w:tcPr>
          <w:p w:rsidR="004B7E21" w:rsidRPr="002D74EB" w:rsidRDefault="004B7E21" w:rsidP="0004396F">
            <w:pPr>
              <w:spacing w:after="0" w:line="240" w:lineRule="auto"/>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DR Congo</w:t>
            </w:r>
          </w:p>
        </w:tc>
        <w:tc>
          <w:tcPr>
            <w:tcW w:w="976" w:type="dxa"/>
            <w:tcBorders>
              <w:top w:val="nil"/>
              <w:left w:val="nil"/>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8</w:t>
            </w:r>
          </w:p>
        </w:tc>
        <w:tc>
          <w:tcPr>
            <w:tcW w:w="1202" w:type="dxa"/>
            <w:tcBorders>
              <w:top w:val="nil"/>
              <w:left w:val="nil"/>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6</w:t>
            </w:r>
          </w:p>
        </w:tc>
        <w:tc>
          <w:tcPr>
            <w:tcW w:w="1280" w:type="dxa"/>
            <w:tcBorders>
              <w:top w:val="nil"/>
              <w:left w:val="single" w:sz="4" w:space="0" w:color="auto"/>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13</w:t>
            </w:r>
          </w:p>
        </w:tc>
        <w:tc>
          <w:tcPr>
            <w:tcW w:w="864" w:type="dxa"/>
            <w:tcBorders>
              <w:top w:val="nil"/>
              <w:left w:val="nil"/>
              <w:bottom w:val="nil"/>
              <w:right w:val="single" w:sz="4" w:space="0" w:color="auto"/>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41</w:t>
            </w:r>
          </w:p>
        </w:tc>
        <w:tc>
          <w:tcPr>
            <w:tcW w:w="908" w:type="dxa"/>
            <w:tcBorders>
              <w:top w:val="nil"/>
              <w:left w:val="nil"/>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4</w:t>
            </w:r>
          </w:p>
        </w:tc>
        <w:tc>
          <w:tcPr>
            <w:tcW w:w="944" w:type="dxa"/>
            <w:tcBorders>
              <w:top w:val="nil"/>
              <w:left w:val="nil"/>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7</w:t>
            </w:r>
          </w:p>
        </w:tc>
        <w:tc>
          <w:tcPr>
            <w:tcW w:w="1005" w:type="dxa"/>
            <w:tcBorders>
              <w:top w:val="nil"/>
              <w:left w:val="single" w:sz="4" w:space="0" w:color="auto"/>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16</w:t>
            </w:r>
          </w:p>
        </w:tc>
        <w:tc>
          <w:tcPr>
            <w:tcW w:w="966" w:type="dxa"/>
            <w:tcBorders>
              <w:top w:val="nil"/>
              <w:left w:val="nil"/>
              <w:bottom w:val="nil"/>
              <w:right w:val="single" w:sz="8" w:space="0" w:color="auto"/>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32</w:t>
            </w:r>
          </w:p>
        </w:tc>
      </w:tr>
      <w:tr w:rsidR="004B7E21" w:rsidRPr="005C5E5A" w:rsidTr="0004396F">
        <w:trPr>
          <w:trHeight w:val="288"/>
        </w:trPr>
        <w:tc>
          <w:tcPr>
            <w:tcW w:w="1443" w:type="dxa"/>
            <w:tcBorders>
              <w:top w:val="nil"/>
              <w:left w:val="single" w:sz="8" w:space="0" w:color="auto"/>
              <w:bottom w:val="nil"/>
              <w:right w:val="nil"/>
            </w:tcBorders>
            <w:shd w:val="clear" w:color="000000" w:fill="F2F2F2"/>
            <w:noWrap/>
            <w:vAlign w:val="bottom"/>
            <w:hideMark/>
          </w:tcPr>
          <w:p w:rsidR="004B7E21" w:rsidRPr="002D74EB" w:rsidRDefault="004B7E21" w:rsidP="0004396F">
            <w:pPr>
              <w:spacing w:after="0" w:line="240" w:lineRule="auto"/>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Ghana</w:t>
            </w:r>
          </w:p>
        </w:tc>
        <w:tc>
          <w:tcPr>
            <w:tcW w:w="976" w:type="dxa"/>
            <w:tcBorders>
              <w:top w:val="nil"/>
              <w:left w:val="nil"/>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3</w:t>
            </w:r>
          </w:p>
        </w:tc>
        <w:tc>
          <w:tcPr>
            <w:tcW w:w="1202" w:type="dxa"/>
            <w:tcBorders>
              <w:top w:val="nil"/>
              <w:left w:val="nil"/>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13</w:t>
            </w:r>
          </w:p>
        </w:tc>
        <w:tc>
          <w:tcPr>
            <w:tcW w:w="1280" w:type="dxa"/>
            <w:tcBorders>
              <w:top w:val="nil"/>
              <w:left w:val="single" w:sz="4" w:space="0" w:color="auto"/>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18</w:t>
            </w:r>
          </w:p>
        </w:tc>
        <w:tc>
          <w:tcPr>
            <w:tcW w:w="864" w:type="dxa"/>
            <w:tcBorders>
              <w:top w:val="nil"/>
              <w:left w:val="nil"/>
              <w:bottom w:val="nil"/>
              <w:right w:val="single" w:sz="4" w:space="0" w:color="auto"/>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68</w:t>
            </w:r>
          </w:p>
        </w:tc>
        <w:tc>
          <w:tcPr>
            <w:tcW w:w="908" w:type="dxa"/>
            <w:tcBorders>
              <w:top w:val="nil"/>
              <w:left w:val="nil"/>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3</w:t>
            </w:r>
          </w:p>
        </w:tc>
        <w:tc>
          <w:tcPr>
            <w:tcW w:w="944" w:type="dxa"/>
            <w:tcBorders>
              <w:top w:val="nil"/>
              <w:left w:val="nil"/>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18</w:t>
            </w:r>
          </w:p>
        </w:tc>
        <w:tc>
          <w:tcPr>
            <w:tcW w:w="1005" w:type="dxa"/>
            <w:tcBorders>
              <w:top w:val="nil"/>
              <w:left w:val="single" w:sz="4" w:space="0" w:color="auto"/>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7</w:t>
            </w:r>
          </w:p>
        </w:tc>
        <w:tc>
          <w:tcPr>
            <w:tcW w:w="966" w:type="dxa"/>
            <w:tcBorders>
              <w:top w:val="nil"/>
              <w:left w:val="nil"/>
              <w:bottom w:val="nil"/>
              <w:right w:val="single" w:sz="8" w:space="0" w:color="auto"/>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35</w:t>
            </w:r>
          </w:p>
        </w:tc>
      </w:tr>
      <w:tr w:rsidR="004B7E21" w:rsidRPr="005C5E5A" w:rsidTr="0004396F">
        <w:trPr>
          <w:trHeight w:val="288"/>
        </w:trPr>
        <w:tc>
          <w:tcPr>
            <w:tcW w:w="1443" w:type="dxa"/>
            <w:tcBorders>
              <w:top w:val="nil"/>
              <w:left w:val="single" w:sz="8" w:space="0" w:color="auto"/>
              <w:bottom w:val="nil"/>
              <w:right w:val="nil"/>
            </w:tcBorders>
            <w:shd w:val="clear" w:color="000000" w:fill="F2F2F2"/>
            <w:noWrap/>
            <w:vAlign w:val="bottom"/>
            <w:hideMark/>
          </w:tcPr>
          <w:p w:rsidR="004B7E21" w:rsidRPr="002D74EB" w:rsidRDefault="004B7E21" w:rsidP="0004396F">
            <w:pPr>
              <w:spacing w:after="0" w:line="240" w:lineRule="auto"/>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Guinea Bissau</w:t>
            </w:r>
          </w:p>
        </w:tc>
        <w:tc>
          <w:tcPr>
            <w:tcW w:w="976" w:type="dxa"/>
            <w:tcBorders>
              <w:top w:val="nil"/>
              <w:left w:val="nil"/>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42</w:t>
            </w:r>
          </w:p>
        </w:tc>
        <w:tc>
          <w:tcPr>
            <w:tcW w:w="1202" w:type="dxa"/>
            <w:tcBorders>
              <w:top w:val="nil"/>
              <w:left w:val="nil"/>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51</w:t>
            </w:r>
          </w:p>
        </w:tc>
        <w:tc>
          <w:tcPr>
            <w:tcW w:w="1280" w:type="dxa"/>
            <w:tcBorders>
              <w:top w:val="nil"/>
              <w:left w:val="single" w:sz="4" w:space="0" w:color="auto"/>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38</w:t>
            </w:r>
          </w:p>
        </w:tc>
        <w:tc>
          <w:tcPr>
            <w:tcW w:w="864" w:type="dxa"/>
            <w:tcBorders>
              <w:top w:val="nil"/>
              <w:left w:val="nil"/>
              <w:bottom w:val="nil"/>
              <w:right w:val="single" w:sz="4" w:space="0" w:color="auto"/>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90</w:t>
            </w:r>
          </w:p>
        </w:tc>
        <w:tc>
          <w:tcPr>
            <w:tcW w:w="908" w:type="dxa"/>
            <w:tcBorders>
              <w:top w:val="nil"/>
              <w:left w:val="nil"/>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29</w:t>
            </w:r>
          </w:p>
        </w:tc>
        <w:tc>
          <w:tcPr>
            <w:tcW w:w="944" w:type="dxa"/>
            <w:tcBorders>
              <w:top w:val="nil"/>
              <w:left w:val="nil"/>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38</w:t>
            </w:r>
          </w:p>
        </w:tc>
        <w:tc>
          <w:tcPr>
            <w:tcW w:w="1005" w:type="dxa"/>
            <w:tcBorders>
              <w:top w:val="nil"/>
              <w:left w:val="single" w:sz="4" w:space="0" w:color="auto"/>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18</w:t>
            </w:r>
          </w:p>
        </w:tc>
        <w:tc>
          <w:tcPr>
            <w:tcW w:w="966" w:type="dxa"/>
            <w:tcBorders>
              <w:top w:val="nil"/>
              <w:left w:val="nil"/>
              <w:bottom w:val="nil"/>
              <w:right w:val="single" w:sz="8" w:space="0" w:color="auto"/>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77</w:t>
            </w:r>
          </w:p>
        </w:tc>
      </w:tr>
      <w:tr w:rsidR="004B7E21" w:rsidRPr="005C5E5A" w:rsidTr="0004396F">
        <w:trPr>
          <w:trHeight w:val="288"/>
        </w:trPr>
        <w:tc>
          <w:tcPr>
            <w:tcW w:w="1443" w:type="dxa"/>
            <w:tcBorders>
              <w:top w:val="nil"/>
              <w:left w:val="single" w:sz="8" w:space="0" w:color="auto"/>
              <w:bottom w:val="nil"/>
              <w:right w:val="nil"/>
            </w:tcBorders>
            <w:shd w:val="clear" w:color="000000" w:fill="F2F2F2"/>
            <w:noWrap/>
            <w:vAlign w:val="bottom"/>
            <w:hideMark/>
          </w:tcPr>
          <w:p w:rsidR="004B7E21" w:rsidRPr="002D74EB" w:rsidRDefault="004B7E21" w:rsidP="0004396F">
            <w:pPr>
              <w:spacing w:after="0" w:line="240" w:lineRule="auto"/>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Lesotho</w:t>
            </w:r>
          </w:p>
        </w:tc>
        <w:tc>
          <w:tcPr>
            <w:tcW w:w="976" w:type="dxa"/>
            <w:tcBorders>
              <w:top w:val="nil"/>
              <w:left w:val="nil"/>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0</w:t>
            </w:r>
          </w:p>
        </w:tc>
        <w:tc>
          <w:tcPr>
            <w:tcW w:w="1202" w:type="dxa"/>
            <w:tcBorders>
              <w:top w:val="nil"/>
              <w:left w:val="nil"/>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11</w:t>
            </w:r>
          </w:p>
        </w:tc>
        <w:tc>
          <w:tcPr>
            <w:tcW w:w="1280" w:type="dxa"/>
            <w:tcBorders>
              <w:top w:val="nil"/>
              <w:left w:val="single" w:sz="4" w:space="0" w:color="auto"/>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5</w:t>
            </w:r>
          </w:p>
        </w:tc>
        <w:tc>
          <w:tcPr>
            <w:tcW w:w="864" w:type="dxa"/>
            <w:tcBorders>
              <w:top w:val="nil"/>
              <w:left w:val="nil"/>
              <w:bottom w:val="nil"/>
              <w:right w:val="single" w:sz="4" w:space="0" w:color="auto"/>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81</w:t>
            </w:r>
          </w:p>
        </w:tc>
        <w:tc>
          <w:tcPr>
            <w:tcW w:w="908" w:type="dxa"/>
            <w:tcBorders>
              <w:top w:val="nil"/>
              <w:left w:val="nil"/>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1</w:t>
            </w:r>
          </w:p>
        </w:tc>
        <w:tc>
          <w:tcPr>
            <w:tcW w:w="944" w:type="dxa"/>
            <w:tcBorders>
              <w:top w:val="nil"/>
              <w:left w:val="nil"/>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10</w:t>
            </w:r>
          </w:p>
        </w:tc>
        <w:tc>
          <w:tcPr>
            <w:tcW w:w="1005" w:type="dxa"/>
            <w:tcBorders>
              <w:top w:val="nil"/>
              <w:left w:val="single" w:sz="4" w:space="0" w:color="auto"/>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7</w:t>
            </w:r>
          </w:p>
        </w:tc>
        <w:tc>
          <w:tcPr>
            <w:tcW w:w="966" w:type="dxa"/>
            <w:tcBorders>
              <w:top w:val="nil"/>
              <w:left w:val="nil"/>
              <w:bottom w:val="nil"/>
              <w:right w:val="single" w:sz="8" w:space="0" w:color="auto"/>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24</w:t>
            </w:r>
          </w:p>
        </w:tc>
      </w:tr>
      <w:tr w:rsidR="004B7E21" w:rsidRPr="005C5E5A" w:rsidTr="0004396F">
        <w:trPr>
          <w:trHeight w:val="288"/>
        </w:trPr>
        <w:tc>
          <w:tcPr>
            <w:tcW w:w="1443" w:type="dxa"/>
            <w:tcBorders>
              <w:top w:val="nil"/>
              <w:left w:val="single" w:sz="8" w:space="0" w:color="auto"/>
              <w:bottom w:val="nil"/>
              <w:right w:val="nil"/>
            </w:tcBorders>
            <w:shd w:val="clear" w:color="000000" w:fill="F2F2F2"/>
            <w:noWrap/>
            <w:vAlign w:val="bottom"/>
            <w:hideMark/>
          </w:tcPr>
          <w:p w:rsidR="004B7E21" w:rsidRPr="002D74EB" w:rsidRDefault="004B7E21" w:rsidP="0004396F">
            <w:pPr>
              <w:spacing w:after="0" w:line="240" w:lineRule="auto"/>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Madagascar</w:t>
            </w:r>
          </w:p>
        </w:tc>
        <w:tc>
          <w:tcPr>
            <w:tcW w:w="976" w:type="dxa"/>
            <w:tcBorders>
              <w:top w:val="nil"/>
              <w:left w:val="nil"/>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6</w:t>
            </w:r>
          </w:p>
        </w:tc>
        <w:tc>
          <w:tcPr>
            <w:tcW w:w="1202" w:type="dxa"/>
            <w:tcBorders>
              <w:top w:val="nil"/>
              <w:left w:val="nil"/>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33</w:t>
            </w:r>
          </w:p>
        </w:tc>
        <w:tc>
          <w:tcPr>
            <w:tcW w:w="1280" w:type="dxa"/>
            <w:tcBorders>
              <w:top w:val="nil"/>
              <w:left w:val="single" w:sz="4" w:space="0" w:color="auto"/>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7</w:t>
            </w:r>
          </w:p>
        </w:tc>
        <w:tc>
          <w:tcPr>
            <w:tcW w:w="864" w:type="dxa"/>
            <w:tcBorders>
              <w:top w:val="nil"/>
              <w:left w:val="nil"/>
              <w:bottom w:val="nil"/>
              <w:right w:val="single" w:sz="4" w:space="0" w:color="auto"/>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79</w:t>
            </w:r>
          </w:p>
        </w:tc>
        <w:tc>
          <w:tcPr>
            <w:tcW w:w="908" w:type="dxa"/>
            <w:tcBorders>
              <w:top w:val="nil"/>
              <w:left w:val="nil"/>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7</w:t>
            </w:r>
          </w:p>
        </w:tc>
        <w:tc>
          <w:tcPr>
            <w:tcW w:w="944" w:type="dxa"/>
            <w:tcBorders>
              <w:top w:val="nil"/>
              <w:left w:val="nil"/>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44</w:t>
            </w:r>
          </w:p>
        </w:tc>
        <w:tc>
          <w:tcPr>
            <w:tcW w:w="1005" w:type="dxa"/>
            <w:tcBorders>
              <w:top w:val="nil"/>
              <w:left w:val="single" w:sz="4" w:space="0" w:color="auto"/>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15</w:t>
            </w:r>
          </w:p>
        </w:tc>
        <w:tc>
          <w:tcPr>
            <w:tcW w:w="966" w:type="dxa"/>
            <w:tcBorders>
              <w:top w:val="nil"/>
              <w:left w:val="nil"/>
              <w:bottom w:val="nil"/>
              <w:right w:val="single" w:sz="8" w:space="0" w:color="auto"/>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63</w:t>
            </w:r>
          </w:p>
        </w:tc>
      </w:tr>
      <w:tr w:rsidR="004B7E21" w:rsidRPr="005C5E5A" w:rsidTr="0004396F">
        <w:trPr>
          <w:trHeight w:val="288"/>
        </w:trPr>
        <w:tc>
          <w:tcPr>
            <w:tcW w:w="1443" w:type="dxa"/>
            <w:tcBorders>
              <w:top w:val="nil"/>
              <w:left w:val="single" w:sz="8" w:space="0" w:color="auto"/>
              <w:bottom w:val="nil"/>
              <w:right w:val="nil"/>
            </w:tcBorders>
            <w:shd w:val="clear" w:color="000000" w:fill="F2F2F2"/>
            <w:noWrap/>
            <w:vAlign w:val="bottom"/>
            <w:hideMark/>
          </w:tcPr>
          <w:p w:rsidR="004B7E21" w:rsidRPr="002D74EB" w:rsidRDefault="004B7E21" w:rsidP="0004396F">
            <w:pPr>
              <w:spacing w:after="0" w:line="240" w:lineRule="auto"/>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Mali</w:t>
            </w:r>
          </w:p>
        </w:tc>
        <w:tc>
          <w:tcPr>
            <w:tcW w:w="976" w:type="dxa"/>
            <w:tcBorders>
              <w:top w:val="nil"/>
              <w:left w:val="nil"/>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13</w:t>
            </w:r>
          </w:p>
        </w:tc>
        <w:tc>
          <w:tcPr>
            <w:tcW w:w="1202" w:type="dxa"/>
            <w:tcBorders>
              <w:top w:val="nil"/>
              <w:left w:val="nil"/>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29</w:t>
            </w:r>
          </w:p>
        </w:tc>
        <w:tc>
          <w:tcPr>
            <w:tcW w:w="1280" w:type="dxa"/>
            <w:tcBorders>
              <w:top w:val="nil"/>
              <w:left w:val="single" w:sz="4" w:space="0" w:color="auto"/>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25</w:t>
            </w:r>
          </w:p>
        </w:tc>
        <w:tc>
          <w:tcPr>
            <w:tcW w:w="864" w:type="dxa"/>
            <w:tcBorders>
              <w:top w:val="nil"/>
              <w:left w:val="nil"/>
              <w:bottom w:val="nil"/>
              <w:right w:val="single" w:sz="4" w:space="0" w:color="auto"/>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74</w:t>
            </w:r>
          </w:p>
        </w:tc>
        <w:tc>
          <w:tcPr>
            <w:tcW w:w="908" w:type="dxa"/>
            <w:tcBorders>
              <w:top w:val="nil"/>
              <w:left w:val="nil"/>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5</w:t>
            </w:r>
          </w:p>
        </w:tc>
        <w:tc>
          <w:tcPr>
            <w:tcW w:w="944" w:type="dxa"/>
            <w:tcBorders>
              <w:top w:val="nil"/>
              <w:left w:val="nil"/>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16</w:t>
            </w:r>
          </w:p>
        </w:tc>
        <w:tc>
          <w:tcPr>
            <w:tcW w:w="1005" w:type="dxa"/>
            <w:tcBorders>
              <w:top w:val="nil"/>
              <w:left w:val="single" w:sz="4" w:space="0" w:color="auto"/>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18</w:t>
            </w:r>
          </w:p>
        </w:tc>
        <w:tc>
          <w:tcPr>
            <w:tcW w:w="966" w:type="dxa"/>
            <w:tcBorders>
              <w:top w:val="nil"/>
              <w:left w:val="nil"/>
              <w:bottom w:val="nil"/>
              <w:right w:val="single" w:sz="8" w:space="0" w:color="auto"/>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62</w:t>
            </w:r>
          </w:p>
        </w:tc>
      </w:tr>
      <w:tr w:rsidR="004B7E21" w:rsidRPr="005C5E5A" w:rsidTr="0004396F">
        <w:trPr>
          <w:trHeight w:val="288"/>
        </w:trPr>
        <w:tc>
          <w:tcPr>
            <w:tcW w:w="1443" w:type="dxa"/>
            <w:tcBorders>
              <w:top w:val="nil"/>
              <w:left w:val="single" w:sz="8" w:space="0" w:color="auto"/>
              <w:bottom w:val="nil"/>
              <w:right w:val="nil"/>
            </w:tcBorders>
            <w:shd w:val="clear" w:color="000000" w:fill="F2F2F2"/>
            <w:noWrap/>
            <w:vAlign w:val="bottom"/>
            <w:hideMark/>
          </w:tcPr>
          <w:p w:rsidR="004B7E21" w:rsidRPr="002D74EB" w:rsidRDefault="004B7E21" w:rsidP="0004396F">
            <w:pPr>
              <w:spacing w:after="0" w:line="240" w:lineRule="auto"/>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Sierra Leone</w:t>
            </w:r>
          </w:p>
        </w:tc>
        <w:tc>
          <w:tcPr>
            <w:tcW w:w="976" w:type="dxa"/>
            <w:tcBorders>
              <w:top w:val="nil"/>
              <w:left w:val="nil"/>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1</w:t>
            </w:r>
          </w:p>
        </w:tc>
        <w:tc>
          <w:tcPr>
            <w:tcW w:w="1202" w:type="dxa"/>
            <w:tcBorders>
              <w:top w:val="nil"/>
              <w:left w:val="nil"/>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6</w:t>
            </w:r>
          </w:p>
        </w:tc>
        <w:tc>
          <w:tcPr>
            <w:tcW w:w="1280" w:type="dxa"/>
            <w:tcBorders>
              <w:top w:val="nil"/>
              <w:left w:val="single" w:sz="4" w:space="0" w:color="auto"/>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6</w:t>
            </w:r>
          </w:p>
        </w:tc>
        <w:tc>
          <w:tcPr>
            <w:tcW w:w="864" w:type="dxa"/>
            <w:tcBorders>
              <w:top w:val="nil"/>
              <w:left w:val="nil"/>
              <w:bottom w:val="nil"/>
              <w:right w:val="single" w:sz="4" w:space="0" w:color="auto"/>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41</w:t>
            </w:r>
          </w:p>
        </w:tc>
        <w:tc>
          <w:tcPr>
            <w:tcW w:w="908" w:type="dxa"/>
            <w:tcBorders>
              <w:top w:val="nil"/>
              <w:left w:val="nil"/>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2</w:t>
            </w:r>
          </w:p>
        </w:tc>
        <w:tc>
          <w:tcPr>
            <w:tcW w:w="944" w:type="dxa"/>
            <w:tcBorders>
              <w:top w:val="nil"/>
              <w:left w:val="nil"/>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6</w:t>
            </w:r>
          </w:p>
        </w:tc>
        <w:tc>
          <w:tcPr>
            <w:tcW w:w="1005" w:type="dxa"/>
            <w:tcBorders>
              <w:top w:val="nil"/>
              <w:left w:val="single" w:sz="4" w:space="0" w:color="auto"/>
              <w:bottom w:val="nil"/>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5</w:t>
            </w:r>
          </w:p>
        </w:tc>
        <w:tc>
          <w:tcPr>
            <w:tcW w:w="966" w:type="dxa"/>
            <w:tcBorders>
              <w:top w:val="nil"/>
              <w:left w:val="nil"/>
              <w:bottom w:val="nil"/>
              <w:right w:val="single" w:sz="8" w:space="0" w:color="auto"/>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22</w:t>
            </w:r>
          </w:p>
        </w:tc>
      </w:tr>
      <w:tr w:rsidR="004B7E21" w:rsidRPr="005C5E5A" w:rsidTr="0004396F">
        <w:trPr>
          <w:trHeight w:val="300"/>
        </w:trPr>
        <w:tc>
          <w:tcPr>
            <w:tcW w:w="1443" w:type="dxa"/>
            <w:tcBorders>
              <w:top w:val="nil"/>
              <w:left w:val="single" w:sz="8" w:space="0" w:color="auto"/>
              <w:bottom w:val="single" w:sz="8" w:space="0" w:color="auto"/>
              <w:right w:val="nil"/>
            </w:tcBorders>
            <w:shd w:val="clear" w:color="000000" w:fill="F2F2F2"/>
            <w:noWrap/>
            <w:vAlign w:val="bottom"/>
            <w:hideMark/>
          </w:tcPr>
          <w:p w:rsidR="004B7E21" w:rsidRPr="002D74EB" w:rsidRDefault="004B7E21" w:rsidP="0004396F">
            <w:pPr>
              <w:spacing w:after="0" w:line="240" w:lineRule="auto"/>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Zimbabwe</w:t>
            </w:r>
          </w:p>
        </w:tc>
        <w:tc>
          <w:tcPr>
            <w:tcW w:w="976" w:type="dxa"/>
            <w:tcBorders>
              <w:top w:val="nil"/>
              <w:left w:val="nil"/>
              <w:bottom w:val="single" w:sz="8" w:space="0" w:color="auto"/>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1</w:t>
            </w:r>
          </w:p>
        </w:tc>
        <w:tc>
          <w:tcPr>
            <w:tcW w:w="1202" w:type="dxa"/>
            <w:tcBorders>
              <w:top w:val="nil"/>
              <w:left w:val="nil"/>
              <w:bottom w:val="single" w:sz="8" w:space="0" w:color="auto"/>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7</w:t>
            </w:r>
          </w:p>
        </w:tc>
        <w:tc>
          <w:tcPr>
            <w:tcW w:w="1280" w:type="dxa"/>
            <w:tcBorders>
              <w:top w:val="nil"/>
              <w:left w:val="single" w:sz="4" w:space="0" w:color="auto"/>
              <w:bottom w:val="single" w:sz="8" w:space="0" w:color="auto"/>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15</w:t>
            </w:r>
          </w:p>
        </w:tc>
        <w:tc>
          <w:tcPr>
            <w:tcW w:w="864" w:type="dxa"/>
            <w:tcBorders>
              <w:top w:val="nil"/>
              <w:left w:val="nil"/>
              <w:bottom w:val="single" w:sz="8" w:space="0" w:color="auto"/>
              <w:right w:val="single" w:sz="4" w:space="0" w:color="auto"/>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21</w:t>
            </w:r>
          </w:p>
        </w:tc>
        <w:tc>
          <w:tcPr>
            <w:tcW w:w="908" w:type="dxa"/>
            <w:tcBorders>
              <w:top w:val="nil"/>
              <w:left w:val="nil"/>
              <w:bottom w:val="single" w:sz="8" w:space="0" w:color="auto"/>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2</w:t>
            </w:r>
          </w:p>
        </w:tc>
        <w:tc>
          <w:tcPr>
            <w:tcW w:w="944" w:type="dxa"/>
            <w:tcBorders>
              <w:top w:val="nil"/>
              <w:left w:val="nil"/>
              <w:bottom w:val="single" w:sz="8" w:space="0" w:color="auto"/>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8</w:t>
            </w:r>
          </w:p>
        </w:tc>
        <w:tc>
          <w:tcPr>
            <w:tcW w:w="1005" w:type="dxa"/>
            <w:tcBorders>
              <w:top w:val="nil"/>
              <w:left w:val="single" w:sz="4" w:space="0" w:color="auto"/>
              <w:bottom w:val="single" w:sz="8" w:space="0" w:color="auto"/>
              <w:right w:val="nil"/>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24</w:t>
            </w:r>
          </w:p>
        </w:tc>
        <w:tc>
          <w:tcPr>
            <w:tcW w:w="966" w:type="dxa"/>
            <w:tcBorders>
              <w:top w:val="nil"/>
              <w:left w:val="nil"/>
              <w:bottom w:val="single" w:sz="8" w:space="0" w:color="auto"/>
              <w:right w:val="single" w:sz="8" w:space="0" w:color="auto"/>
            </w:tcBorders>
            <w:shd w:val="clear" w:color="000000" w:fill="F2F2F2"/>
            <w:noWrap/>
            <w:vAlign w:val="bottom"/>
            <w:hideMark/>
          </w:tcPr>
          <w:p w:rsidR="004B7E21" w:rsidRPr="002D74EB" w:rsidRDefault="004B7E21" w:rsidP="0004396F">
            <w:pPr>
              <w:spacing w:after="0" w:line="240" w:lineRule="auto"/>
              <w:jc w:val="center"/>
              <w:rPr>
                <w:rFonts w:asciiTheme="majorHAnsi" w:eastAsia="Times New Roman" w:hAnsiTheme="majorHAnsi" w:cstheme="majorHAnsi"/>
                <w:color w:val="000000"/>
                <w:lang w:eastAsia="en-GB"/>
              </w:rPr>
            </w:pPr>
            <w:r w:rsidRPr="002D74EB">
              <w:rPr>
                <w:rFonts w:asciiTheme="majorHAnsi" w:eastAsia="Times New Roman" w:hAnsiTheme="majorHAnsi" w:cstheme="majorHAnsi"/>
                <w:color w:val="000000"/>
                <w:lang w:eastAsia="en-GB"/>
              </w:rPr>
              <w:t>33</w:t>
            </w:r>
          </w:p>
        </w:tc>
      </w:tr>
    </w:tbl>
    <w:p w:rsidR="004B7E21" w:rsidRPr="005C5E5A" w:rsidRDefault="004B7E21" w:rsidP="004B7E21">
      <w:pPr>
        <w:jc w:val="both"/>
        <w:rPr>
          <w:rFonts w:asciiTheme="majorHAnsi" w:hAnsiTheme="majorHAnsi" w:cstheme="majorHAnsi"/>
          <w:sz w:val="28"/>
          <w:szCs w:val="28"/>
        </w:rPr>
      </w:pPr>
    </w:p>
    <w:p w:rsidR="005C67D2" w:rsidRDefault="005C67D2">
      <w:pPr>
        <w:rPr>
          <w:rFonts w:asciiTheme="majorHAnsi" w:hAnsiTheme="majorHAnsi" w:cstheme="majorHAnsi"/>
          <w:sz w:val="28"/>
          <w:szCs w:val="28"/>
        </w:rPr>
      </w:pPr>
      <w:r>
        <w:rPr>
          <w:rFonts w:asciiTheme="majorHAnsi" w:hAnsiTheme="majorHAnsi" w:cstheme="majorHAnsi"/>
          <w:sz w:val="28"/>
          <w:szCs w:val="28"/>
        </w:rPr>
        <w:br w:type="page"/>
      </w:r>
    </w:p>
    <w:tbl>
      <w:tblPr>
        <w:tblW w:w="9360" w:type="dxa"/>
        <w:tblLook w:val="04A0" w:firstRow="1" w:lastRow="0" w:firstColumn="1" w:lastColumn="0" w:noHBand="0" w:noVBand="1"/>
      </w:tblPr>
      <w:tblGrid>
        <w:gridCol w:w="2111"/>
        <w:gridCol w:w="1970"/>
        <w:gridCol w:w="1738"/>
        <w:gridCol w:w="1877"/>
        <w:gridCol w:w="1664"/>
      </w:tblGrid>
      <w:tr w:rsidR="004B7E21" w:rsidRPr="0080622D" w:rsidTr="0004396F">
        <w:trPr>
          <w:trHeight w:val="288"/>
        </w:trPr>
        <w:tc>
          <w:tcPr>
            <w:tcW w:w="9360" w:type="dxa"/>
            <w:gridSpan w:val="5"/>
            <w:tcBorders>
              <w:top w:val="nil"/>
              <w:left w:val="nil"/>
              <w:bottom w:val="nil"/>
              <w:right w:val="nil"/>
            </w:tcBorders>
            <w:shd w:val="clear" w:color="auto" w:fill="auto"/>
            <w:noWrap/>
            <w:vAlign w:val="bottom"/>
            <w:hideMark/>
          </w:tcPr>
          <w:p w:rsidR="004B7E21" w:rsidRPr="0080622D" w:rsidRDefault="004B7E21" w:rsidP="0004396F">
            <w:pPr>
              <w:spacing w:after="0" w:line="240" w:lineRule="auto"/>
              <w:rPr>
                <w:rFonts w:asciiTheme="majorHAnsi" w:eastAsia="Times New Roman" w:hAnsiTheme="majorHAnsi" w:cstheme="majorHAnsi"/>
                <w:color w:val="000000"/>
                <w:lang w:eastAsia="en-GB"/>
              </w:rPr>
            </w:pPr>
            <w:r>
              <w:rPr>
                <w:rFonts w:asciiTheme="majorHAnsi" w:eastAsia="Times New Roman" w:hAnsiTheme="majorHAnsi" w:cstheme="majorHAnsi"/>
                <w:color w:val="000000"/>
                <w:lang w:eastAsia="en-GB"/>
              </w:rPr>
              <w:t>Table 9:</w:t>
            </w:r>
            <w:r w:rsidRPr="0080622D">
              <w:rPr>
                <w:rFonts w:asciiTheme="majorHAnsi" w:eastAsia="Times New Roman" w:hAnsiTheme="majorHAnsi" w:cstheme="majorHAnsi"/>
                <w:color w:val="000000"/>
                <w:lang w:eastAsia="en-GB"/>
              </w:rPr>
              <w:t xml:space="preserve"> Poorest and richest (quintile 1 and 5) household shares of total private  </w:t>
            </w:r>
          </w:p>
        </w:tc>
      </w:tr>
      <w:tr w:rsidR="004B7E21" w:rsidRPr="0080622D" w:rsidTr="0004396F">
        <w:trPr>
          <w:trHeight w:val="300"/>
        </w:trPr>
        <w:tc>
          <w:tcPr>
            <w:tcW w:w="9360" w:type="dxa"/>
            <w:gridSpan w:val="5"/>
            <w:tcBorders>
              <w:top w:val="nil"/>
              <w:left w:val="nil"/>
              <w:bottom w:val="nil"/>
              <w:right w:val="nil"/>
            </w:tcBorders>
            <w:shd w:val="clear" w:color="auto" w:fill="auto"/>
            <w:noWrap/>
            <w:vAlign w:val="bottom"/>
            <w:hideMark/>
          </w:tcPr>
          <w:p w:rsidR="004B7E21" w:rsidRPr="0080622D" w:rsidRDefault="004B7E21" w:rsidP="0004396F">
            <w:pPr>
              <w:spacing w:after="0" w:line="240" w:lineRule="auto"/>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school enrolments in in urban areas, MICS6 countries, 2017-2019 (rounded %)</w:t>
            </w:r>
          </w:p>
        </w:tc>
      </w:tr>
      <w:tr w:rsidR="004B7E21" w:rsidRPr="0080622D" w:rsidTr="0004396F">
        <w:trPr>
          <w:trHeight w:val="288"/>
        </w:trPr>
        <w:tc>
          <w:tcPr>
            <w:tcW w:w="2111" w:type="dxa"/>
            <w:tcBorders>
              <w:top w:val="single" w:sz="8" w:space="0" w:color="auto"/>
              <w:left w:val="single" w:sz="8" w:space="0" w:color="auto"/>
              <w:bottom w:val="nil"/>
              <w:right w:val="nil"/>
            </w:tcBorders>
            <w:shd w:val="clear" w:color="000000" w:fill="C6E0B4"/>
            <w:noWrap/>
            <w:vAlign w:val="bottom"/>
            <w:hideMark/>
          </w:tcPr>
          <w:p w:rsidR="004B7E21" w:rsidRPr="0080622D" w:rsidRDefault="004B7E21" w:rsidP="0004396F">
            <w:pPr>
              <w:spacing w:after="0" w:line="240" w:lineRule="auto"/>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 </w:t>
            </w:r>
          </w:p>
        </w:tc>
        <w:tc>
          <w:tcPr>
            <w:tcW w:w="3708" w:type="dxa"/>
            <w:gridSpan w:val="2"/>
            <w:tcBorders>
              <w:top w:val="single" w:sz="8" w:space="0" w:color="auto"/>
              <w:left w:val="nil"/>
              <w:bottom w:val="nil"/>
              <w:right w:val="nil"/>
            </w:tcBorders>
            <w:shd w:val="clear" w:color="000000" w:fill="C6E0B4"/>
            <w:noWrap/>
            <w:vAlign w:val="bottom"/>
            <w:hideMark/>
          </w:tcPr>
          <w:p w:rsidR="004B7E21" w:rsidRPr="0080622D" w:rsidRDefault="004B7E21" w:rsidP="0004396F">
            <w:pPr>
              <w:spacing w:after="0" w:line="240" w:lineRule="auto"/>
              <w:ind w:firstLineChars="800" w:firstLine="1760"/>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Primary</w:t>
            </w:r>
          </w:p>
        </w:tc>
        <w:tc>
          <w:tcPr>
            <w:tcW w:w="3541" w:type="dxa"/>
            <w:gridSpan w:val="2"/>
            <w:tcBorders>
              <w:top w:val="single" w:sz="8" w:space="0" w:color="auto"/>
              <w:left w:val="single" w:sz="4" w:space="0" w:color="auto"/>
              <w:bottom w:val="nil"/>
              <w:right w:val="single" w:sz="8" w:space="0" w:color="000000"/>
            </w:tcBorders>
            <w:shd w:val="clear" w:color="000000" w:fill="C6E0B4"/>
            <w:noWrap/>
            <w:vAlign w:val="bottom"/>
            <w:hideMark/>
          </w:tcPr>
          <w:p w:rsidR="004B7E21" w:rsidRPr="0080622D" w:rsidRDefault="004B7E21" w:rsidP="0004396F">
            <w:pPr>
              <w:spacing w:after="0" w:line="240" w:lineRule="auto"/>
              <w:ind w:firstLineChars="700" w:firstLine="1540"/>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Secondary</w:t>
            </w:r>
          </w:p>
        </w:tc>
      </w:tr>
      <w:tr w:rsidR="004B7E21" w:rsidRPr="0080622D" w:rsidTr="0004396F">
        <w:trPr>
          <w:trHeight w:val="288"/>
        </w:trPr>
        <w:tc>
          <w:tcPr>
            <w:tcW w:w="2111" w:type="dxa"/>
            <w:tcBorders>
              <w:top w:val="nil"/>
              <w:left w:val="single" w:sz="8" w:space="0" w:color="auto"/>
              <w:bottom w:val="single" w:sz="4" w:space="0" w:color="auto"/>
              <w:right w:val="nil"/>
            </w:tcBorders>
            <w:shd w:val="clear" w:color="000000" w:fill="C6E0B4"/>
            <w:noWrap/>
            <w:vAlign w:val="bottom"/>
            <w:hideMark/>
          </w:tcPr>
          <w:p w:rsidR="004B7E21" w:rsidRPr="0080622D" w:rsidRDefault="004B7E21" w:rsidP="0004396F">
            <w:pPr>
              <w:spacing w:after="0" w:line="240" w:lineRule="auto"/>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Country</w:t>
            </w:r>
          </w:p>
        </w:tc>
        <w:tc>
          <w:tcPr>
            <w:tcW w:w="1970" w:type="dxa"/>
            <w:tcBorders>
              <w:top w:val="nil"/>
              <w:left w:val="nil"/>
              <w:bottom w:val="single" w:sz="4" w:space="0" w:color="auto"/>
              <w:right w:val="nil"/>
            </w:tcBorders>
            <w:shd w:val="clear" w:color="000000" w:fill="C6E0B4"/>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Poorest</w:t>
            </w:r>
          </w:p>
        </w:tc>
        <w:tc>
          <w:tcPr>
            <w:tcW w:w="1738" w:type="dxa"/>
            <w:tcBorders>
              <w:top w:val="nil"/>
              <w:left w:val="nil"/>
              <w:bottom w:val="single" w:sz="4" w:space="0" w:color="auto"/>
              <w:right w:val="nil"/>
            </w:tcBorders>
            <w:shd w:val="clear" w:color="000000" w:fill="C6E0B4"/>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Richest</w:t>
            </w:r>
          </w:p>
        </w:tc>
        <w:tc>
          <w:tcPr>
            <w:tcW w:w="1877" w:type="dxa"/>
            <w:tcBorders>
              <w:top w:val="nil"/>
              <w:left w:val="single" w:sz="4" w:space="0" w:color="auto"/>
              <w:bottom w:val="single" w:sz="4" w:space="0" w:color="auto"/>
              <w:right w:val="nil"/>
            </w:tcBorders>
            <w:shd w:val="clear" w:color="000000" w:fill="C6E0B4"/>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Poorest</w:t>
            </w:r>
          </w:p>
        </w:tc>
        <w:tc>
          <w:tcPr>
            <w:tcW w:w="1664" w:type="dxa"/>
            <w:tcBorders>
              <w:top w:val="nil"/>
              <w:left w:val="nil"/>
              <w:bottom w:val="single" w:sz="4" w:space="0" w:color="auto"/>
              <w:right w:val="single" w:sz="8" w:space="0" w:color="auto"/>
            </w:tcBorders>
            <w:shd w:val="clear" w:color="000000" w:fill="C6E0B4"/>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Richest</w:t>
            </w:r>
          </w:p>
        </w:tc>
      </w:tr>
      <w:tr w:rsidR="004B7E21" w:rsidRPr="0080622D" w:rsidTr="0004396F">
        <w:trPr>
          <w:trHeight w:val="288"/>
        </w:trPr>
        <w:tc>
          <w:tcPr>
            <w:tcW w:w="2111" w:type="dxa"/>
            <w:tcBorders>
              <w:top w:val="nil"/>
              <w:left w:val="single" w:sz="8" w:space="0" w:color="auto"/>
              <w:bottom w:val="nil"/>
              <w:right w:val="nil"/>
            </w:tcBorders>
            <w:shd w:val="clear" w:color="000000" w:fill="F2F2F2"/>
            <w:noWrap/>
            <w:vAlign w:val="bottom"/>
            <w:hideMark/>
          </w:tcPr>
          <w:p w:rsidR="004B7E21" w:rsidRPr="0080622D" w:rsidRDefault="004B7E21" w:rsidP="0004396F">
            <w:pPr>
              <w:spacing w:after="0" w:line="240" w:lineRule="auto"/>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DR Congo</w:t>
            </w:r>
          </w:p>
        </w:tc>
        <w:tc>
          <w:tcPr>
            <w:tcW w:w="1970" w:type="dxa"/>
            <w:tcBorders>
              <w:top w:val="nil"/>
              <w:left w:val="nil"/>
              <w:bottom w:val="nil"/>
              <w:right w:val="nil"/>
            </w:tcBorders>
            <w:shd w:val="clear" w:color="000000" w:fill="F2F2F2"/>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16</w:t>
            </w:r>
          </w:p>
        </w:tc>
        <w:tc>
          <w:tcPr>
            <w:tcW w:w="1738" w:type="dxa"/>
            <w:tcBorders>
              <w:top w:val="nil"/>
              <w:left w:val="nil"/>
              <w:bottom w:val="nil"/>
              <w:right w:val="nil"/>
            </w:tcBorders>
            <w:shd w:val="clear" w:color="000000" w:fill="F2F2F2"/>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41</w:t>
            </w:r>
          </w:p>
        </w:tc>
        <w:tc>
          <w:tcPr>
            <w:tcW w:w="1877" w:type="dxa"/>
            <w:tcBorders>
              <w:top w:val="nil"/>
              <w:left w:val="single" w:sz="4" w:space="0" w:color="auto"/>
              <w:bottom w:val="nil"/>
              <w:right w:val="nil"/>
            </w:tcBorders>
            <w:shd w:val="clear" w:color="000000" w:fill="F2F2F2"/>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10</w:t>
            </w:r>
          </w:p>
        </w:tc>
        <w:tc>
          <w:tcPr>
            <w:tcW w:w="1664" w:type="dxa"/>
            <w:tcBorders>
              <w:top w:val="nil"/>
              <w:left w:val="nil"/>
              <w:bottom w:val="nil"/>
              <w:right w:val="single" w:sz="8" w:space="0" w:color="auto"/>
            </w:tcBorders>
            <w:shd w:val="clear" w:color="000000" w:fill="F2F2F2"/>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26</w:t>
            </w:r>
          </w:p>
        </w:tc>
      </w:tr>
      <w:tr w:rsidR="004B7E21" w:rsidRPr="0080622D" w:rsidTr="0004396F">
        <w:trPr>
          <w:trHeight w:val="288"/>
        </w:trPr>
        <w:tc>
          <w:tcPr>
            <w:tcW w:w="2111" w:type="dxa"/>
            <w:tcBorders>
              <w:top w:val="nil"/>
              <w:left w:val="single" w:sz="8" w:space="0" w:color="auto"/>
              <w:bottom w:val="nil"/>
              <w:right w:val="nil"/>
            </w:tcBorders>
            <w:shd w:val="clear" w:color="000000" w:fill="F2F2F2"/>
            <w:noWrap/>
            <w:vAlign w:val="bottom"/>
            <w:hideMark/>
          </w:tcPr>
          <w:p w:rsidR="004B7E21" w:rsidRPr="0080622D" w:rsidRDefault="004B7E21" w:rsidP="0004396F">
            <w:pPr>
              <w:spacing w:after="0" w:line="240" w:lineRule="auto"/>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Ghana</w:t>
            </w:r>
          </w:p>
        </w:tc>
        <w:tc>
          <w:tcPr>
            <w:tcW w:w="1970" w:type="dxa"/>
            <w:tcBorders>
              <w:top w:val="nil"/>
              <w:left w:val="nil"/>
              <w:bottom w:val="nil"/>
              <w:right w:val="nil"/>
            </w:tcBorders>
            <w:shd w:val="clear" w:color="000000" w:fill="F2F2F2"/>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12</w:t>
            </w:r>
          </w:p>
        </w:tc>
        <w:tc>
          <w:tcPr>
            <w:tcW w:w="1738" w:type="dxa"/>
            <w:tcBorders>
              <w:top w:val="nil"/>
              <w:left w:val="nil"/>
              <w:bottom w:val="nil"/>
              <w:right w:val="nil"/>
            </w:tcBorders>
            <w:shd w:val="clear" w:color="000000" w:fill="F2F2F2"/>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29</w:t>
            </w:r>
          </w:p>
        </w:tc>
        <w:tc>
          <w:tcPr>
            <w:tcW w:w="1877" w:type="dxa"/>
            <w:tcBorders>
              <w:top w:val="nil"/>
              <w:left w:val="single" w:sz="4" w:space="0" w:color="auto"/>
              <w:bottom w:val="nil"/>
              <w:right w:val="nil"/>
            </w:tcBorders>
            <w:shd w:val="clear" w:color="000000" w:fill="F2F2F2"/>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6</w:t>
            </w:r>
          </w:p>
        </w:tc>
        <w:tc>
          <w:tcPr>
            <w:tcW w:w="1664" w:type="dxa"/>
            <w:tcBorders>
              <w:top w:val="nil"/>
              <w:left w:val="nil"/>
              <w:bottom w:val="nil"/>
              <w:right w:val="single" w:sz="8" w:space="0" w:color="auto"/>
            </w:tcBorders>
            <w:shd w:val="clear" w:color="000000" w:fill="F2F2F2"/>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33</w:t>
            </w:r>
          </w:p>
        </w:tc>
      </w:tr>
      <w:tr w:rsidR="004B7E21" w:rsidRPr="0080622D" w:rsidTr="0004396F">
        <w:trPr>
          <w:trHeight w:val="288"/>
        </w:trPr>
        <w:tc>
          <w:tcPr>
            <w:tcW w:w="2111" w:type="dxa"/>
            <w:tcBorders>
              <w:top w:val="nil"/>
              <w:left w:val="single" w:sz="8" w:space="0" w:color="auto"/>
              <w:bottom w:val="nil"/>
              <w:right w:val="nil"/>
            </w:tcBorders>
            <w:shd w:val="clear" w:color="000000" w:fill="F2F2F2"/>
            <w:noWrap/>
            <w:vAlign w:val="bottom"/>
            <w:hideMark/>
          </w:tcPr>
          <w:p w:rsidR="004B7E21" w:rsidRPr="0080622D" w:rsidRDefault="004B7E21" w:rsidP="0004396F">
            <w:pPr>
              <w:spacing w:after="0" w:line="240" w:lineRule="auto"/>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Guinea Bissau</w:t>
            </w:r>
          </w:p>
        </w:tc>
        <w:tc>
          <w:tcPr>
            <w:tcW w:w="1970" w:type="dxa"/>
            <w:tcBorders>
              <w:top w:val="nil"/>
              <w:left w:val="nil"/>
              <w:bottom w:val="nil"/>
              <w:right w:val="nil"/>
            </w:tcBorders>
            <w:shd w:val="clear" w:color="000000" w:fill="F2F2F2"/>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14</w:t>
            </w:r>
          </w:p>
        </w:tc>
        <w:tc>
          <w:tcPr>
            <w:tcW w:w="1738" w:type="dxa"/>
            <w:tcBorders>
              <w:top w:val="nil"/>
              <w:left w:val="nil"/>
              <w:bottom w:val="nil"/>
              <w:right w:val="nil"/>
            </w:tcBorders>
            <w:shd w:val="clear" w:color="000000" w:fill="F2F2F2"/>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27</w:t>
            </w:r>
          </w:p>
        </w:tc>
        <w:tc>
          <w:tcPr>
            <w:tcW w:w="1877" w:type="dxa"/>
            <w:tcBorders>
              <w:top w:val="nil"/>
              <w:left w:val="single" w:sz="4" w:space="0" w:color="auto"/>
              <w:bottom w:val="nil"/>
              <w:right w:val="nil"/>
            </w:tcBorders>
            <w:shd w:val="clear" w:color="000000" w:fill="F2F2F2"/>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5</w:t>
            </w:r>
          </w:p>
        </w:tc>
        <w:tc>
          <w:tcPr>
            <w:tcW w:w="1664" w:type="dxa"/>
            <w:tcBorders>
              <w:top w:val="nil"/>
              <w:left w:val="nil"/>
              <w:bottom w:val="nil"/>
              <w:right w:val="single" w:sz="8" w:space="0" w:color="auto"/>
            </w:tcBorders>
            <w:shd w:val="clear" w:color="000000" w:fill="F2F2F2"/>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55</w:t>
            </w:r>
          </w:p>
        </w:tc>
      </w:tr>
      <w:tr w:rsidR="004B7E21" w:rsidRPr="0080622D" w:rsidTr="0004396F">
        <w:trPr>
          <w:trHeight w:val="288"/>
        </w:trPr>
        <w:tc>
          <w:tcPr>
            <w:tcW w:w="2111" w:type="dxa"/>
            <w:tcBorders>
              <w:top w:val="nil"/>
              <w:left w:val="single" w:sz="8" w:space="0" w:color="auto"/>
              <w:bottom w:val="nil"/>
              <w:right w:val="nil"/>
            </w:tcBorders>
            <w:shd w:val="clear" w:color="000000" w:fill="F2F2F2"/>
            <w:noWrap/>
            <w:vAlign w:val="bottom"/>
            <w:hideMark/>
          </w:tcPr>
          <w:p w:rsidR="004B7E21" w:rsidRPr="0080622D" w:rsidRDefault="004B7E21" w:rsidP="0004396F">
            <w:pPr>
              <w:spacing w:after="0" w:line="240" w:lineRule="auto"/>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Lesotho</w:t>
            </w:r>
          </w:p>
        </w:tc>
        <w:tc>
          <w:tcPr>
            <w:tcW w:w="1970" w:type="dxa"/>
            <w:tcBorders>
              <w:top w:val="nil"/>
              <w:left w:val="nil"/>
              <w:bottom w:val="nil"/>
              <w:right w:val="nil"/>
            </w:tcBorders>
            <w:shd w:val="clear" w:color="000000" w:fill="F2F2F2"/>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6</w:t>
            </w:r>
          </w:p>
        </w:tc>
        <w:tc>
          <w:tcPr>
            <w:tcW w:w="1738" w:type="dxa"/>
            <w:tcBorders>
              <w:top w:val="nil"/>
              <w:left w:val="nil"/>
              <w:bottom w:val="nil"/>
              <w:right w:val="nil"/>
            </w:tcBorders>
            <w:shd w:val="clear" w:color="000000" w:fill="F2F2F2"/>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46</w:t>
            </w:r>
          </w:p>
        </w:tc>
        <w:tc>
          <w:tcPr>
            <w:tcW w:w="1877" w:type="dxa"/>
            <w:tcBorders>
              <w:top w:val="nil"/>
              <w:left w:val="single" w:sz="4" w:space="0" w:color="auto"/>
              <w:bottom w:val="nil"/>
              <w:right w:val="nil"/>
            </w:tcBorders>
            <w:shd w:val="clear" w:color="000000" w:fill="F2F2F2"/>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11</w:t>
            </w:r>
          </w:p>
        </w:tc>
        <w:tc>
          <w:tcPr>
            <w:tcW w:w="1664" w:type="dxa"/>
            <w:tcBorders>
              <w:top w:val="nil"/>
              <w:left w:val="nil"/>
              <w:bottom w:val="nil"/>
              <w:right w:val="single" w:sz="8" w:space="0" w:color="auto"/>
            </w:tcBorders>
            <w:shd w:val="clear" w:color="000000" w:fill="F2F2F2"/>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38</w:t>
            </w:r>
          </w:p>
        </w:tc>
      </w:tr>
      <w:tr w:rsidR="004B7E21" w:rsidRPr="0080622D" w:rsidTr="0004396F">
        <w:trPr>
          <w:trHeight w:val="288"/>
        </w:trPr>
        <w:tc>
          <w:tcPr>
            <w:tcW w:w="2111" w:type="dxa"/>
            <w:tcBorders>
              <w:top w:val="nil"/>
              <w:left w:val="single" w:sz="8" w:space="0" w:color="auto"/>
              <w:bottom w:val="nil"/>
              <w:right w:val="nil"/>
            </w:tcBorders>
            <w:shd w:val="clear" w:color="000000" w:fill="F2F2F2"/>
            <w:noWrap/>
            <w:vAlign w:val="bottom"/>
            <w:hideMark/>
          </w:tcPr>
          <w:p w:rsidR="004B7E21" w:rsidRPr="0080622D" w:rsidRDefault="004B7E21" w:rsidP="0004396F">
            <w:pPr>
              <w:spacing w:after="0" w:line="240" w:lineRule="auto"/>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Madagascar</w:t>
            </w:r>
          </w:p>
        </w:tc>
        <w:tc>
          <w:tcPr>
            <w:tcW w:w="1970" w:type="dxa"/>
            <w:tcBorders>
              <w:top w:val="nil"/>
              <w:left w:val="nil"/>
              <w:bottom w:val="nil"/>
              <w:right w:val="nil"/>
            </w:tcBorders>
            <w:shd w:val="clear" w:color="000000" w:fill="F2F2F2"/>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5</w:t>
            </w:r>
          </w:p>
        </w:tc>
        <w:tc>
          <w:tcPr>
            <w:tcW w:w="1738" w:type="dxa"/>
            <w:tcBorders>
              <w:top w:val="nil"/>
              <w:left w:val="nil"/>
              <w:bottom w:val="nil"/>
              <w:right w:val="nil"/>
            </w:tcBorders>
            <w:shd w:val="clear" w:color="000000" w:fill="F2F2F2"/>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31</w:t>
            </w:r>
          </w:p>
        </w:tc>
        <w:tc>
          <w:tcPr>
            <w:tcW w:w="1877" w:type="dxa"/>
            <w:tcBorders>
              <w:top w:val="nil"/>
              <w:left w:val="single" w:sz="4" w:space="0" w:color="auto"/>
              <w:bottom w:val="nil"/>
              <w:right w:val="nil"/>
            </w:tcBorders>
            <w:shd w:val="clear" w:color="000000" w:fill="F2F2F2"/>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1</w:t>
            </w:r>
          </w:p>
        </w:tc>
        <w:tc>
          <w:tcPr>
            <w:tcW w:w="1664" w:type="dxa"/>
            <w:tcBorders>
              <w:top w:val="nil"/>
              <w:left w:val="nil"/>
              <w:bottom w:val="nil"/>
              <w:right w:val="single" w:sz="8" w:space="0" w:color="auto"/>
            </w:tcBorders>
            <w:shd w:val="clear" w:color="000000" w:fill="F2F2F2"/>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37</w:t>
            </w:r>
          </w:p>
        </w:tc>
      </w:tr>
      <w:tr w:rsidR="004B7E21" w:rsidRPr="0080622D" w:rsidTr="0004396F">
        <w:trPr>
          <w:trHeight w:val="288"/>
        </w:trPr>
        <w:tc>
          <w:tcPr>
            <w:tcW w:w="2111" w:type="dxa"/>
            <w:tcBorders>
              <w:top w:val="nil"/>
              <w:left w:val="single" w:sz="8" w:space="0" w:color="auto"/>
              <w:bottom w:val="nil"/>
              <w:right w:val="nil"/>
            </w:tcBorders>
            <w:shd w:val="clear" w:color="000000" w:fill="F2F2F2"/>
            <w:noWrap/>
            <w:vAlign w:val="bottom"/>
            <w:hideMark/>
          </w:tcPr>
          <w:p w:rsidR="004B7E21" w:rsidRPr="0080622D" w:rsidRDefault="004B7E21" w:rsidP="0004396F">
            <w:pPr>
              <w:spacing w:after="0" w:line="240" w:lineRule="auto"/>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Sierra Leone</w:t>
            </w:r>
          </w:p>
        </w:tc>
        <w:tc>
          <w:tcPr>
            <w:tcW w:w="1970" w:type="dxa"/>
            <w:tcBorders>
              <w:top w:val="nil"/>
              <w:left w:val="nil"/>
              <w:bottom w:val="nil"/>
              <w:right w:val="nil"/>
            </w:tcBorders>
            <w:shd w:val="clear" w:color="000000" w:fill="F2F2F2"/>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7</w:t>
            </w:r>
          </w:p>
        </w:tc>
        <w:tc>
          <w:tcPr>
            <w:tcW w:w="1738" w:type="dxa"/>
            <w:tcBorders>
              <w:top w:val="nil"/>
              <w:left w:val="nil"/>
              <w:bottom w:val="nil"/>
              <w:right w:val="nil"/>
            </w:tcBorders>
            <w:shd w:val="clear" w:color="000000" w:fill="F2F2F2"/>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37</w:t>
            </w:r>
          </w:p>
        </w:tc>
        <w:tc>
          <w:tcPr>
            <w:tcW w:w="1877" w:type="dxa"/>
            <w:tcBorders>
              <w:top w:val="nil"/>
              <w:left w:val="single" w:sz="4" w:space="0" w:color="auto"/>
              <w:bottom w:val="nil"/>
              <w:right w:val="nil"/>
            </w:tcBorders>
            <w:shd w:val="clear" w:color="000000" w:fill="F2F2F2"/>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4</w:t>
            </w:r>
          </w:p>
        </w:tc>
        <w:tc>
          <w:tcPr>
            <w:tcW w:w="1664" w:type="dxa"/>
            <w:tcBorders>
              <w:top w:val="nil"/>
              <w:left w:val="nil"/>
              <w:bottom w:val="nil"/>
              <w:right w:val="single" w:sz="8" w:space="0" w:color="auto"/>
            </w:tcBorders>
            <w:shd w:val="clear" w:color="000000" w:fill="F2F2F2"/>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31</w:t>
            </w:r>
          </w:p>
        </w:tc>
      </w:tr>
      <w:tr w:rsidR="004B7E21" w:rsidRPr="0080622D" w:rsidTr="0004396F">
        <w:trPr>
          <w:trHeight w:val="300"/>
        </w:trPr>
        <w:tc>
          <w:tcPr>
            <w:tcW w:w="2111" w:type="dxa"/>
            <w:tcBorders>
              <w:top w:val="nil"/>
              <w:left w:val="single" w:sz="8" w:space="0" w:color="auto"/>
              <w:bottom w:val="single" w:sz="8" w:space="0" w:color="auto"/>
              <w:right w:val="nil"/>
            </w:tcBorders>
            <w:shd w:val="clear" w:color="000000" w:fill="F2F2F2"/>
            <w:noWrap/>
            <w:vAlign w:val="bottom"/>
            <w:hideMark/>
          </w:tcPr>
          <w:p w:rsidR="004B7E21" w:rsidRPr="0080622D" w:rsidRDefault="004B7E21" w:rsidP="0004396F">
            <w:pPr>
              <w:spacing w:after="0" w:line="240" w:lineRule="auto"/>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Zimbabwe</w:t>
            </w:r>
          </w:p>
        </w:tc>
        <w:tc>
          <w:tcPr>
            <w:tcW w:w="1970" w:type="dxa"/>
            <w:tcBorders>
              <w:top w:val="nil"/>
              <w:left w:val="nil"/>
              <w:bottom w:val="single" w:sz="8" w:space="0" w:color="auto"/>
              <w:right w:val="nil"/>
            </w:tcBorders>
            <w:shd w:val="clear" w:color="000000" w:fill="F2F2F2"/>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25</w:t>
            </w:r>
          </w:p>
        </w:tc>
        <w:tc>
          <w:tcPr>
            <w:tcW w:w="1738" w:type="dxa"/>
            <w:tcBorders>
              <w:top w:val="nil"/>
              <w:left w:val="nil"/>
              <w:bottom w:val="single" w:sz="8" w:space="0" w:color="auto"/>
              <w:right w:val="nil"/>
            </w:tcBorders>
            <w:shd w:val="clear" w:color="000000" w:fill="F2F2F2"/>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32</w:t>
            </w:r>
          </w:p>
        </w:tc>
        <w:tc>
          <w:tcPr>
            <w:tcW w:w="1877" w:type="dxa"/>
            <w:tcBorders>
              <w:top w:val="nil"/>
              <w:left w:val="single" w:sz="4" w:space="0" w:color="auto"/>
              <w:bottom w:val="single" w:sz="8" w:space="0" w:color="auto"/>
              <w:right w:val="nil"/>
            </w:tcBorders>
            <w:shd w:val="clear" w:color="000000" w:fill="F2F2F2"/>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17</w:t>
            </w:r>
          </w:p>
        </w:tc>
        <w:tc>
          <w:tcPr>
            <w:tcW w:w="1664" w:type="dxa"/>
            <w:tcBorders>
              <w:top w:val="nil"/>
              <w:left w:val="nil"/>
              <w:bottom w:val="single" w:sz="8" w:space="0" w:color="auto"/>
              <w:right w:val="single" w:sz="8" w:space="0" w:color="auto"/>
            </w:tcBorders>
            <w:shd w:val="clear" w:color="000000" w:fill="F2F2F2"/>
            <w:noWrap/>
            <w:vAlign w:val="bottom"/>
            <w:hideMark/>
          </w:tcPr>
          <w:p w:rsidR="004B7E21" w:rsidRPr="0080622D" w:rsidRDefault="004B7E21" w:rsidP="0004396F">
            <w:pPr>
              <w:spacing w:after="0" w:line="240" w:lineRule="auto"/>
              <w:jc w:val="center"/>
              <w:rPr>
                <w:rFonts w:asciiTheme="majorHAnsi" w:eastAsia="Times New Roman" w:hAnsiTheme="majorHAnsi" w:cstheme="majorHAnsi"/>
                <w:color w:val="000000"/>
                <w:lang w:eastAsia="en-GB"/>
              </w:rPr>
            </w:pPr>
            <w:r w:rsidRPr="0080622D">
              <w:rPr>
                <w:rFonts w:asciiTheme="majorHAnsi" w:eastAsia="Times New Roman" w:hAnsiTheme="majorHAnsi" w:cstheme="majorHAnsi"/>
                <w:color w:val="000000"/>
                <w:lang w:eastAsia="en-GB"/>
              </w:rPr>
              <w:t>26</w:t>
            </w:r>
          </w:p>
        </w:tc>
      </w:tr>
    </w:tbl>
    <w:p w:rsidR="004B7E21" w:rsidRDefault="004B7E21" w:rsidP="004B7E21">
      <w:pPr>
        <w:jc w:val="both"/>
        <w:rPr>
          <w:rFonts w:asciiTheme="majorHAnsi" w:hAnsiTheme="majorHAnsi" w:cstheme="majorHAnsi"/>
          <w:sz w:val="28"/>
          <w:szCs w:val="28"/>
        </w:rPr>
      </w:pPr>
    </w:p>
    <w:p w:rsidR="004B7E21" w:rsidRDefault="004B7E21">
      <w:pPr>
        <w:rPr>
          <w:rFonts w:asciiTheme="majorHAnsi" w:hAnsiTheme="majorHAnsi" w:cstheme="majorHAnsi"/>
          <w:sz w:val="28"/>
          <w:szCs w:val="28"/>
        </w:rPr>
      </w:pPr>
      <w:r>
        <w:rPr>
          <w:rFonts w:asciiTheme="majorHAnsi" w:hAnsiTheme="majorHAnsi" w:cstheme="majorHAnsi"/>
          <w:sz w:val="28"/>
          <w:szCs w:val="28"/>
        </w:rPr>
        <w:br w:type="page"/>
      </w:r>
      <w:r w:rsidR="005F2490">
        <w:rPr>
          <w:noProof/>
          <w:lang w:eastAsia="en-GB"/>
        </w:rPr>
        <w:drawing>
          <wp:inline distT="0" distB="0" distL="0" distR="0" wp14:anchorId="30BCFA22" wp14:editId="5CD4AE89">
            <wp:extent cx="5731510" cy="2754630"/>
            <wp:effectExtent l="0" t="0" r="254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heme="majorHAnsi" w:hAnsiTheme="majorHAnsi" w:cstheme="majorHAnsi"/>
          <w:sz w:val="28"/>
          <w:szCs w:val="28"/>
        </w:rPr>
        <w:br w:type="page"/>
      </w:r>
    </w:p>
    <w:p w:rsidR="004B7E21" w:rsidRDefault="0064578B">
      <w:pPr>
        <w:rPr>
          <w:rFonts w:asciiTheme="majorHAnsi" w:hAnsiTheme="majorHAnsi" w:cstheme="majorHAnsi"/>
          <w:sz w:val="28"/>
          <w:szCs w:val="28"/>
        </w:rPr>
      </w:pPr>
      <w:r>
        <w:rPr>
          <w:noProof/>
          <w:lang w:eastAsia="en-GB"/>
        </w:rPr>
        <w:drawing>
          <wp:inline distT="0" distB="0" distL="0" distR="0" wp14:anchorId="4F20B6FD" wp14:editId="3518D4F0">
            <wp:extent cx="550545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4B7E21">
        <w:rPr>
          <w:rFonts w:asciiTheme="majorHAnsi" w:hAnsiTheme="majorHAnsi" w:cstheme="majorHAnsi"/>
          <w:sz w:val="28"/>
          <w:szCs w:val="28"/>
        </w:rPr>
        <w:br w:type="page"/>
      </w:r>
      <w:r w:rsidR="004B7E21">
        <w:rPr>
          <w:noProof/>
          <w:lang w:eastAsia="en-GB"/>
        </w:rPr>
        <w:drawing>
          <wp:inline distT="0" distB="0" distL="0" distR="0" wp14:anchorId="0162548F" wp14:editId="34529FA8">
            <wp:extent cx="5731510" cy="2845435"/>
            <wp:effectExtent l="0" t="0" r="2540" b="120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B7E21" w:rsidRDefault="004B7E21">
      <w:pPr>
        <w:rPr>
          <w:rFonts w:asciiTheme="majorHAnsi" w:hAnsiTheme="majorHAnsi" w:cstheme="majorHAnsi"/>
          <w:sz w:val="28"/>
          <w:szCs w:val="28"/>
        </w:rPr>
      </w:pPr>
      <w:r>
        <w:rPr>
          <w:rFonts w:asciiTheme="majorHAnsi" w:hAnsiTheme="majorHAnsi" w:cstheme="majorHAnsi"/>
          <w:sz w:val="28"/>
          <w:szCs w:val="28"/>
        </w:rPr>
        <w:br w:type="page"/>
      </w:r>
    </w:p>
    <w:p w:rsidR="004B7E21" w:rsidRDefault="004B7E21">
      <w:pPr>
        <w:rPr>
          <w:rFonts w:asciiTheme="majorHAnsi" w:hAnsiTheme="majorHAnsi" w:cstheme="majorHAnsi"/>
          <w:sz w:val="28"/>
          <w:szCs w:val="28"/>
        </w:rPr>
      </w:pPr>
    </w:p>
    <w:p w:rsidR="004B7E21" w:rsidRDefault="004B7E21" w:rsidP="00C33FEF">
      <w:pPr>
        <w:jc w:val="both"/>
        <w:rPr>
          <w:rFonts w:asciiTheme="majorHAnsi" w:hAnsiTheme="majorHAnsi" w:cstheme="majorHAnsi"/>
          <w:sz w:val="28"/>
          <w:szCs w:val="28"/>
        </w:rPr>
      </w:pPr>
      <w:r w:rsidRPr="005C5E5A">
        <w:rPr>
          <w:rFonts w:asciiTheme="majorHAnsi" w:hAnsiTheme="majorHAnsi" w:cstheme="majorHAnsi"/>
          <w:noProof/>
          <w:lang w:eastAsia="en-GB"/>
        </w:rPr>
        <w:drawing>
          <wp:inline distT="0" distB="0" distL="0" distR="0" wp14:anchorId="6E6A4A59" wp14:editId="7EB32905">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B7E21" w:rsidRDefault="004B7E21">
      <w:pPr>
        <w:rPr>
          <w:rFonts w:asciiTheme="majorHAnsi" w:hAnsiTheme="majorHAnsi" w:cstheme="majorHAnsi"/>
          <w:sz w:val="28"/>
          <w:szCs w:val="28"/>
        </w:rPr>
      </w:pPr>
      <w:r>
        <w:rPr>
          <w:rFonts w:asciiTheme="majorHAnsi" w:hAnsiTheme="majorHAnsi" w:cstheme="majorHAnsi"/>
          <w:sz w:val="28"/>
          <w:szCs w:val="28"/>
        </w:rPr>
        <w:br w:type="page"/>
      </w:r>
    </w:p>
    <w:p w:rsidR="00A52447" w:rsidRPr="005C5E5A" w:rsidRDefault="004B7E21" w:rsidP="00C33FEF">
      <w:pPr>
        <w:jc w:val="both"/>
        <w:rPr>
          <w:rFonts w:asciiTheme="majorHAnsi" w:hAnsiTheme="majorHAnsi" w:cstheme="majorHAnsi"/>
          <w:sz w:val="28"/>
          <w:szCs w:val="28"/>
        </w:rPr>
      </w:pPr>
      <w:r w:rsidRPr="005C5E5A">
        <w:rPr>
          <w:rFonts w:asciiTheme="majorHAnsi" w:hAnsiTheme="majorHAnsi" w:cstheme="majorHAnsi"/>
          <w:noProof/>
          <w:lang w:eastAsia="en-GB"/>
        </w:rPr>
        <w:drawing>
          <wp:inline distT="0" distB="0" distL="0" distR="0" wp14:anchorId="594F878B" wp14:editId="057107FA">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sectPr w:rsidR="00A52447" w:rsidRPr="005C5E5A" w:rsidSect="00B36B9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74A0" w:rsidRDefault="00C274A0" w:rsidP="009D604C">
      <w:pPr>
        <w:spacing w:after="0" w:line="240" w:lineRule="auto"/>
      </w:pPr>
      <w:r>
        <w:separator/>
      </w:r>
    </w:p>
  </w:endnote>
  <w:endnote w:type="continuationSeparator" w:id="0">
    <w:p w:rsidR="00C274A0" w:rsidRDefault="00C274A0" w:rsidP="009D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1294060"/>
      <w:docPartObj>
        <w:docPartGallery w:val="Page Numbers (Bottom of Page)"/>
        <w:docPartUnique/>
      </w:docPartObj>
    </w:sdtPr>
    <w:sdtEndPr>
      <w:rPr>
        <w:noProof/>
      </w:rPr>
    </w:sdtEndPr>
    <w:sdtContent>
      <w:p w:rsidR="0004396F" w:rsidRDefault="0004396F">
        <w:pPr>
          <w:pStyle w:val="Footer"/>
          <w:jc w:val="center"/>
        </w:pPr>
        <w:r>
          <w:fldChar w:fldCharType="begin"/>
        </w:r>
        <w:r>
          <w:instrText xml:space="preserve"> PAGE   \* MERGEFORMAT </w:instrText>
        </w:r>
        <w:r>
          <w:fldChar w:fldCharType="separate"/>
        </w:r>
        <w:r w:rsidR="00054836">
          <w:rPr>
            <w:noProof/>
          </w:rPr>
          <w:t>5</w:t>
        </w:r>
        <w:r>
          <w:rPr>
            <w:noProof/>
          </w:rPr>
          <w:fldChar w:fldCharType="end"/>
        </w:r>
      </w:p>
    </w:sdtContent>
  </w:sdt>
  <w:p w:rsidR="0004396F" w:rsidRDefault="0004396F" w:rsidP="00C93045">
    <w:pPr>
      <w:pStyle w:val="Footer"/>
      <w:tabs>
        <w:tab w:val="clear" w:pos="4513"/>
        <w:tab w:val="clear" w:pos="9026"/>
        <w:tab w:val="left" w:pos="14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74A0" w:rsidRDefault="00C274A0" w:rsidP="009D604C">
      <w:pPr>
        <w:spacing w:after="0" w:line="240" w:lineRule="auto"/>
      </w:pPr>
      <w:r>
        <w:separator/>
      </w:r>
    </w:p>
  </w:footnote>
  <w:footnote w:type="continuationSeparator" w:id="0">
    <w:p w:rsidR="00C274A0" w:rsidRDefault="00C274A0" w:rsidP="009D604C">
      <w:pPr>
        <w:spacing w:after="0" w:line="240" w:lineRule="auto"/>
      </w:pPr>
      <w:r>
        <w:continuationSeparator/>
      </w:r>
    </w:p>
  </w:footnote>
  <w:footnote w:id="1">
    <w:p w:rsidR="0004396F" w:rsidRPr="006665C8" w:rsidRDefault="0004396F">
      <w:pPr>
        <w:pStyle w:val="FootnoteText"/>
        <w:rPr>
          <w:rFonts w:asciiTheme="majorHAnsi" w:hAnsiTheme="majorHAnsi" w:cstheme="majorHAnsi"/>
          <w:sz w:val="22"/>
          <w:szCs w:val="22"/>
        </w:rPr>
      </w:pPr>
      <w:r w:rsidRPr="006665C8">
        <w:rPr>
          <w:rStyle w:val="FootnoteReference"/>
          <w:sz w:val="22"/>
          <w:szCs w:val="22"/>
        </w:rPr>
        <w:footnoteRef/>
      </w:r>
      <w:r w:rsidRPr="006665C8">
        <w:rPr>
          <w:sz w:val="22"/>
          <w:szCs w:val="22"/>
        </w:rPr>
        <w:t xml:space="preserve"> </w:t>
      </w:r>
      <w:r w:rsidRPr="006665C8">
        <w:rPr>
          <w:rFonts w:asciiTheme="majorHAnsi" w:hAnsiTheme="majorHAnsi" w:cstheme="majorHAnsi"/>
          <w:sz w:val="22"/>
          <w:szCs w:val="22"/>
        </w:rPr>
        <w:t xml:space="preserve">See Tooley and Longfield, 2014 (Freetown). Tooley et al, 2007 (Accra). Tooley and Yngstrom, 2004; Larbi et al 2004; Tooley et al, 2007; Harma and Adefisayo, 2009; Harma, 2011 (Lagos). Longfield and Tooley, 2014 Juba). Dixon and Tooley, 2012; Oketch et al 2010; Tooley et al. 2008 (Nairobi).  Harma and Pikholz, 2017 (Kampala). See </w:t>
      </w:r>
      <w:r>
        <w:rPr>
          <w:rFonts w:asciiTheme="majorHAnsi" w:hAnsiTheme="majorHAnsi" w:cstheme="majorHAnsi"/>
          <w:sz w:val="22"/>
          <w:szCs w:val="22"/>
        </w:rPr>
        <w:t xml:space="preserve">also </w:t>
      </w:r>
      <w:r w:rsidRPr="006665C8">
        <w:rPr>
          <w:rFonts w:asciiTheme="majorHAnsi" w:hAnsiTheme="majorHAnsi" w:cstheme="majorHAnsi"/>
          <w:sz w:val="22"/>
          <w:szCs w:val="22"/>
        </w:rPr>
        <w:t>Schirmer, 2010 (South Africa), and Somerset, 2009 (Nairobi).</w:t>
      </w:r>
    </w:p>
  </w:footnote>
  <w:footnote w:id="2">
    <w:p w:rsidR="0004396F" w:rsidRPr="00295DA6" w:rsidRDefault="0004396F" w:rsidP="00295DA6">
      <w:pPr>
        <w:pStyle w:val="FootnoteText"/>
        <w:jc w:val="both"/>
        <w:rPr>
          <w:rFonts w:asciiTheme="majorHAnsi" w:hAnsiTheme="majorHAnsi" w:cstheme="majorHAnsi"/>
          <w:sz w:val="22"/>
          <w:szCs w:val="22"/>
        </w:rPr>
      </w:pPr>
      <w:r w:rsidRPr="00295DA6">
        <w:rPr>
          <w:rStyle w:val="FootnoteReference"/>
          <w:rFonts w:asciiTheme="majorHAnsi" w:hAnsiTheme="majorHAnsi" w:cstheme="majorHAnsi"/>
          <w:sz w:val="22"/>
          <w:szCs w:val="22"/>
        </w:rPr>
        <w:footnoteRef/>
      </w:r>
      <w:r w:rsidRPr="00295DA6">
        <w:rPr>
          <w:rFonts w:asciiTheme="majorHAnsi" w:hAnsiTheme="majorHAnsi" w:cstheme="majorHAnsi"/>
          <w:sz w:val="22"/>
          <w:szCs w:val="22"/>
        </w:rPr>
        <w:t xml:space="preserve"> See CONFEMEN, 2016.</w:t>
      </w:r>
    </w:p>
  </w:footnote>
  <w:footnote w:id="3">
    <w:p w:rsidR="0004396F" w:rsidRPr="00295DA6" w:rsidRDefault="0004396F" w:rsidP="00295DA6">
      <w:pPr>
        <w:pStyle w:val="FootnoteText"/>
        <w:jc w:val="both"/>
        <w:rPr>
          <w:rFonts w:asciiTheme="majorHAnsi" w:hAnsiTheme="majorHAnsi" w:cstheme="majorHAnsi"/>
          <w:sz w:val="22"/>
          <w:szCs w:val="22"/>
        </w:rPr>
      </w:pPr>
      <w:r w:rsidRPr="00295DA6">
        <w:rPr>
          <w:rStyle w:val="FootnoteReference"/>
          <w:rFonts w:asciiTheme="majorHAnsi" w:hAnsiTheme="majorHAnsi" w:cstheme="majorHAnsi"/>
          <w:sz w:val="22"/>
          <w:szCs w:val="22"/>
        </w:rPr>
        <w:footnoteRef/>
      </w:r>
      <w:r w:rsidRPr="00295DA6">
        <w:rPr>
          <w:rFonts w:asciiTheme="majorHAnsi" w:hAnsiTheme="majorHAnsi" w:cstheme="majorHAnsi"/>
          <w:sz w:val="22"/>
          <w:szCs w:val="22"/>
        </w:rPr>
        <w:t xml:space="preserve"> Where there is more than a two-percentage difference in the overall private school enrolment rates between the UIS and MICS/PASEC surveys. For more detailed analysis of this and other summary statistics presented in this review see Bennell, 2021. </w:t>
      </w:r>
    </w:p>
  </w:footnote>
  <w:footnote w:id="4">
    <w:p w:rsidR="0004396F" w:rsidRPr="00295DA6" w:rsidRDefault="0004396F" w:rsidP="00295DA6">
      <w:pPr>
        <w:pStyle w:val="FootnoteText"/>
        <w:jc w:val="both"/>
        <w:rPr>
          <w:rFonts w:asciiTheme="majorHAnsi" w:hAnsiTheme="majorHAnsi" w:cstheme="majorHAnsi"/>
          <w:sz w:val="22"/>
          <w:szCs w:val="22"/>
        </w:rPr>
      </w:pPr>
      <w:r w:rsidRPr="00295DA6">
        <w:rPr>
          <w:rStyle w:val="FootnoteReference"/>
          <w:rFonts w:asciiTheme="majorHAnsi" w:hAnsiTheme="majorHAnsi" w:cstheme="majorHAnsi"/>
          <w:sz w:val="22"/>
          <w:szCs w:val="22"/>
        </w:rPr>
        <w:footnoteRef/>
      </w:r>
      <w:r w:rsidRPr="00295DA6">
        <w:rPr>
          <w:rFonts w:asciiTheme="majorHAnsi" w:hAnsiTheme="majorHAnsi" w:cstheme="majorHAnsi"/>
          <w:sz w:val="22"/>
          <w:szCs w:val="22"/>
        </w:rPr>
        <w:t xml:space="preserve"> PSP surveys in rural areas are rare.  See, for example,   Akaguri, 2013 (Ghana) and Harma, 2013 (Kwara State, Nigeria).</w:t>
      </w:r>
    </w:p>
  </w:footnote>
  <w:footnote w:id="5">
    <w:p w:rsidR="0004396F" w:rsidRPr="00295DA6" w:rsidRDefault="0004396F" w:rsidP="00295DA6">
      <w:pPr>
        <w:pStyle w:val="FootnoteText"/>
        <w:jc w:val="both"/>
        <w:rPr>
          <w:rFonts w:asciiTheme="majorHAnsi" w:hAnsiTheme="majorHAnsi" w:cstheme="majorHAnsi"/>
          <w:sz w:val="22"/>
          <w:szCs w:val="22"/>
        </w:rPr>
      </w:pPr>
      <w:r w:rsidRPr="00295DA6">
        <w:rPr>
          <w:rStyle w:val="FootnoteReference"/>
          <w:rFonts w:asciiTheme="majorHAnsi" w:hAnsiTheme="majorHAnsi" w:cstheme="majorHAnsi"/>
          <w:sz w:val="22"/>
          <w:szCs w:val="22"/>
        </w:rPr>
        <w:footnoteRef/>
      </w:r>
      <w:r w:rsidRPr="00295DA6">
        <w:rPr>
          <w:rFonts w:asciiTheme="majorHAnsi" w:hAnsiTheme="majorHAnsi" w:cstheme="majorHAnsi"/>
          <w:sz w:val="22"/>
          <w:szCs w:val="22"/>
        </w:rPr>
        <w:t xml:space="preserve"> Household income and expenditure surveys frequently request information on educational expenditures of various kinds including private schooling and private tuition. Akyeampong (2009) and Chimombo (2009 do rely quite heavily on national enrolment statistics in their analysis of PSP in Ghana and Malawi respectively. </w:t>
      </w:r>
    </w:p>
  </w:footnote>
  <w:footnote w:id="6">
    <w:p w:rsidR="0004396F" w:rsidRPr="00295DA6" w:rsidRDefault="0004396F" w:rsidP="00295DA6">
      <w:pPr>
        <w:pStyle w:val="FootnoteText"/>
        <w:jc w:val="both"/>
        <w:rPr>
          <w:rFonts w:asciiTheme="majorHAnsi" w:hAnsiTheme="majorHAnsi" w:cstheme="majorHAnsi"/>
          <w:sz w:val="22"/>
          <w:szCs w:val="22"/>
        </w:rPr>
      </w:pPr>
      <w:r w:rsidRPr="00295DA6">
        <w:rPr>
          <w:rStyle w:val="FootnoteReference"/>
          <w:rFonts w:asciiTheme="majorHAnsi" w:hAnsiTheme="majorHAnsi" w:cstheme="majorHAnsi"/>
          <w:sz w:val="22"/>
          <w:szCs w:val="22"/>
        </w:rPr>
        <w:footnoteRef/>
      </w:r>
      <w:r w:rsidRPr="00295DA6">
        <w:rPr>
          <w:rFonts w:asciiTheme="majorHAnsi" w:hAnsiTheme="majorHAnsi" w:cstheme="majorHAnsi"/>
          <w:sz w:val="22"/>
          <w:szCs w:val="22"/>
        </w:rPr>
        <w:t xml:space="preserve"> Only one study on Madagascar could be located (see Lassibille et al, date).</w:t>
      </w:r>
    </w:p>
  </w:footnote>
  <w:footnote w:id="7">
    <w:p w:rsidR="0004396F" w:rsidRPr="00963132" w:rsidRDefault="0004396F" w:rsidP="007555FE">
      <w:pPr>
        <w:jc w:val="both"/>
        <w:rPr>
          <w:rFonts w:asciiTheme="majorHAnsi" w:hAnsiTheme="majorHAnsi" w:cstheme="majorHAnsi"/>
        </w:rPr>
      </w:pPr>
      <w:r w:rsidRPr="00963132">
        <w:rPr>
          <w:rStyle w:val="FootnoteReference"/>
          <w:rFonts w:asciiTheme="majorHAnsi" w:hAnsiTheme="majorHAnsi" w:cstheme="majorHAnsi"/>
        </w:rPr>
        <w:footnoteRef/>
      </w:r>
      <w:r w:rsidRPr="00963132">
        <w:rPr>
          <w:rFonts w:asciiTheme="majorHAnsi" w:hAnsiTheme="majorHAnsi" w:cstheme="majorHAnsi"/>
        </w:rPr>
        <w:t xml:space="preserve"> </w:t>
      </w:r>
      <w:r>
        <w:rPr>
          <w:rFonts w:asciiTheme="majorHAnsi" w:hAnsiTheme="majorHAnsi" w:cstheme="majorHAnsi"/>
        </w:rPr>
        <w:t xml:space="preserve">This is </w:t>
      </w:r>
      <w:r w:rsidRPr="00963132">
        <w:rPr>
          <w:rFonts w:asciiTheme="majorHAnsi" w:hAnsiTheme="majorHAnsi" w:cstheme="majorHAnsi"/>
        </w:rPr>
        <w:t>separately analysed in a second accompanying article.</w:t>
      </w:r>
      <w:r>
        <w:rPr>
          <w:rFonts w:asciiTheme="majorHAnsi" w:hAnsiTheme="majorHAnsi" w:cstheme="majorHAnsi"/>
        </w:rPr>
        <w:t xml:space="preserve"> See Bennell, 2021. Forthcoming.</w:t>
      </w:r>
    </w:p>
    <w:p w:rsidR="0004396F" w:rsidRDefault="0004396F">
      <w:pPr>
        <w:pStyle w:val="FootnoteText"/>
      </w:pPr>
    </w:p>
  </w:footnote>
  <w:footnote w:id="8">
    <w:p w:rsidR="0004396F" w:rsidRPr="00295DA6" w:rsidRDefault="0004396F">
      <w:pPr>
        <w:pStyle w:val="FootnoteText"/>
        <w:rPr>
          <w:sz w:val="22"/>
          <w:szCs w:val="22"/>
        </w:rPr>
      </w:pPr>
      <w:r w:rsidRPr="00295DA6">
        <w:rPr>
          <w:rStyle w:val="FootnoteReference"/>
          <w:sz w:val="22"/>
          <w:szCs w:val="22"/>
        </w:rPr>
        <w:footnoteRef/>
      </w:r>
      <w:r w:rsidRPr="00295DA6">
        <w:rPr>
          <w:sz w:val="22"/>
          <w:szCs w:val="22"/>
        </w:rPr>
        <w:t xml:space="preserve"> In slum settlements, the shortage of land to build new schools is a major factor.</w:t>
      </w:r>
    </w:p>
  </w:footnote>
  <w:footnote w:id="9">
    <w:p w:rsidR="0004396F" w:rsidRPr="00295DA6" w:rsidRDefault="0004396F" w:rsidP="00DB2291">
      <w:pPr>
        <w:pStyle w:val="FootnoteText"/>
        <w:jc w:val="both"/>
        <w:rPr>
          <w:rFonts w:asciiTheme="majorHAnsi" w:hAnsiTheme="majorHAnsi" w:cstheme="majorHAnsi"/>
          <w:sz w:val="22"/>
          <w:szCs w:val="22"/>
        </w:rPr>
      </w:pPr>
      <w:r w:rsidRPr="00295DA6">
        <w:rPr>
          <w:rStyle w:val="FootnoteReference"/>
          <w:rFonts w:asciiTheme="majorHAnsi" w:hAnsiTheme="majorHAnsi" w:cstheme="majorHAnsi"/>
          <w:sz w:val="22"/>
          <w:szCs w:val="22"/>
        </w:rPr>
        <w:footnoteRef/>
      </w:r>
      <w:r w:rsidRPr="00295DA6">
        <w:rPr>
          <w:rFonts w:asciiTheme="majorHAnsi" w:hAnsiTheme="majorHAnsi" w:cstheme="majorHAnsi"/>
          <w:sz w:val="22"/>
          <w:szCs w:val="22"/>
        </w:rPr>
        <w:t xml:space="preserve">  The French colonial strategy of assimilation resulted in a particularly elitist secondary school system. Teacher salaries are also relatively high in all Francophone Africa which, in some countries, is due to the relatively high proportion of university graduate teachers who are employed in both primary and secondary schools. Furthermore, teacher trade unions are also particularly strong in many Francophone countries with frequent disruptions to schooling caused by (often protracted) strikes.</w:t>
      </w:r>
    </w:p>
  </w:footnote>
  <w:footnote w:id="10">
    <w:p w:rsidR="0004396F" w:rsidRPr="003A735C" w:rsidRDefault="0004396F">
      <w:pPr>
        <w:pStyle w:val="FootnoteText"/>
        <w:rPr>
          <w:rFonts w:asciiTheme="majorHAnsi" w:hAnsiTheme="majorHAnsi" w:cstheme="majorHAnsi"/>
          <w:sz w:val="22"/>
          <w:szCs w:val="22"/>
        </w:rPr>
      </w:pPr>
      <w:r w:rsidRPr="003A735C">
        <w:rPr>
          <w:rStyle w:val="FootnoteReference"/>
          <w:rFonts w:asciiTheme="majorHAnsi" w:hAnsiTheme="majorHAnsi" w:cstheme="majorHAnsi"/>
          <w:sz w:val="22"/>
          <w:szCs w:val="22"/>
        </w:rPr>
        <w:footnoteRef/>
      </w:r>
      <w:r w:rsidRPr="003A735C">
        <w:rPr>
          <w:rFonts w:asciiTheme="majorHAnsi" w:hAnsiTheme="majorHAnsi" w:cstheme="majorHAnsi"/>
          <w:sz w:val="22"/>
          <w:szCs w:val="22"/>
        </w:rPr>
        <w:t xml:space="preserve"> For an excellent analysis of the reasons why the state has withdrawn from public education in DRC see Kante, 2016.</w:t>
      </w:r>
    </w:p>
  </w:footnote>
  <w:footnote w:id="11">
    <w:p w:rsidR="0004396F" w:rsidRPr="00295DA6" w:rsidRDefault="0004396F" w:rsidP="00DB2291">
      <w:pPr>
        <w:pStyle w:val="FootnoteText"/>
        <w:jc w:val="both"/>
        <w:rPr>
          <w:rFonts w:asciiTheme="majorHAnsi" w:hAnsiTheme="majorHAnsi" w:cstheme="majorHAnsi"/>
          <w:sz w:val="22"/>
          <w:szCs w:val="22"/>
        </w:rPr>
      </w:pPr>
      <w:r w:rsidRPr="00295DA6">
        <w:rPr>
          <w:rStyle w:val="FootnoteReference"/>
          <w:rFonts w:asciiTheme="majorHAnsi" w:hAnsiTheme="majorHAnsi" w:cstheme="majorHAnsi"/>
          <w:sz w:val="22"/>
          <w:szCs w:val="22"/>
        </w:rPr>
        <w:footnoteRef/>
      </w:r>
      <w:r w:rsidRPr="00295DA6">
        <w:rPr>
          <w:rFonts w:asciiTheme="majorHAnsi" w:hAnsiTheme="majorHAnsi" w:cstheme="majorHAnsi"/>
          <w:sz w:val="22"/>
          <w:szCs w:val="22"/>
        </w:rPr>
        <w:t xml:space="preserve"> The series of scatter plots </w:t>
      </w:r>
      <w:r>
        <w:rPr>
          <w:rFonts w:asciiTheme="majorHAnsi" w:hAnsiTheme="majorHAnsi" w:cstheme="majorHAnsi"/>
          <w:sz w:val="22"/>
          <w:szCs w:val="22"/>
        </w:rPr>
        <w:t xml:space="preserve">figures </w:t>
      </w:r>
      <w:r w:rsidRPr="00295DA6">
        <w:rPr>
          <w:rFonts w:asciiTheme="majorHAnsi" w:hAnsiTheme="majorHAnsi" w:cstheme="majorHAnsi"/>
          <w:sz w:val="22"/>
          <w:szCs w:val="22"/>
        </w:rPr>
        <w:t>which illustrate these correlations are presented in the extended paper.</w:t>
      </w:r>
    </w:p>
  </w:footnote>
  <w:footnote w:id="12">
    <w:p w:rsidR="0004396F" w:rsidRPr="00295DA6" w:rsidRDefault="0004396F">
      <w:pPr>
        <w:pStyle w:val="FootnoteText"/>
        <w:rPr>
          <w:rFonts w:asciiTheme="majorHAnsi" w:hAnsiTheme="majorHAnsi" w:cstheme="majorHAnsi"/>
          <w:sz w:val="22"/>
          <w:szCs w:val="22"/>
        </w:rPr>
      </w:pPr>
      <w:r w:rsidRPr="00295DA6">
        <w:rPr>
          <w:rStyle w:val="FootnoteReference"/>
          <w:rFonts w:asciiTheme="majorHAnsi" w:hAnsiTheme="majorHAnsi" w:cstheme="majorHAnsi"/>
          <w:sz w:val="22"/>
          <w:szCs w:val="22"/>
        </w:rPr>
        <w:footnoteRef/>
      </w:r>
      <w:r w:rsidRPr="00295DA6">
        <w:rPr>
          <w:rFonts w:asciiTheme="majorHAnsi" w:hAnsiTheme="majorHAnsi" w:cstheme="majorHAnsi"/>
          <w:sz w:val="22"/>
          <w:szCs w:val="22"/>
        </w:rPr>
        <w:t xml:space="preserve"> The five small island states of Cap Verde, Comoros, Equatorial Guinea, Mauritius and Syechelles are not included in this analysis.</w:t>
      </w:r>
    </w:p>
  </w:footnote>
  <w:footnote w:id="13">
    <w:p w:rsidR="0004396F" w:rsidRPr="00F1799F" w:rsidRDefault="0004396F" w:rsidP="009D5CEF">
      <w:pPr>
        <w:pStyle w:val="FootnoteText"/>
        <w:rPr>
          <w:rFonts w:asciiTheme="majorHAnsi" w:hAnsiTheme="majorHAnsi" w:cstheme="majorHAnsi"/>
          <w:sz w:val="22"/>
          <w:szCs w:val="22"/>
        </w:rPr>
      </w:pPr>
      <w:r w:rsidRPr="00F1799F">
        <w:rPr>
          <w:rStyle w:val="FootnoteReference"/>
          <w:rFonts w:asciiTheme="majorHAnsi" w:hAnsiTheme="majorHAnsi" w:cstheme="majorHAnsi"/>
          <w:sz w:val="22"/>
          <w:szCs w:val="22"/>
        </w:rPr>
        <w:footnoteRef/>
      </w:r>
      <w:r w:rsidRPr="00F1799F">
        <w:rPr>
          <w:rFonts w:asciiTheme="majorHAnsi" w:hAnsiTheme="majorHAnsi" w:cstheme="majorHAnsi"/>
          <w:sz w:val="22"/>
          <w:szCs w:val="22"/>
        </w:rPr>
        <w:t xml:space="preserve"> The median difference in country primary and secondary GERs is 58 percentage points. The lower and upper quartile values </w:t>
      </w:r>
      <w:r>
        <w:rPr>
          <w:rFonts w:asciiTheme="majorHAnsi" w:hAnsiTheme="majorHAnsi" w:cstheme="majorHAnsi"/>
          <w:sz w:val="22"/>
          <w:szCs w:val="22"/>
        </w:rPr>
        <w:t xml:space="preserve">are </w:t>
      </w:r>
      <w:r w:rsidRPr="00F1799F">
        <w:rPr>
          <w:rFonts w:asciiTheme="majorHAnsi" w:hAnsiTheme="majorHAnsi" w:cstheme="majorHAnsi"/>
          <w:sz w:val="22"/>
          <w:szCs w:val="22"/>
        </w:rPr>
        <w:t xml:space="preserve">43 and 76 percentage points respectively. </w:t>
      </w:r>
    </w:p>
  </w:footnote>
  <w:footnote w:id="14">
    <w:p w:rsidR="0004396F" w:rsidRPr="000B258D" w:rsidRDefault="0004396F">
      <w:pPr>
        <w:pStyle w:val="FootnoteText"/>
        <w:rPr>
          <w:rFonts w:asciiTheme="majorHAnsi" w:hAnsiTheme="majorHAnsi" w:cstheme="majorHAnsi"/>
          <w:sz w:val="22"/>
          <w:szCs w:val="22"/>
        </w:rPr>
      </w:pPr>
      <w:r w:rsidRPr="000B258D">
        <w:rPr>
          <w:rStyle w:val="FootnoteReference"/>
          <w:rFonts w:asciiTheme="majorHAnsi" w:hAnsiTheme="majorHAnsi" w:cstheme="majorHAnsi"/>
          <w:sz w:val="22"/>
          <w:szCs w:val="22"/>
        </w:rPr>
        <w:footnoteRef/>
      </w:r>
      <w:r w:rsidRPr="000B258D">
        <w:rPr>
          <w:rFonts w:asciiTheme="majorHAnsi" w:hAnsiTheme="majorHAnsi" w:cstheme="majorHAnsi"/>
          <w:sz w:val="22"/>
          <w:szCs w:val="22"/>
        </w:rPr>
        <w:t xml:space="preserve"> Bangladesh is the only noticeable </w:t>
      </w:r>
      <w:r>
        <w:rPr>
          <w:rFonts w:asciiTheme="majorHAnsi" w:hAnsiTheme="majorHAnsi" w:cstheme="majorHAnsi"/>
          <w:sz w:val="22"/>
          <w:szCs w:val="22"/>
        </w:rPr>
        <w:t xml:space="preserve">country </w:t>
      </w:r>
      <w:r w:rsidRPr="000B258D">
        <w:rPr>
          <w:rFonts w:asciiTheme="majorHAnsi" w:hAnsiTheme="majorHAnsi" w:cstheme="majorHAnsi"/>
          <w:sz w:val="22"/>
          <w:szCs w:val="22"/>
        </w:rPr>
        <w:t>outlier.</w:t>
      </w:r>
    </w:p>
  </w:footnote>
  <w:footnote w:id="15">
    <w:p w:rsidR="0004396F" w:rsidRPr="00295DA6" w:rsidRDefault="0004396F" w:rsidP="00295DA6">
      <w:pPr>
        <w:pStyle w:val="FootnoteText"/>
        <w:jc w:val="both"/>
        <w:rPr>
          <w:rFonts w:asciiTheme="majorHAnsi" w:hAnsiTheme="majorHAnsi" w:cstheme="majorHAnsi"/>
          <w:sz w:val="22"/>
          <w:szCs w:val="22"/>
        </w:rPr>
      </w:pPr>
      <w:r w:rsidRPr="00295DA6">
        <w:rPr>
          <w:rStyle w:val="FootnoteReference"/>
          <w:rFonts w:asciiTheme="majorHAnsi" w:hAnsiTheme="majorHAnsi" w:cstheme="majorHAnsi"/>
          <w:sz w:val="22"/>
          <w:szCs w:val="22"/>
        </w:rPr>
        <w:footnoteRef/>
      </w:r>
      <w:r w:rsidRPr="00295DA6">
        <w:rPr>
          <w:rFonts w:asciiTheme="majorHAnsi" w:hAnsiTheme="majorHAnsi" w:cstheme="majorHAnsi"/>
          <w:sz w:val="22"/>
          <w:szCs w:val="22"/>
        </w:rPr>
        <w:t xml:space="preserve"> The data for Mali comes from the Demographic and Health Survey (see Bennell,2020)</w:t>
      </w:r>
    </w:p>
  </w:footnote>
  <w:footnote w:id="16">
    <w:p w:rsidR="0004396F" w:rsidRPr="00295DA6" w:rsidRDefault="0004396F" w:rsidP="00295DA6">
      <w:pPr>
        <w:pStyle w:val="FootnoteText"/>
        <w:jc w:val="both"/>
        <w:rPr>
          <w:rFonts w:asciiTheme="majorHAnsi" w:hAnsiTheme="majorHAnsi" w:cstheme="majorHAnsi"/>
          <w:sz w:val="22"/>
          <w:szCs w:val="22"/>
        </w:rPr>
      </w:pPr>
      <w:r w:rsidRPr="00295DA6">
        <w:rPr>
          <w:rStyle w:val="FootnoteReference"/>
          <w:rFonts w:asciiTheme="majorHAnsi" w:hAnsiTheme="majorHAnsi" w:cstheme="majorHAnsi"/>
          <w:sz w:val="22"/>
          <w:szCs w:val="22"/>
        </w:rPr>
        <w:footnoteRef/>
      </w:r>
      <w:r w:rsidRPr="00295DA6">
        <w:rPr>
          <w:rFonts w:asciiTheme="majorHAnsi" w:hAnsiTheme="majorHAnsi" w:cstheme="majorHAnsi"/>
          <w:sz w:val="22"/>
          <w:szCs w:val="22"/>
        </w:rPr>
        <w:t xml:space="preserve"> It may also be the case that richer households in rural areas are sending their children to schools in urban areas.</w:t>
      </w:r>
    </w:p>
  </w:footnote>
  <w:footnote w:id="17">
    <w:p w:rsidR="0004396F" w:rsidRPr="005C6B35" w:rsidRDefault="0004396F" w:rsidP="00474E2B">
      <w:pPr>
        <w:jc w:val="both"/>
        <w:rPr>
          <w:rFonts w:asciiTheme="majorHAnsi" w:hAnsiTheme="majorHAnsi" w:cstheme="majorHAnsi"/>
        </w:rPr>
      </w:pPr>
      <w:r w:rsidRPr="00295DA6">
        <w:rPr>
          <w:rStyle w:val="FootnoteReference"/>
          <w:rFonts w:asciiTheme="majorHAnsi" w:hAnsiTheme="majorHAnsi" w:cstheme="majorHAnsi"/>
        </w:rPr>
        <w:footnoteRef/>
      </w:r>
      <w:r w:rsidRPr="00295DA6">
        <w:rPr>
          <w:rFonts w:asciiTheme="majorHAnsi" w:hAnsiTheme="majorHAnsi" w:cstheme="majorHAnsi"/>
        </w:rPr>
        <w:t xml:space="preserve"> Unfortunately, no time series data is available which would enable changes in access to private schooling among the poorest to the richest households to be ascertained. </w:t>
      </w:r>
      <w:r>
        <w:rPr>
          <w:rFonts w:asciiTheme="majorHAnsi" w:hAnsiTheme="majorHAnsi" w:cstheme="majorHAnsi"/>
        </w:rPr>
        <w:t>As early as the 1990s, a study of private schooling in Tanzania</w:t>
      </w:r>
      <w:r w:rsidRPr="00295DA6">
        <w:rPr>
          <w:rFonts w:asciiTheme="majorHAnsi" w:hAnsiTheme="majorHAnsi" w:cstheme="majorHAnsi"/>
        </w:rPr>
        <w:t xml:space="preserve"> </w:t>
      </w:r>
      <w:r>
        <w:rPr>
          <w:rFonts w:asciiTheme="majorHAnsi" w:hAnsiTheme="majorHAnsi" w:cstheme="majorHAnsi"/>
        </w:rPr>
        <w:t xml:space="preserve">noted that ‘the expansion (of private schooling) has been accompanied by a decline in access to secondary schooling among children from disadvantaged backgrounds’ (Lassibille and Tan, 2000:2). </w:t>
      </w:r>
      <w:r w:rsidRPr="00295DA6">
        <w:rPr>
          <w:rFonts w:asciiTheme="majorHAnsi" w:hAnsiTheme="majorHAnsi" w:cstheme="majorHAnsi"/>
        </w:rPr>
        <w:t xml:space="preserve">    </w:t>
      </w:r>
    </w:p>
  </w:footnote>
  <w:footnote w:id="18">
    <w:p w:rsidR="0004396F" w:rsidRPr="00295DA6" w:rsidRDefault="0004396F" w:rsidP="005C6B35">
      <w:pPr>
        <w:pStyle w:val="FootnoteText"/>
        <w:jc w:val="both"/>
        <w:rPr>
          <w:rFonts w:asciiTheme="majorHAnsi" w:hAnsiTheme="majorHAnsi" w:cstheme="majorHAnsi"/>
          <w:sz w:val="22"/>
          <w:szCs w:val="22"/>
        </w:rPr>
      </w:pPr>
      <w:r w:rsidRPr="00295DA6">
        <w:rPr>
          <w:rStyle w:val="FootnoteReference"/>
          <w:rFonts w:asciiTheme="majorHAnsi" w:hAnsiTheme="majorHAnsi" w:cstheme="majorHAnsi"/>
          <w:sz w:val="22"/>
          <w:szCs w:val="22"/>
        </w:rPr>
        <w:footnoteRef/>
      </w:r>
      <w:r w:rsidRPr="00295DA6">
        <w:rPr>
          <w:rFonts w:asciiTheme="majorHAnsi" w:hAnsiTheme="majorHAnsi" w:cstheme="majorHAnsi"/>
          <w:sz w:val="22"/>
          <w:szCs w:val="22"/>
        </w:rPr>
        <w:t xml:space="preserve"> There are only a few studies on the relative costs of private schooling in SSA (see, for example, Oketch et al.</w:t>
      </w:r>
      <w:r>
        <w:rPr>
          <w:rFonts w:asciiTheme="majorHAnsi" w:hAnsiTheme="majorHAnsi" w:cstheme="majorHAnsi"/>
          <w:sz w:val="22"/>
          <w:szCs w:val="22"/>
        </w:rPr>
        <w:t xml:space="preserve">, </w:t>
      </w:r>
      <w:r w:rsidRPr="00295DA6">
        <w:rPr>
          <w:rFonts w:asciiTheme="majorHAnsi" w:hAnsiTheme="majorHAnsi" w:cstheme="majorHAnsi"/>
          <w:sz w:val="22"/>
          <w:szCs w:val="22"/>
        </w:rPr>
        <w:t>2010, Languille,</w:t>
      </w:r>
      <w:r>
        <w:rPr>
          <w:rFonts w:asciiTheme="majorHAnsi" w:hAnsiTheme="majorHAnsi" w:cstheme="majorHAnsi"/>
          <w:sz w:val="22"/>
          <w:szCs w:val="22"/>
        </w:rPr>
        <w:t xml:space="preserve"> </w:t>
      </w:r>
      <w:r w:rsidRPr="00295DA6">
        <w:rPr>
          <w:rFonts w:asciiTheme="majorHAnsi" w:hAnsiTheme="majorHAnsi" w:cstheme="majorHAnsi"/>
          <w:sz w:val="22"/>
          <w:szCs w:val="22"/>
        </w:rPr>
        <w:t>2016). However, the majority of PSP studies</w:t>
      </w:r>
      <w:r>
        <w:rPr>
          <w:rFonts w:asciiTheme="majorHAnsi" w:hAnsiTheme="majorHAnsi" w:cstheme="majorHAnsi"/>
          <w:sz w:val="22"/>
          <w:szCs w:val="22"/>
        </w:rPr>
        <w:t xml:space="preserve"> in SSA</w:t>
      </w:r>
      <w:r w:rsidRPr="00295DA6">
        <w:rPr>
          <w:rFonts w:asciiTheme="majorHAnsi" w:hAnsiTheme="majorHAnsi" w:cstheme="majorHAnsi"/>
          <w:sz w:val="22"/>
          <w:szCs w:val="22"/>
        </w:rPr>
        <w:t xml:space="preserve"> raise concerns about the affordability of private education (See Akaguri,</w:t>
      </w:r>
      <w:r>
        <w:rPr>
          <w:rFonts w:asciiTheme="majorHAnsi" w:hAnsiTheme="majorHAnsi" w:cstheme="majorHAnsi"/>
          <w:sz w:val="22"/>
          <w:szCs w:val="22"/>
        </w:rPr>
        <w:t xml:space="preserve"> </w:t>
      </w:r>
      <w:r w:rsidRPr="00295DA6">
        <w:rPr>
          <w:rFonts w:asciiTheme="majorHAnsi" w:hAnsiTheme="majorHAnsi" w:cstheme="majorHAnsi"/>
          <w:sz w:val="22"/>
          <w:szCs w:val="22"/>
        </w:rPr>
        <w:t>2011, Akyeampong,</w:t>
      </w:r>
      <w:r>
        <w:rPr>
          <w:rFonts w:asciiTheme="majorHAnsi" w:hAnsiTheme="majorHAnsi" w:cstheme="majorHAnsi"/>
          <w:sz w:val="22"/>
          <w:szCs w:val="22"/>
        </w:rPr>
        <w:t xml:space="preserve"> </w:t>
      </w:r>
      <w:r w:rsidRPr="00295DA6">
        <w:rPr>
          <w:rFonts w:asciiTheme="majorHAnsi" w:hAnsiTheme="majorHAnsi" w:cstheme="majorHAnsi"/>
          <w:sz w:val="22"/>
          <w:szCs w:val="22"/>
        </w:rPr>
        <w:t>2009, Chimombo,</w:t>
      </w:r>
      <w:r>
        <w:rPr>
          <w:rFonts w:asciiTheme="majorHAnsi" w:hAnsiTheme="majorHAnsi" w:cstheme="majorHAnsi"/>
          <w:sz w:val="22"/>
          <w:szCs w:val="22"/>
        </w:rPr>
        <w:t xml:space="preserve"> </w:t>
      </w:r>
      <w:r w:rsidRPr="00295DA6">
        <w:rPr>
          <w:rFonts w:asciiTheme="majorHAnsi" w:hAnsiTheme="majorHAnsi" w:cstheme="majorHAnsi"/>
          <w:sz w:val="22"/>
          <w:szCs w:val="22"/>
        </w:rPr>
        <w:t>2009, Harma, 2016, Rose, 2009, Stern and Heyneman,</w:t>
      </w:r>
      <w:r>
        <w:rPr>
          <w:rFonts w:asciiTheme="majorHAnsi" w:hAnsiTheme="majorHAnsi" w:cstheme="majorHAnsi"/>
          <w:sz w:val="22"/>
          <w:szCs w:val="22"/>
        </w:rPr>
        <w:t xml:space="preserve"> </w:t>
      </w:r>
      <w:r w:rsidRPr="00295DA6">
        <w:rPr>
          <w:rFonts w:asciiTheme="majorHAnsi" w:hAnsiTheme="majorHAnsi" w:cstheme="majorHAnsi"/>
          <w:sz w:val="22"/>
          <w:szCs w:val="22"/>
        </w:rPr>
        <w:t>2013, Zeitlyn et al.,</w:t>
      </w:r>
      <w:r>
        <w:rPr>
          <w:rFonts w:asciiTheme="majorHAnsi" w:hAnsiTheme="majorHAnsi" w:cstheme="majorHAnsi"/>
          <w:sz w:val="22"/>
          <w:szCs w:val="22"/>
        </w:rPr>
        <w:t xml:space="preserve"> </w:t>
      </w:r>
      <w:r w:rsidRPr="00295DA6">
        <w:rPr>
          <w:rFonts w:asciiTheme="majorHAnsi" w:hAnsiTheme="majorHAnsi" w:cstheme="majorHAnsi"/>
          <w:sz w:val="22"/>
          <w:szCs w:val="22"/>
        </w:rPr>
        <w:t>2015). A similar consensus prevails for PSP in South Asia. For example, a study by Harma in India concluded that ‘low-cost private schools are inaffordable to the bottom two wealth quintiles’ (2011: 350) and that, therefore, ‘the main determinant of school choice is poverty’ (p.355).</w:t>
      </w:r>
    </w:p>
    <w:p w:rsidR="0004396F" w:rsidRDefault="0004396F">
      <w:pPr>
        <w:pStyle w:val="FootnoteText"/>
      </w:pPr>
    </w:p>
  </w:footnote>
  <w:footnote w:id="19">
    <w:p w:rsidR="0004396F" w:rsidRPr="001B6310" w:rsidRDefault="0004396F" w:rsidP="00295DA6">
      <w:pPr>
        <w:pStyle w:val="FootnoteText"/>
        <w:jc w:val="both"/>
        <w:rPr>
          <w:rFonts w:asciiTheme="majorHAnsi" w:hAnsiTheme="majorHAnsi" w:cstheme="majorHAnsi"/>
          <w:sz w:val="22"/>
          <w:szCs w:val="22"/>
        </w:rPr>
      </w:pPr>
      <w:r w:rsidRPr="001B6310">
        <w:rPr>
          <w:rStyle w:val="FootnoteReference"/>
          <w:rFonts w:asciiTheme="majorHAnsi" w:hAnsiTheme="majorHAnsi" w:cstheme="majorHAnsi"/>
          <w:sz w:val="22"/>
          <w:szCs w:val="22"/>
        </w:rPr>
        <w:footnoteRef/>
      </w:r>
      <w:r w:rsidRPr="001B6310">
        <w:rPr>
          <w:rFonts w:asciiTheme="majorHAnsi" w:hAnsiTheme="majorHAnsi" w:cstheme="majorHAnsi"/>
          <w:sz w:val="22"/>
          <w:szCs w:val="22"/>
        </w:rPr>
        <w:t xml:space="preserve"> </w:t>
      </w:r>
      <w:r>
        <w:rPr>
          <w:rFonts w:asciiTheme="majorHAnsi" w:hAnsiTheme="majorHAnsi" w:cstheme="majorHAnsi"/>
          <w:sz w:val="22"/>
          <w:szCs w:val="22"/>
        </w:rPr>
        <w:t xml:space="preserve">For example, </w:t>
      </w:r>
      <w:r w:rsidRPr="001B6310">
        <w:rPr>
          <w:rFonts w:asciiTheme="majorHAnsi" w:hAnsiTheme="majorHAnsi" w:cstheme="majorHAnsi"/>
          <w:sz w:val="22"/>
          <w:szCs w:val="22"/>
        </w:rPr>
        <w:t>the government</w:t>
      </w:r>
      <w:r>
        <w:rPr>
          <w:rFonts w:asciiTheme="majorHAnsi" w:hAnsiTheme="majorHAnsi" w:cstheme="majorHAnsi"/>
          <w:sz w:val="22"/>
          <w:szCs w:val="22"/>
        </w:rPr>
        <w:t xml:space="preserve"> in Liberia</w:t>
      </w:r>
      <w:r w:rsidRPr="001B6310">
        <w:rPr>
          <w:rFonts w:asciiTheme="majorHAnsi" w:hAnsiTheme="majorHAnsi" w:cstheme="majorHAnsi"/>
          <w:sz w:val="22"/>
          <w:szCs w:val="22"/>
        </w:rPr>
        <w:t xml:space="preserve"> has </w:t>
      </w:r>
      <w:r>
        <w:rPr>
          <w:rFonts w:asciiTheme="majorHAnsi" w:hAnsiTheme="majorHAnsi" w:cstheme="majorHAnsi"/>
          <w:sz w:val="22"/>
          <w:szCs w:val="22"/>
        </w:rPr>
        <w:t xml:space="preserve">recently </w:t>
      </w:r>
      <w:r w:rsidRPr="001B6310">
        <w:rPr>
          <w:rFonts w:asciiTheme="majorHAnsi" w:hAnsiTheme="majorHAnsi" w:cstheme="majorHAnsi"/>
          <w:sz w:val="22"/>
          <w:szCs w:val="22"/>
        </w:rPr>
        <w:t xml:space="preserve">outsourced the management of some </w:t>
      </w:r>
      <w:r>
        <w:rPr>
          <w:rFonts w:asciiTheme="majorHAnsi" w:hAnsiTheme="majorHAnsi" w:cstheme="majorHAnsi"/>
          <w:sz w:val="22"/>
          <w:szCs w:val="22"/>
        </w:rPr>
        <w:t xml:space="preserve">government </w:t>
      </w:r>
      <w:r w:rsidRPr="001B6310">
        <w:rPr>
          <w:rFonts w:asciiTheme="majorHAnsi" w:hAnsiTheme="majorHAnsi" w:cstheme="majorHAnsi"/>
          <w:sz w:val="22"/>
          <w:szCs w:val="22"/>
        </w:rPr>
        <w:t xml:space="preserve">primary schools to a private sector provider, the Rising Schools Academy.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6B88"/>
    <w:multiLevelType w:val="multilevel"/>
    <w:tmpl w:val="2FAC270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562D34"/>
    <w:multiLevelType w:val="hybridMultilevel"/>
    <w:tmpl w:val="960A8C4A"/>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551E4"/>
    <w:multiLevelType w:val="hybridMultilevel"/>
    <w:tmpl w:val="C6DEB11A"/>
    <w:lvl w:ilvl="0" w:tplc="0809000F">
      <w:start w:val="5"/>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5454BE"/>
    <w:multiLevelType w:val="hybridMultilevel"/>
    <w:tmpl w:val="D34A77A8"/>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750903"/>
    <w:multiLevelType w:val="hybridMultilevel"/>
    <w:tmpl w:val="B49A0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1B521F"/>
    <w:multiLevelType w:val="multilevel"/>
    <w:tmpl w:val="8E98EBB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366587E"/>
    <w:multiLevelType w:val="multilevel"/>
    <w:tmpl w:val="B0729C48"/>
    <w:lvl w:ilvl="0">
      <w:start w:val="1"/>
      <w:numFmt w:val="decimal"/>
      <w:lvlText w:val="%1."/>
      <w:lvlJc w:val="left"/>
      <w:pPr>
        <w:ind w:left="432" w:hanging="360"/>
      </w:pPr>
      <w:rPr>
        <w:rFonts w:hint="default"/>
      </w:rPr>
    </w:lvl>
    <w:lvl w:ilvl="1">
      <w:start w:val="1"/>
      <w:numFmt w:val="decimal"/>
      <w:isLgl/>
      <w:lvlText w:val="%1.%2"/>
      <w:lvlJc w:val="left"/>
      <w:pPr>
        <w:ind w:left="492" w:hanging="42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872" w:hanging="1800"/>
      </w:pPr>
      <w:rPr>
        <w:rFonts w:hint="default"/>
      </w:rPr>
    </w:lvl>
    <w:lvl w:ilvl="8">
      <w:start w:val="1"/>
      <w:numFmt w:val="decimal"/>
      <w:isLgl/>
      <w:lvlText w:val="%1.%2.%3.%4.%5.%6.%7.%8.%9"/>
      <w:lvlJc w:val="left"/>
      <w:pPr>
        <w:ind w:left="2232" w:hanging="2160"/>
      </w:pPr>
      <w:rPr>
        <w:rFonts w:hint="default"/>
      </w:rPr>
    </w:lvl>
  </w:abstractNum>
  <w:num w:numId="1">
    <w:abstractNumId w:val="6"/>
  </w:num>
  <w:num w:numId="2">
    <w:abstractNumId w:val="4"/>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402"/>
    <w:rsid w:val="00002599"/>
    <w:rsid w:val="00007F4E"/>
    <w:rsid w:val="00011B11"/>
    <w:rsid w:val="00023F93"/>
    <w:rsid w:val="00033553"/>
    <w:rsid w:val="0003742F"/>
    <w:rsid w:val="000433A9"/>
    <w:rsid w:val="0004396F"/>
    <w:rsid w:val="000445F9"/>
    <w:rsid w:val="0004542A"/>
    <w:rsid w:val="0004584B"/>
    <w:rsid w:val="000473CA"/>
    <w:rsid w:val="000538B4"/>
    <w:rsid w:val="00054836"/>
    <w:rsid w:val="00064D48"/>
    <w:rsid w:val="00065A14"/>
    <w:rsid w:val="00067184"/>
    <w:rsid w:val="000776E9"/>
    <w:rsid w:val="00081FEE"/>
    <w:rsid w:val="00090BB7"/>
    <w:rsid w:val="000914D8"/>
    <w:rsid w:val="0009170F"/>
    <w:rsid w:val="000A135D"/>
    <w:rsid w:val="000A292D"/>
    <w:rsid w:val="000A49E5"/>
    <w:rsid w:val="000A6A65"/>
    <w:rsid w:val="000B10B0"/>
    <w:rsid w:val="000B258D"/>
    <w:rsid w:val="000B4FEC"/>
    <w:rsid w:val="000B60C4"/>
    <w:rsid w:val="000D1FC9"/>
    <w:rsid w:val="000D57D6"/>
    <w:rsid w:val="000E194D"/>
    <w:rsid w:val="00100ED6"/>
    <w:rsid w:val="00107064"/>
    <w:rsid w:val="00116E15"/>
    <w:rsid w:val="001210F7"/>
    <w:rsid w:val="0013654C"/>
    <w:rsid w:val="0013698A"/>
    <w:rsid w:val="0014139C"/>
    <w:rsid w:val="001541A8"/>
    <w:rsid w:val="001545CE"/>
    <w:rsid w:val="00156975"/>
    <w:rsid w:val="001642A9"/>
    <w:rsid w:val="001703D9"/>
    <w:rsid w:val="001775A9"/>
    <w:rsid w:val="001844EE"/>
    <w:rsid w:val="001871F1"/>
    <w:rsid w:val="001B6310"/>
    <w:rsid w:val="001B76B9"/>
    <w:rsid w:val="001B7F09"/>
    <w:rsid w:val="001C0C51"/>
    <w:rsid w:val="001C2983"/>
    <w:rsid w:val="001D681A"/>
    <w:rsid w:val="001E3298"/>
    <w:rsid w:val="002029F3"/>
    <w:rsid w:val="00205B7D"/>
    <w:rsid w:val="002111A1"/>
    <w:rsid w:val="00211BAA"/>
    <w:rsid w:val="00214F28"/>
    <w:rsid w:val="00221C61"/>
    <w:rsid w:val="00223C89"/>
    <w:rsid w:val="002344CC"/>
    <w:rsid w:val="002378C6"/>
    <w:rsid w:val="00241B7E"/>
    <w:rsid w:val="00241C4E"/>
    <w:rsid w:val="002506DA"/>
    <w:rsid w:val="00256890"/>
    <w:rsid w:val="00256A3F"/>
    <w:rsid w:val="00260C46"/>
    <w:rsid w:val="002716F8"/>
    <w:rsid w:val="00281399"/>
    <w:rsid w:val="00283BDE"/>
    <w:rsid w:val="0028573B"/>
    <w:rsid w:val="00286A2C"/>
    <w:rsid w:val="00290838"/>
    <w:rsid w:val="00293C13"/>
    <w:rsid w:val="00295DA6"/>
    <w:rsid w:val="00296BCD"/>
    <w:rsid w:val="002B5918"/>
    <w:rsid w:val="002C2897"/>
    <w:rsid w:val="002D231D"/>
    <w:rsid w:val="002D2B7B"/>
    <w:rsid w:val="002D41F7"/>
    <w:rsid w:val="002D74EB"/>
    <w:rsid w:val="002F6D74"/>
    <w:rsid w:val="00303760"/>
    <w:rsid w:val="003056AE"/>
    <w:rsid w:val="00325666"/>
    <w:rsid w:val="003265E4"/>
    <w:rsid w:val="00343EAE"/>
    <w:rsid w:val="0034507B"/>
    <w:rsid w:val="00345170"/>
    <w:rsid w:val="0035064C"/>
    <w:rsid w:val="00377862"/>
    <w:rsid w:val="00385ED7"/>
    <w:rsid w:val="00391E9C"/>
    <w:rsid w:val="0039258B"/>
    <w:rsid w:val="0039523D"/>
    <w:rsid w:val="003A425C"/>
    <w:rsid w:val="003A735C"/>
    <w:rsid w:val="003B5DA1"/>
    <w:rsid w:val="003B7CE5"/>
    <w:rsid w:val="003C6CE1"/>
    <w:rsid w:val="003D1E05"/>
    <w:rsid w:val="003D5CE0"/>
    <w:rsid w:val="003E4B91"/>
    <w:rsid w:val="003F0C73"/>
    <w:rsid w:val="004152AC"/>
    <w:rsid w:val="00417266"/>
    <w:rsid w:val="004200FD"/>
    <w:rsid w:val="00422DD0"/>
    <w:rsid w:val="004233F8"/>
    <w:rsid w:val="00427598"/>
    <w:rsid w:val="004325A9"/>
    <w:rsid w:val="00440613"/>
    <w:rsid w:val="00445D49"/>
    <w:rsid w:val="004520CC"/>
    <w:rsid w:val="004545BF"/>
    <w:rsid w:val="00454D34"/>
    <w:rsid w:val="004610C8"/>
    <w:rsid w:val="00470660"/>
    <w:rsid w:val="00474E2B"/>
    <w:rsid w:val="00474F2B"/>
    <w:rsid w:val="004824C4"/>
    <w:rsid w:val="0048434D"/>
    <w:rsid w:val="0048519F"/>
    <w:rsid w:val="00490B05"/>
    <w:rsid w:val="004953E4"/>
    <w:rsid w:val="004A282D"/>
    <w:rsid w:val="004A2B18"/>
    <w:rsid w:val="004A36F7"/>
    <w:rsid w:val="004A4BB0"/>
    <w:rsid w:val="004A5F18"/>
    <w:rsid w:val="004B00B9"/>
    <w:rsid w:val="004B4518"/>
    <w:rsid w:val="004B7E21"/>
    <w:rsid w:val="004C490A"/>
    <w:rsid w:val="004C7638"/>
    <w:rsid w:val="004D572F"/>
    <w:rsid w:val="004E50C0"/>
    <w:rsid w:val="004E65E0"/>
    <w:rsid w:val="00500537"/>
    <w:rsid w:val="00500DB2"/>
    <w:rsid w:val="00505207"/>
    <w:rsid w:val="00521E19"/>
    <w:rsid w:val="00552117"/>
    <w:rsid w:val="00566352"/>
    <w:rsid w:val="00590374"/>
    <w:rsid w:val="00597F88"/>
    <w:rsid w:val="005A61A4"/>
    <w:rsid w:val="005B0252"/>
    <w:rsid w:val="005B0619"/>
    <w:rsid w:val="005C1365"/>
    <w:rsid w:val="005C5E5A"/>
    <w:rsid w:val="005C67D2"/>
    <w:rsid w:val="005C6B35"/>
    <w:rsid w:val="005C6D2F"/>
    <w:rsid w:val="005C7F49"/>
    <w:rsid w:val="005D2E27"/>
    <w:rsid w:val="005D71AE"/>
    <w:rsid w:val="005F03E5"/>
    <w:rsid w:val="005F2490"/>
    <w:rsid w:val="006117F7"/>
    <w:rsid w:val="00613279"/>
    <w:rsid w:val="0061336C"/>
    <w:rsid w:val="00621366"/>
    <w:rsid w:val="006253D4"/>
    <w:rsid w:val="00627A90"/>
    <w:rsid w:val="0064578B"/>
    <w:rsid w:val="006507ED"/>
    <w:rsid w:val="00655EEA"/>
    <w:rsid w:val="006665C8"/>
    <w:rsid w:val="00667E93"/>
    <w:rsid w:val="00670818"/>
    <w:rsid w:val="006751D6"/>
    <w:rsid w:val="00683434"/>
    <w:rsid w:val="006B6847"/>
    <w:rsid w:val="006B779E"/>
    <w:rsid w:val="006C6430"/>
    <w:rsid w:val="006D08A8"/>
    <w:rsid w:val="006D2811"/>
    <w:rsid w:val="006D5546"/>
    <w:rsid w:val="006D5858"/>
    <w:rsid w:val="006E2B04"/>
    <w:rsid w:val="006F670C"/>
    <w:rsid w:val="00701A00"/>
    <w:rsid w:val="00702DAB"/>
    <w:rsid w:val="007045E5"/>
    <w:rsid w:val="00704B5F"/>
    <w:rsid w:val="00704E75"/>
    <w:rsid w:val="0071324D"/>
    <w:rsid w:val="00717025"/>
    <w:rsid w:val="00717F89"/>
    <w:rsid w:val="007210BD"/>
    <w:rsid w:val="00731A0A"/>
    <w:rsid w:val="007325E1"/>
    <w:rsid w:val="00736BD0"/>
    <w:rsid w:val="007412B3"/>
    <w:rsid w:val="00751C94"/>
    <w:rsid w:val="007555FE"/>
    <w:rsid w:val="00761B6A"/>
    <w:rsid w:val="00767CB1"/>
    <w:rsid w:val="00780EAB"/>
    <w:rsid w:val="007821EC"/>
    <w:rsid w:val="00783A87"/>
    <w:rsid w:val="00784797"/>
    <w:rsid w:val="00795712"/>
    <w:rsid w:val="007B6250"/>
    <w:rsid w:val="007E7768"/>
    <w:rsid w:val="007F5DBE"/>
    <w:rsid w:val="0080052F"/>
    <w:rsid w:val="00804927"/>
    <w:rsid w:val="00805182"/>
    <w:rsid w:val="0080622D"/>
    <w:rsid w:val="00806557"/>
    <w:rsid w:val="0080666B"/>
    <w:rsid w:val="00806970"/>
    <w:rsid w:val="00817A64"/>
    <w:rsid w:val="008203C9"/>
    <w:rsid w:val="00825D46"/>
    <w:rsid w:val="00834832"/>
    <w:rsid w:val="008360A2"/>
    <w:rsid w:val="00837EFE"/>
    <w:rsid w:val="00843B16"/>
    <w:rsid w:val="008500D1"/>
    <w:rsid w:val="00856CCA"/>
    <w:rsid w:val="008671A3"/>
    <w:rsid w:val="008739BA"/>
    <w:rsid w:val="0087598B"/>
    <w:rsid w:val="00883B9B"/>
    <w:rsid w:val="008937B8"/>
    <w:rsid w:val="008A362C"/>
    <w:rsid w:val="008B2338"/>
    <w:rsid w:val="008B596B"/>
    <w:rsid w:val="008D0704"/>
    <w:rsid w:val="008D1045"/>
    <w:rsid w:val="008D3C43"/>
    <w:rsid w:val="008D4040"/>
    <w:rsid w:val="008D76C2"/>
    <w:rsid w:val="008E639C"/>
    <w:rsid w:val="008E742A"/>
    <w:rsid w:val="008F22AD"/>
    <w:rsid w:val="008F4F0B"/>
    <w:rsid w:val="008F70A9"/>
    <w:rsid w:val="009116E9"/>
    <w:rsid w:val="009152C1"/>
    <w:rsid w:val="00916E6D"/>
    <w:rsid w:val="00921A1A"/>
    <w:rsid w:val="00922CD8"/>
    <w:rsid w:val="00931458"/>
    <w:rsid w:val="00935BA6"/>
    <w:rsid w:val="00937738"/>
    <w:rsid w:val="0094004C"/>
    <w:rsid w:val="00940582"/>
    <w:rsid w:val="00940962"/>
    <w:rsid w:val="00944AA4"/>
    <w:rsid w:val="00957633"/>
    <w:rsid w:val="00960AF8"/>
    <w:rsid w:val="00963132"/>
    <w:rsid w:val="00964E30"/>
    <w:rsid w:val="009661DA"/>
    <w:rsid w:val="00970C84"/>
    <w:rsid w:val="00970CB5"/>
    <w:rsid w:val="00992DE2"/>
    <w:rsid w:val="009969F2"/>
    <w:rsid w:val="009C12C0"/>
    <w:rsid w:val="009C713B"/>
    <w:rsid w:val="009D5CEF"/>
    <w:rsid w:val="009D604C"/>
    <w:rsid w:val="009E2FD1"/>
    <w:rsid w:val="009E4B4F"/>
    <w:rsid w:val="009E7402"/>
    <w:rsid w:val="009F573F"/>
    <w:rsid w:val="009F7256"/>
    <w:rsid w:val="009F73FD"/>
    <w:rsid w:val="009F75E3"/>
    <w:rsid w:val="00A05311"/>
    <w:rsid w:val="00A05DDC"/>
    <w:rsid w:val="00A12DD7"/>
    <w:rsid w:val="00A15396"/>
    <w:rsid w:val="00A23FDE"/>
    <w:rsid w:val="00A272F8"/>
    <w:rsid w:val="00A27C99"/>
    <w:rsid w:val="00A33A7C"/>
    <w:rsid w:val="00A34524"/>
    <w:rsid w:val="00A36AC7"/>
    <w:rsid w:val="00A447BC"/>
    <w:rsid w:val="00A448F0"/>
    <w:rsid w:val="00A52447"/>
    <w:rsid w:val="00A6113F"/>
    <w:rsid w:val="00A714EE"/>
    <w:rsid w:val="00A7158C"/>
    <w:rsid w:val="00A976F9"/>
    <w:rsid w:val="00AA4328"/>
    <w:rsid w:val="00AA7C6B"/>
    <w:rsid w:val="00AC1993"/>
    <w:rsid w:val="00AC20B8"/>
    <w:rsid w:val="00AE12EE"/>
    <w:rsid w:val="00AE6C01"/>
    <w:rsid w:val="00AF2674"/>
    <w:rsid w:val="00AF365C"/>
    <w:rsid w:val="00B00B5A"/>
    <w:rsid w:val="00B20515"/>
    <w:rsid w:val="00B229DF"/>
    <w:rsid w:val="00B242CF"/>
    <w:rsid w:val="00B25D0F"/>
    <w:rsid w:val="00B2637B"/>
    <w:rsid w:val="00B26EB8"/>
    <w:rsid w:val="00B302F4"/>
    <w:rsid w:val="00B347D2"/>
    <w:rsid w:val="00B34B44"/>
    <w:rsid w:val="00B36B96"/>
    <w:rsid w:val="00B437A2"/>
    <w:rsid w:val="00B45CA5"/>
    <w:rsid w:val="00B4674B"/>
    <w:rsid w:val="00B4678F"/>
    <w:rsid w:val="00B46A96"/>
    <w:rsid w:val="00B5253E"/>
    <w:rsid w:val="00B62D88"/>
    <w:rsid w:val="00B648FF"/>
    <w:rsid w:val="00B6654A"/>
    <w:rsid w:val="00B67F71"/>
    <w:rsid w:val="00B72760"/>
    <w:rsid w:val="00B75811"/>
    <w:rsid w:val="00B77345"/>
    <w:rsid w:val="00B821B0"/>
    <w:rsid w:val="00B91EF3"/>
    <w:rsid w:val="00BA5B8C"/>
    <w:rsid w:val="00BB13FE"/>
    <w:rsid w:val="00BC2FD5"/>
    <w:rsid w:val="00BD393B"/>
    <w:rsid w:val="00BE1673"/>
    <w:rsid w:val="00BF520B"/>
    <w:rsid w:val="00C07166"/>
    <w:rsid w:val="00C120A1"/>
    <w:rsid w:val="00C122D1"/>
    <w:rsid w:val="00C14C7E"/>
    <w:rsid w:val="00C23F0C"/>
    <w:rsid w:val="00C274A0"/>
    <w:rsid w:val="00C33FEF"/>
    <w:rsid w:val="00C44129"/>
    <w:rsid w:val="00C46A5A"/>
    <w:rsid w:val="00C47A4C"/>
    <w:rsid w:val="00C47D88"/>
    <w:rsid w:val="00C54823"/>
    <w:rsid w:val="00C56EFB"/>
    <w:rsid w:val="00C64283"/>
    <w:rsid w:val="00C752E3"/>
    <w:rsid w:val="00C82B08"/>
    <w:rsid w:val="00C87980"/>
    <w:rsid w:val="00C915EC"/>
    <w:rsid w:val="00C93045"/>
    <w:rsid w:val="00CA1059"/>
    <w:rsid w:val="00CB1A88"/>
    <w:rsid w:val="00CB47CE"/>
    <w:rsid w:val="00CC2712"/>
    <w:rsid w:val="00CC7A40"/>
    <w:rsid w:val="00CE275C"/>
    <w:rsid w:val="00CE7E19"/>
    <w:rsid w:val="00CF15E9"/>
    <w:rsid w:val="00CF48F6"/>
    <w:rsid w:val="00CF50C1"/>
    <w:rsid w:val="00CF5BB2"/>
    <w:rsid w:val="00D13FEB"/>
    <w:rsid w:val="00D14501"/>
    <w:rsid w:val="00D27C04"/>
    <w:rsid w:val="00D32EE3"/>
    <w:rsid w:val="00D32FED"/>
    <w:rsid w:val="00D52A60"/>
    <w:rsid w:val="00D57F50"/>
    <w:rsid w:val="00D611D3"/>
    <w:rsid w:val="00D72C07"/>
    <w:rsid w:val="00D7351A"/>
    <w:rsid w:val="00D74004"/>
    <w:rsid w:val="00D750C7"/>
    <w:rsid w:val="00D76DF6"/>
    <w:rsid w:val="00D80EDB"/>
    <w:rsid w:val="00D840D2"/>
    <w:rsid w:val="00DA219D"/>
    <w:rsid w:val="00DB2291"/>
    <w:rsid w:val="00DB6772"/>
    <w:rsid w:val="00DC1D03"/>
    <w:rsid w:val="00DD445B"/>
    <w:rsid w:val="00DD5861"/>
    <w:rsid w:val="00DE7193"/>
    <w:rsid w:val="00DF7F0F"/>
    <w:rsid w:val="00E13FD1"/>
    <w:rsid w:val="00E271E9"/>
    <w:rsid w:val="00E27BE7"/>
    <w:rsid w:val="00E34CAB"/>
    <w:rsid w:val="00E3686D"/>
    <w:rsid w:val="00E36D9E"/>
    <w:rsid w:val="00E42F29"/>
    <w:rsid w:val="00E54597"/>
    <w:rsid w:val="00E565F1"/>
    <w:rsid w:val="00E62050"/>
    <w:rsid w:val="00E6328D"/>
    <w:rsid w:val="00E64D94"/>
    <w:rsid w:val="00E70893"/>
    <w:rsid w:val="00E726F7"/>
    <w:rsid w:val="00E813DB"/>
    <w:rsid w:val="00E849C4"/>
    <w:rsid w:val="00E87762"/>
    <w:rsid w:val="00EA31B0"/>
    <w:rsid w:val="00EB27ED"/>
    <w:rsid w:val="00EB4C2C"/>
    <w:rsid w:val="00EC107A"/>
    <w:rsid w:val="00EC3787"/>
    <w:rsid w:val="00EC579C"/>
    <w:rsid w:val="00EC63FB"/>
    <w:rsid w:val="00EC7747"/>
    <w:rsid w:val="00ED5400"/>
    <w:rsid w:val="00EF055F"/>
    <w:rsid w:val="00EF07C3"/>
    <w:rsid w:val="00EF5B24"/>
    <w:rsid w:val="00F03619"/>
    <w:rsid w:val="00F06BDD"/>
    <w:rsid w:val="00F16F4A"/>
    <w:rsid w:val="00F1781B"/>
    <w:rsid w:val="00F1799F"/>
    <w:rsid w:val="00F213CD"/>
    <w:rsid w:val="00F23AEC"/>
    <w:rsid w:val="00F253EF"/>
    <w:rsid w:val="00F25CA9"/>
    <w:rsid w:val="00F268C2"/>
    <w:rsid w:val="00F33C5B"/>
    <w:rsid w:val="00F42B86"/>
    <w:rsid w:val="00F63BA0"/>
    <w:rsid w:val="00F731BC"/>
    <w:rsid w:val="00F743BC"/>
    <w:rsid w:val="00F75240"/>
    <w:rsid w:val="00F75FB4"/>
    <w:rsid w:val="00F82E28"/>
    <w:rsid w:val="00F843D0"/>
    <w:rsid w:val="00F85944"/>
    <w:rsid w:val="00FA16B5"/>
    <w:rsid w:val="00FA5E09"/>
    <w:rsid w:val="00FB1EB6"/>
    <w:rsid w:val="00FB385A"/>
    <w:rsid w:val="00FB5FE7"/>
    <w:rsid w:val="00FC71B7"/>
    <w:rsid w:val="00FE12F7"/>
    <w:rsid w:val="00FE1A28"/>
    <w:rsid w:val="00FE2351"/>
    <w:rsid w:val="00FE40AF"/>
    <w:rsid w:val="00FF1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F9C8D-ED1D-4469-87AE-750A51F8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402"/>
    <w:pPr>
      <w:ind w:left="720"/>
      <w:contextualSpacing/>
    </w:pPr>
  </w:style>
  <w:style w:type="paragraph" w:styleId="FootnoteText">
    <w:name w:val="footnote text"/>
    <w:basedOn w:val="Normal"/>
    <w:link w:val="FootnoteTextChar"/>
    <w:uiPriority w:val="99"/>
    <w:semiHidden/>
    <w:unhideWhenUsed/>
    <w:rsid w:val="009D60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604C"/>
    <w:rPr>
      <w:sz w:val="20"/>
      <w:szCs w:val="20"/>
    </w:rPr>
  </w:style>
  <w:style w:type="character" w:styleId="FootnoteReference">
    <w:name w:val="footnote reference"/>
    <w:basedOn w:val="DefaultParagraphFont"/>
    <w:uiPriority w:val="99"/>
    <w:semiHidden/>
    <w:unhideWhenUsed/>
    <w:rsid w:val="009D604C"/>
    <w:rPr>
      <w:vertAlign w:val="superscript"/>
    </w:rPr>
  </w:style>
  <w:style w:type="paragraph" w:styleId="Header">
    <w:name w:val="header"/>
    <w:basedOn w:val="Normal"/>
    <w:link w:val="HeaderChar"/>
    <w:uiPriority w:val="99"/>
    <w:unhideWhenUsed/>
    <w:rsid w:val="00100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ED6"/>
  </w:style>
  <w:style w:type="paragraph" w:styleId="Footer">
    <w:name w:val="footer"/>
    <w:basedOn w:val="Normal"/>
    <w:link w:val="FooterChar"/>
    <w:uiPriority w:val="99"/>
    <w:unhideWhenUsed/>
    <w:rsid w:val="00100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ED6"/>
  </w:style>
  <w:style w:type="paragraph" w:styleId="BalloonText">
    <w:name w:val="Balloon Text"/>
    <w:basedOn w:val="Normal"/>
    <w:link w:val="BalloonTextChar"/>
    <w:uiPriority w:val="99"/>
    <w:semiHidden/>
    <w:unhideWhenUsed/>
    <w:rsid w:val="00417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266"/>
    <w:rPr>
      <w:rFonts w:ascii="Segoe UI" w:hAnsi="Segoe UI" w:cs="Segoe UI"/>
      <w:sz w:val="18"/>
      <w:szCs w:val="18"/>
    </w:rPr>
  </w:style>
  <w:style w:type="character" w:styleId="Hyperlink">
    <w:name w:val="Hyperlink"/>
    <w:basedOn w:val="DefaultParagraphFont"/>
    <w:uiPriority w:val="99"/>
    <w:unhideWhenUsed/>
    <w:rsid w:val="005C67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54097">
      <w:bodyDiv w:val="1"/>
      <w:marLeft w:val="0"/>
      <w:marRight w:val="0"/>
      <w:marTop w:val="0"/>
      <w:marBottom w:val="0"/>
      <w:divBdr>
        <w:top w:val="none" w:sz="0" w:space="0" w:color="auto"/>
        <w:left w:val="none" w:sz="0" w:space="0" w:color="auto"/>
        <w:bottom w:val="none" w:sz="0" w:space="0" w:color="auto"/>
        <w:right w:val="none" w:sz="0" w:space="0" w:color="auto"/>
      </w:divBdr>
    </w:div>
    <w:div w:id="62878501">
      <w:bodyDiv w:val="1"/>
      <w:marLeft w:val="0"/>
      <w:marRight w:val="0"/>
      <w:marTop w:val="0"/>
      <w:marBottom w:val="0"/>
      <w:divBdr>
        <w:top w:val="none" w:sz="0" w:space="0" w:color="auto"/>
        <w:left w:val="none" w:sz="0" w:space="0" w:color="auto"/>
        <w:bottom w:val="none" w:sz="0" w:space="0" w:color="auto"/>
        <w:right w:val="none" w:sz="0" w:space="0" w:color="auto"/>
      </w:divBdr>
    </w:div>
    <w:div w:id="171989143">
      <w:bodyDiv w:val="1"/>
      <w:marLeft w:val="0"/>
      <w:marRight w:val="0"/>
      <w:marTop w:val="0"/>
      <w:marBottom w:val="0"/>
      <w:divBdr>
        <w:top w:val="none" w:sz="0" w:space="0" w:color="auto"/>
        <w:left w:val="none" w:sz="0" w:space="0" w:color="auto"/>
        <w:bottom w:val="none" w:sz="0" w:space="0" w:color="auto"/>
        <w:right w:val="none" w:sz="0" w:space="0" w:color="auto"/>
      </w:divBdr>
    </w:div>
    <w:div w:id="297878261">
      <w:bodyDiv w:val="1"/>
      <w:marLeft w:val="0"/>
      <w:marRight w:val="0"/>
      <w:marTop w:val="0"/>
      <w:marBottom w:val="0"/>
      <w:divBdr>
        <w:top w:val="none" w:sz="0" w:space="0" w:color="auto"/>
        <w:left w:val="none" w:sz="0" w:space="0" w:color="auto"/>
        <w:bottom w:val="none" w:sz="0" w:space="0" w:color="auto"/>
        <w:right w:val="none" w:sz="0" w:space="0" w:color="auto"/>
      </w:divBdr>
    </w:div>
    <w:div w:id="351029691">
      <w:bodyDiv w:val="1"/>
      <w:marLeft w:val="0"/>
      <w:marRight w:val="0"/>
      <w:marTop w:val="0"/>
      <w:marBottom w:val="0"/>
      <w:divBdr>
        <w:top w:val="none" w:sz="0" w:space="0" w:color="auto"/>
        <w:left w:val="none" w:sz="0" w:space="0" w:color="auto"/>
        <w:bottom w:val="none" w:sz="0" w:space="0" w:color="auto"/>
        <w:right w:val="none" w:sz="0" w:space="0" w:color="auto"/>
      </w:divBdr>
    </w:div>
    <w:div w:id="559487597">
      <w:bodyDiv w:val="1"/>
      <w:marLeft w:val="0"/>
      <w:marRight w:val="0"/>
      <w:marTop w:val="0"/>
      <w:marBottom w:val="0"/>
      <w:divBdr>
        <w:top w:val="none" w:sz="0" w:space="0" w:color="auto"/>
        <w:left w:val="none" w:sz="0" w:space="0" w:color="auto"/>
        <w:bottom w:val="none" w:sz="0" w:space="0" w:color="auto"/>
        <w:right w:val="none" w:sz="0" w:space="0" w:color="auto"/>
      </w:divBdr>
    </w:div>
    <w:div w:id="629943405">
      <w:bodyDiv w:val="1"/>
      <w:marLeft w:val="0"/>
      <w:marRight w:val="0"/>
      <w:marTop w:val="0"/>
      <w:marBottom w:val="0"/>
      <w:divBdr>
        <w:top w:val="none" w:sz="0" w:space="0" w:color="auto"/>
        <w:left w:val="none" w:sz="0" w:space="0" w:color="auto"/>
        <w:bottom w:val="none" w:sz="0" w:space="0" w:color="auto"/>
        <w:right w:val="none" w:sz="0" w:space="0" w:color="auto"/>
      </w:divBdr>
    </w:div>
    <w:div w:id="631985015">
      <w:bodyDiv w:val="1"/>
      <w:marLeft w:val="0"/>
      <w:marRight w:val="0"/>
      <w:marTop w:val="0"/>
      <w:marBottom w:val="0"/>
      <w:divBdr>
        <w:top w:val="none" w:sz="0" w:space="0" w:color="auto"/>
        <w:left w:val="none" w:sz="0" w:space="0" w:color="auto"/>
        <w:bottom w:val="none" w:sz="0" w:space="0" w:color="auto"/>
        <w:right w:val="none" w:sz="0" w:space="0" w:color="auto"/>
      </w:divBdr>
    </w:div>
    <w:div w:id="678119995">
      <w:bodyDiv w:val="1"/>
      <w:marLeft w:val="0"/>
      <w:marRight w:val="0"/>
      <w:marTop w:val="0"/>
      <w:marBottom w:val="0"/>
      <w:divBdr>
        <w:top w:val="none" w:sz="0" w:space="0" w:color="auto"/>
        <w:left w:val="none" w:sz="0" w:space="0" w:color="auto"/>
        <w:bottom w:val="none" w:sz="0" w:space="0" w:color="auto"/>
        <w:right w:val="none" w:sz="0" w:space="0" w:color="auto"/>
      </w:divBdr>
    </w:div>
    <w:div w:id="1060446518">
      <w:bodyDiv w:val="1"/>
      <w:marLeft w:val="0"/>
      <w:marRight w:val="0"/>
      <w:marTop w:val="0"/>
      <w:marBottom w:val="0"/>
      <w:divBdr>
        <w:top w:val="none" w:sz="0" w:space="0" w:color="auto"/>
        <w:left w:val="none" w:sz="0" w:space="0" w:color="auto"/>
        <w:bottom w:val="none" w:sz="0" w:space="0" w:color="auto"/>
        <w:right w:val="none" w:sz="0" w:space="0" w:color="auto"/>
      </w:divBdr>
    </w:div>
    <w:div w:id="1350521083">
      <w:bodyDiv w:val="1"/>
      <w:marLeft w:val="0"/>
      <w:marRight w:val="0"/>
      <w:marTop w:val="0"/>
      <w:marBottom w:val="0"/>
      <w:divBdr>
        <w:top w:val="none" w:sz="0" w:space="0" w:color="auto"/>
        <w:left w:val="none" w:sz="0" w:space="0" w:color="auto"/>
        <w:bottom w:val="none" w:sz="0" w:space="0" w:color="auto"/>
        <w:right w:val="none" w:sz="0" w:space="0" w:color="auto"/>
      </w:divBdr>
    </w:div>
    <w:div w:id="1575312795">
      <w:bodyDiv w:val="1"/>
      <w:marLeft w:val="0"/>
      <w:marRight w:val="0"/>
      <w:marTop w:val="0"/>
      <w:marBottom w:val="0"/>
      <w:divBdr>
        <w:top w:val="none" w:sz="0" w:space="0" w:color="auto"/>
        <w:left w:val="none" w:sz="0" w:space="0" w:color="auto"/>
        <w:bottom w:val="none" w:sz="0" w:space="0" w:color="auto"/>
        <w:right w:val="none" w:sz="0" w:space="0" w:color="auto"/>
      </w:divBdr>
    </w:div>
    <w:div w:id="2001732190">
      <w:bodyDiv w:val="1"/>
      <w:marLeft w:val="0"/>
      <w:marRight w:val="0"/>
      <w:marTop w:val="0"/>
      <w:marBottom w:val="0"/>
      <w:divBdr>
        <w:top w:val="none" w:sz="0" w:space="0" w:color="auto"/>
        <w:left w:val="none" w:sz="0" w:space="0" w:color="auto"/>
        <w:bottom w:val="none" w:sz="0" w:space="0" w:color="auto"/>
        <w:right w:val="none" w:sz="0" w:space="0" w:color="auto"/>
      </w:divBdr>
    </w:div>
    <w:div w:id="2063092588">
      <w:bodyDiv w:val="1"/>
      <w:marLeft w:val="0"/>
      <w:marRight w:val="0"/>
      <w:marTop w:val="0"/>
      <w:marBottom w:val="0"/>
      <w:divBdr>
        <w:top w:val="none" w:sz="0" w:space="0" w:color="auto"/>
        <w:left w:val="none" w:sz="0" w:space="0" w:color="auto"/>
        <w:bottom w:val="none" w:sz="0" w:space="0" w:color="auto"/>
        <w:right w:val="none" w:sz="0" w:space="0" w:color="auto"/>
      </w:divBdr>
    </w:div>
    <w:div w:id="209881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aul\Documents\PrivatescattersdataJan22figuresfin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aul\Documents\PrivatescattersdataJan22figuresfin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PrivatescattersdataJan22figuresfina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aul\Documents\PrivateeducationpaperFINALtablesJan22.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1</a:t>
            </a:r>
            <a:r>
              <a:rPr lang="en-GB" baseline="0"/>
              <a:t>: Share of private sector students in total primary school enrolments in SSA, 2018/lya</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DATA!$A$4:$A$41</c:f>
              <c:strCache>
                <c:ptCount val="38"/>
                <c:pt idx="0">
                  <c:v>Eswatini</c:v>
                </c:pt>
                <c:pt idx="1">
                  <c:v>Mozambique</c:v>
                </c:pt>
                <c:pt idx="2">
                  <c:v>Burundi</c:v>
                </c:pt>
                <c:pt idx="3">
                  <c:v>Malawi</c:v>
                </c:pt>
                <c:pt idx="4">
                  <c:v>South Africa</c:v>
                </c:pt>
                <c:pt idx="5">
                  <c:v>Zambia</c:v>
                </c:pt>
                <c:pt idx="6">
                  <c:v>Niger</c:v>
                </c:pt>
                <c:pt idx="7">
                  <c:v>Tanzania</c:v>
                </c:pt>
                <c:pt idx="8">
                  <c:v>Rwanda</c:v>
                </c:pt>
                <c:pt idx="9">
                  <c:v>Ethiopia</c:v>
                </c:pt>
                <c:pt idx="10">
                  <c:v>Zimbabwe</c:v>
                </c:pt>
                <c:pt idx="11">
                  <c:v>Namibia</c:v>
                </c:pt>
                <c:pt idx="12">
                  <c:v>Botswana</c:v>
                </c:pt>
                <c:pt idx="13">
                  <c:v>Lesotho</c:v>
                </c:pt>
                <c:pt idx="14">
                  <c:v>Sudan</c:v>
                </c:pt>
                <c:pt idx="15">
                  <c:v>Sierra Leone</c:v>
                </c:pt>
                <c:pt idx="16">
                  <c:v>Nigeria</c:v>
                </c:pt>
                <c:pt idx="17">
                  <c:v>Chad</c:v>
                </c:pt>
                <c:pt idx="18">
                  <c:v>Angola</c:v>
                </c:pt>
                <c:pt idx="19">
                  <c:v>Côte d'Ivoire</c:v>
                </c:pt>
                <c:pt idx="20">
                  <c:v>Senegal</c:v>
                </c:pt>
                <c:pt idx="21">
                  <c:v>Kenya</c:v>
                </c:pt>
                <c:pt idx="22">
                  <c:v>Central African Republic</c:v>
                </c:pt>
                <c:pt idx="23">
                  <c:v>DRC</c:v>
                </c:pt>
                <c:pt idx="24">
                  <c:v>Uganda</c:v>
                </c:pt>
                <c:pt idx="25">
                  <c:v>Madagascar</c:v>
                </c:pt>
                <c:pt idx="26">
                  <c:v>Burkina Faso</c:v>
                </c:pt>
                <c:pt idx="27">
                  <c:v>Cameroon</c:v>
                </c:pt>
                <c:pt idx="28">
                  <c:v>Benin</c:v>
                </c:pt>
                <c:pt idx="29">
                  <c:v>Ghana</c:v>
                </c:pt>
                <c:pt idx="30">
                  <c:v>Gambia</c:v>
                </c:pt>
                <c:pt idx="31">
                  <c:v>Togo</c:v>
                </c:pt>
                <c:pt idx="32">
                  <c:v>Congo</c:v>
                </c:pt>
                <c:pt idx="33">
                  <c:v>Guinea</c:v>
                </c:pt>
                <c:pt idx="34">
                  <c:v>Mali</c:v>
                </c:pt>
                <c:pt idx="35">
                  <c:v>Gabon</c:v>
                </c:pt>
                <c:pt idx="36">
                  <c:v>Liberia</c:v>
                </c:pt>
                <c:pt idx="37">
                  <c:v>Guinea-Bissau</c:v>
                </c:pt>
              </c:strCache>
            </c:strRef>
          </c:cat>
          <c:val>
            <c:numRef>
              <c:f>DATA!$B$4:$B$41</c:f>
              <c:numCache>
                <c:formatCode>0</c:formatCode>
                <c:ptCount val="38"/>
                <c:pt idx="0">
                  <c:v>1.6196900000000001</c:v>
                </c:pt>
                <c:pt idx="1">
                  <c:v>1.9</c:v>
                </c:pt>
                <c:pt idx="2">
                  <c:v>2</c:v>
                </c:pt>
                <c:pt idx="3">
                  <c:v>2.1</c:v>
                </c:pt>
                <c:pt idx="4">
                  <c:v>3.2</c:v>
                </c:pt>
                <c:pt idx="5">
                  <c:v>3.2</c:v>
                </c:pt>
                <c:pt idx="6">
                  <c:v>3.3097599999999998</c:v>
                </c:pt>
                <c:pt idx="7">
                  <c:v>3.9</c:v>
                </c:pt>
                <c:pt idx="8">
                  <c:v>4.0999999999999996</c:v>
                </c:pt>
                <c:pt idx="9">
                  <c:v>4.9543299999999997</c:v>
                </c:pt>
                <c:pt idx="10">
                  <c:v>5</c:v>
                </c:pt>
                <c:pt idx="11">
                  <c:v>5.9</c:v>
                </c:pt>
                <c:pt idx="12">
                  <c:v>7.3902099999999997</c:v>
                </c:pt>
                <c:pt idx="13">
                  <c:v>8.6999999999999993</c:v>
                </c:pt>
                <c:pt idx="14">
                  <c:v>9.1</c:v>
                </c:pt>
                <c:pt idx="15">
                  <c:v>10</c:v>
                </c:pt>
                <c:pt idx="16">
                  <c:v>12.7</c:v>
                </c:pt>
                <c:pt idx="17">
                  <c:v>14</c:v>
                </c:pt>
                <c:pt idx="18">
                  <c:v>14.11856</c:v>
                </c:pt>
                <c:pt idx="19">
                  <c:v>14.5</c:v>
                </c:pt>
                <c:pt idx="20">
                  <c:v>15</c:v>
                </c:pt>
                <c:pt idx="21">
                  <c:v>16</c:v>
                </c:pt>
                <c:pt idx="22">
                  <c:v>16.7</c:v>
                </c:pt>
                <c:pt idx="23">
                  <c:v>17</c:v>
                </c:pt>
                <c:pt idx="24">
                  <c:v>19.600000000000001</c:v>
                </c:pt>
                <c:pt idx="25">
                  <c:v>19.7</c:v>
                </c:pt>
                <c:pt idx="26">
                  <c:v>20.3</c:v>
                </c:pt>
                <c:pt idx="27">
                  <c:v>23</c:v>
                </c:pt>
                <c:pt idx="28">
                  <c:v>25.3</c:v>
                </c:pt>
                <c:pt idx="29">
                  <c:v>26</c:v>
                </c:pt>
                <c:pt idx="30">
                  <c:v>30</c:v>
                </c:pt>
                <c:pt idx="31">
                  <c:v>30.9</c:v>
                </c:pt>
                <c:pt idx="32">
                  <c:v>31</c:v>
                </c:pt>
                <c:pt idx="33">
                  <c:v>31</c:v>
                </c:pt>
                <c:pt idx="34">
                  <c:v>39.9</c:v>
                </c:pt>
                <c:pt idx="35">
                  <c:v>44</c:v>
                </c:pt>
                <c:pt idx="36">
                  <c:v>48.3</c:v>
                </c:pt>
                <c:pt idx="37">
                  <c:v>53</c:v>
                </c:pt>
              </c:numCache>
            </c:numRef>
          </c:val>
          <c:extLst>
            <c:ext xmlns:c16="http://schemas.microsoft.com/office/drawing/2014/chart" uri="{C3380CC4-5D6E-409C-BE32-E72D297353CC}">
              <c16:uniqueId val="{00000000-5429-A941-97ED-4F282DAA2194}"/>
            </c:ext>
          </c:extLst>
        </c:ser>
        <c:dLbls>
          <c:showLegendKey val="0"/>
          <c:showVal val="0"/>
          <c:showCatName val="0"/>
          <c:showSerName val="0"/>
          <c:showPercent val="0"/>
          <c:showBubbleSize val="0"/>
        </c:dLbls>
        <c:gapWidth val="219"/>
        <c:overlap val="-27"/>
        <c:axId val="-1554417456"/>
        <c:axId val="-1554425616"/>
      </c:barChart>
      <c:catAx>
        <c:axId val="-155441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4425616"/>
        <c:crosses val="autoZero"/>
        <c:auto val="1"/>
        <c:lblAlgn val="ctr"/>
        <c:lblOffset val="100"/>
        <c:noMultiLvlLbl val="0"/>
      </c:catAx>
      <c:valAx>
        <c:axId val="-15544256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4417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a:t>
            </a:r>
            <a:r>
              <a:rPr lang="en-US" baseline="0"/>
              <a:t> 3: Share of private school students in total secondary school enrolments in SSA, 2018/lya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Sheet2!$B$3</c:f>
              <c:strCache>
                <c:ptCount val="1"/>
                <c:pt idx="0">
                  <c:v>aa</c:v>
                </c:pt>
              </c:strCache>
            </c:strRef>
          </c:tx>
          <c:spPr>
            <a:solidFill>
              <a:schemeClr val="accent1"/>
            </a:solidFill>
            <a:ln>
              <a:noFill/>
            </a:ln>
            <a:effectLst/>
          </c:spPr>
          <c:invertIfNegative val="0"/>
          <c:cat>
            <c:strRef>
              <c:f>Sheet2!$A$4:$A$39</c:f>
              <c:strCache>
                <c:ptCount val="36"/>
                <c:pt idx="0">
                  <c:v>Eswatini</c:v>
                </c:pt>
                <c:pt idx="1">
                  <c:v>Botswana</c:v>
                </c:pt>
                <c:pt idx="2">
                  <c:v>South Africa</c:v>
                </c:pt>
                <c:pt idx="3">
                  <c:v>Namibia</c:v>
                </c:pt>
                <c:pt idx="4">
                  <c:v>Ethiopia</c:v>
                </c:pt>
                <c:pt idx="5">
                  <c:v>Burundi</c:v>
                </c:pt>
                <c:pt idx="6">
                  <c:v>Lesotho</c:v>
                </c:pt>
                <c:pt idx="7">
                  <c:v>Guinea</c:v>
                </c:pt>
                <c:pt idx="8">
                  <c:v>Zimbabwe</c:v>
                </c:pt>
                <c:pt idx="9">
                  <c:v>Malawi</c:v>
                </c:pt>
                <c:pt idx="10">
                  <c:v>Rwanda</c:v>
                </c:pt>
                <c:pt idx="11">
                  <c:v>Kenya</c:v>
                </c:pt>
                <c:pt idx="12">
                  <c:v>Mozambique</c:v>
                </c:pt>
                <c:pt idx="13">
                  <c:v>Sierra Leone</c:v>
                </c:pt>
                <c:pt idx="14">
                  <c:v>Niger</c:v>
                </c:pt>
                <c:pt idx="15">
                  <c:v>Chad</c:v>
                </c:pt>
                <c:pt idx="16">
                  <c:v>Ghana</c:v>
                </c:pt>
                <c:pt idx="17">
                  <c:v>Benin</c:v>
                </c:pt>
                <c:pt idx="18">
                  <c:v>Tanzania</c:v>
                </c:pt>
                <c:pt idx="19">
                  <c:v>Nigeria</c:v>
                </c:pt>
                <c:pt idx="20">
                  <c:v>DRC</c:v>
                </c:pt>
                <c:pt idx="21">
                  <c:v>Sudan</c:v>
                </c:pt>
                <c:pt idx="22">
                  <c:v>Angola</c:v>
                </c:pt>
                <c:pt idx="23">
                  <c:v>Senegal</c:v>
                </c:pt>
                <c:pt idx="24">
                  <c:v>Congo</c:v>
                </c:pt>
                <c:pt idx="25">
                  <c:v>Central African Republic</c:v>
                </c:pt>
                <c:pt idx="26">
                  <c:v>Togo</c:v>
                </c:pt>
                <c:pt idx="27">
                  <c:v>Cameroon</c:v>
                </c:pt>
                <c:pt idx="28">
                  <c:v>Gabon</c:v>
                </c:pt>
                <c:pt idx="29">
                  <c:v>Madagascar</c:v>
                </c:pt>
                <c:pt idx="30">
                  <c:v>Burkina Faso</c:v>
                </c:pt>
                <c:pt idx="31">
                  <c:v>Mali</c:v>
                </c:pt>
                <c:pt idx="32">
                  <c:v>Guinea-Bissau</c:v>
                </c:pt>
                <c:pt idx="33">
                  <c:v>Uganda</c:v>
                </c:pt>
                <c:pt idx="34">
                  <c:v>Côte d'Ivoire</c:v>
                </c:pt>
                <c:pt idx="35">
                  <c:v>Liberia</c:v>
                </c:pt>
              </c:strCache>
            </c:strRef>
          </c:cat>
          <c:val>
            <c:numRef>
              <c:f>Sheet2!$B$4:$B$39</c:f>
              <c:numCache>
                <c:formatCode>0</c:formatCode>
                <c:ptCount val="36"/>
                <c:pt idx="0">
                  <c:v>2.2986399999999998</c:v>
                </c:pt>
                <c:pt idx="1">
                  <c:v>4</c:v>
                </c:pt>
                <c:pt idx="2">
                  <c:v>4.2</c:v>
                </c:pt>
                <c:pt idx="3">
                  <c:v>5</c:v>
                </c:pt>
                <c:pt idx="4">
                  <c:v>6.6197499999999998</c:v>
                </c:pt>
                <c:pt idx="5">
                  <c:v>7.2</c:v>
                </c:pt>
                <c:pt idx="6">
                  <c:v>8</c:v>
                </c:pt>
                <c:pt idx="7">
                  <c:v>9</c:v>
                </c:pt>
                <c:pt idx="8" formatCode="General">
                  <c:v>10</c:v>
                </c:pt>
                <c:pt idx="9">
                  <c:v>10.199999999999999</c:v>
                </c:pt>
                <c:pt idx="10">
                  <c:v>12.4</c:v>
                </c:pt>
                <c:pt idx="11">
                  <c:v>13</c:v>
                </c:pt>
                <c:pt idx="12">
                  <c:v>13.3</c:v>
                </c:pt>
                <c:pt idx="13">
                  <c:v>14</c:v>
                </c:pt>
                <c:pt idx="14">
                  <c:v>14.8</c:v>
                </c:pt>
                <c:pt idx="15">
                  <c:v>15.37405</c:v>
                </c:pt>
                <c:pt idx="16">
                  <c:v>15.5</c:v>
                </c:pt>
                <c:pt idx="17">
                  <c:v>15.505710000000001</c:v>
                </c:pt>
                <c:pt idx="18">
                  <c:v>18</c:v>
                </c:pt>
                <c:pt idx="19">
                  <c:v>19</c:v>
                </c:pt>
                <c:pt idx="20">
                  <c:v>20</c:v>
                </c:pt>
                <c:pt idx="21">
                  <c:v>20.3</c:v>
                </c:pt>
                <c:pt idx="22">
                  <c:v>21.5</c:v>
                </c:pt>
                <c:pt idx="23">
                  <c:v>21.9</c:v>
                </c:pt>
                <c:pt idx="24">
                  <c:v>22</c:v>
                </c:pt>
                <c:pt idx="25">
                  <c:v>23.5</c:v>
                </c:pt>
                <c:pt idx="26">
                  <c:v>27</c:v>
                </c:pt>
                <c:pt idx="27">
                  <c:v>28.3</c:v>
                </c:pt>
                <c:pt idx="28">
                  <c:v>29</c:v>
                </c:pt>
                <c:pt idx="29">
                  <c:v>38</c:v>
                </c:pt>
                <c:pt idx="30">
                  <c:v>39.9</c:v>
                </c:pt>
                <c:pt idx="31">
                  <c:v>43.8</c:v>
                </c:pt>
                <c:pt idx="32">
                  <c:v>45</c:v>
                </c:pt>
                <c:pt idx="33">
                  <c:v>45</c:v>
                </c:pt>
                <c:pt idx="34">
                  <c:v>50.6</c:v>
                </c:pt>
                <c:pt idx="35">
                  <c:v>58.368310000000001</c:v>
                </c:pt>
              </c:numCache>
            </c:numRef>
          </c:val>
          <c:extLst>
            <c:ext xmlns:c16="http://schemas.microsoft.com/office/drawing/2014/chart" uri="{C3380CC4-5D6E-409C-BE32-E72D297353CC}">
              <c16:uniqueId val="{00000000-8BD1-CE47-A1D8-A4EA937165A3}"/>
            </c:ext>
          </c:extLst>
        </c:ser>
        <c:dLbls>
          <c:showLegendKey val="0"/>
          <c:showVal val="0"/>
          <c:showCatName val="0"/>
          <c:showSerName val="0"/>
          <c:showPercent val="0"/>
          <c:showBubbleSize val="0"/>
        </c:dLbls>
        <c:gapWidth val="219"/>
        <c:overlap val="-27"/>
        <c:axId val="-1554422896"/>
        <c:axId val="-1369578640"/>
      </c:barChart>
      <c:catAx>
        <c:axId val="-155442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9578640"/>
        <c:crosses val="autoZero"/>
        <c:auto val="1"/>
        <c:lblAlgn val="ctr"/>
        <c:lblOffset val="100"/>
        <c:noMultiLvlLbl val="0"/>
      </c:catAx>
      <c:valAx>
        <c:axId val="-13695786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4422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a:t>
            </a:r>
            <a:r>
              <a:rPr lang="en-GB" baseline="0"/>
              <a:t> 3: Percentage point differerence in the enrolment shares of private primary and secondary schools in SSA, 2018/nearest year available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Sheet2!$K$4:$K$39</c:f>
              <c:strCache>
                <c:ptCount val="36"/>
                <c:pt idx="0">
                  <c:v>Guinea</c:v>
                </c:pt>
                <c:pt idx="1">
                  <c:v>Gabon</c:v>
                </c:pt>
                <c:pt idx="2">
                  <c:v>Ghana</c:v>
                </c:pt>
                <c:pt idx="3">
                  <c:v>Benin</c:v>
                </c:pt>
                <c:pt idx="4">
                  <c:v>Congo</c:v>
                </c:pt>
                <c:pt idx="5">
                  <c:v>Guinea-Bissau</c:v>
                </c:pt>
                <c:pt idx="6">
                  <c:v>Togo</c:v>
                </c:pt>
                <c:pt idx="7">
                  <c:v>Botswana</c:v>
                </c:pt>
                <c:pt idx="8">
                  <c:v>Kenya</c:v>
                </c:pt>
                <c:pt idx="9">
                  <c:v>Namibia</c:v>
                </c:pt>
                <c:pt idx="10">
                  <c:v>Lesotho</c:v>
                </c:pt>
                <c:pt idx="11">
                  <c:v>Eswatini</c:v>
                </c:pt>
                <c:pt idx="12">
                  <c:v>South Africa</c:v>
                </c:pt>
                <c:pt idx="13">
                  <c:v>Chad</c:v>
                </c:pt>
                <c:pt idx="14">
                  <c:v>Ethiopia</c:v>
                </c:pt>
                <c:pt idx="15">
                  <c:v>DRC</c:v>
                </c:pt>
                <c:pt idx="16">
                  <c:v>Mali</c:v>
                </c:pt>
                <c:pt idx="17">
                  <c:v>Sierra Leone</c:v>
                </c:pt>
                <c:pt idx="18">
                  <c:v>Zimbabwe</c:v>
                </c:pt>
                <c:pt idx="19">
                  <c:v>Burundi</c:v>
                </c:pt>
                <c:pt idx="20">
                  <c:v>Cameroon</c:v>
                </c:pt>
                <c:pt idx="21">
                  <c:v>Nigeria</c:v>
                </c:pt>
                <c:pt idx="22">
                  <c:v>Central African Republic</c:v>
                </c:pt>
                <c:pt idx="23">
                  <c:v>Senegal</c:v>
                </c:pt>
                <c:pt idx="24">
                  <c:v>Angola</c:v>
                </c:pt>
                <c:pt idx="25">
                  <c:v>Malawi</c:v>
                </c:pt>
                <c:pt idx="26">
                  <c:v>Rwanda</c:v>
                </c:pt>
                <c:pt idx="27">
                  <c:v>Liberia</c:v>
                </c:pt>
                <c:pt idx="28">
                  <c:v>Sudan</c:v>
                </c:pt>
                <c:pt idx="29">
                  <c:v>Mozambique</c:v>
                </c:pt>
                <c:pt idx="30">
                  <c:v>Niger</c:v>
                </c:pt>
                <c:pt idx="31">
                  <c:v>Tanzania</c:v>
                </c:pt>
                <c:pt idx="32">
                  <c:v>Madagascar</c:v>
                </c:pt>
                <c:pt idx="33">
                  <c:v>Burkina Faso</c:v>
                </c:pt>
                <c:pt idx="34">
                  <c:v>Uganda</c:v>
                </c:pt>
                <c:pt idx="35">
                  <c:v>Côte d'Ivoire</c:v>
                </c:pt>
              </c:strCache>
            </c:strRef>
          </c:cat>
          <c:val>
            <c:numRef>
              <c:f>Sheet2!$L$4:$L$39</c:f>
              <c:numCache>
                <c:formatCode>0</c:formatCode>
                <c:ptCount val="36"/>
                <c:pt idx="0">
                  <c:v>-22</c:v>
                </c:pt>
                <c:pt idx="1">
                  <c:v>-15</c:v>
                </c:pt>
                <c:pt idx="2">
                  <c:v>-10.5</c:v>
                </c:pt>
                <c:pt idx="3">
                  <c:v>-9.7942900000000002</c:v>
                </c:pt>
                <c:pt idx="4">
                  <c:v>-9</c:v>
                </c:pt>
                <c:pt idx="5">
                  <c:v>-8</c:v>
                </c:pt>
                <c:pt idx="6">
                  <c:v>-3.8999999999999986</c:v>
                </c:pt>
                <c:pt idx="7">
                  <c:v>-3.3902099999999997</c:v>
                </c:pt>
                <c:pt idx="8">
                  <c:v>-3</c:v>
                </c:pt>
                <c:pt idx="9">
                  <c:v>-0.90000000000000036</c:v>
                </c:pt>
                <c:pt idx="10">
                  <c:v>-0.69999999999999929</c:v>
                </c:pt>
                <c:pt idx="11">
                  <c:v>0.67894999999999972</c:v>
                </c:pt>
                <c:pt idx="12">
                  <c:v>1</c:v>
                </c:pt>
                <c:pt idx="13">
                  <c:v>1.3740500000000004</c:v>
                </c:pt>
                <c:pt idx="14">
                  <c:v>1.6654200000000001</c:v>
                </c:pt>
                <c:pt idx="15">
                  <c:v>3</c:v>
                </c:pt>
                <c:pt idx="16">
                  <c:v>3.8999999999999986</c:v>
                </c:pt>
                <c:pt idx="17">
                  <c:v>4</c:v>
                </c:pt>
                <c:pt idx="18">
                  <c:v>5</c:v>
                </c:pt>
                <c:pt idx="19">
                  <c:v>5.2</c:v>
                </c:pt>
                <c:pt idx="20">
                  <c:v>5.3000000000000007</c:v>
                </c:pt>
                <c:pt idx="21">
                  <c:v>6.3000000000000007</c:v>
                </c:pt>
                <c:pt idx="22">
                  <c:v>6.8000000000000007</c:v>
                </c:pt>
                <c:pt idx="23">
                  <c:v>6.8999999999999986</c:v>
                </c:pt>
                <c:pt idx="24">
                  <c:v>7.3814399999999996</c:v>
                </c:pt>
                <c:pt idx="25">
                  <c:v>8.1</c:v>
                </c:pt>
                <c:pt idx="26">
                  <c:v>8.3000000000000007</c:v>
                </c:pt>
                <c:pt idx="27">
                  <c:v>10.068310000000004</c:v>
                </c:pt>
                <c:pt idx="28">
                  <c:v>11.200000000000001</c:v>
                </c:pt>
                <c:pt idx="29">
                  <c:v>11.4</c:v>
                </c:pt>
                <c:pt idx="30">
                  <c:v>11.49024</c:v>
                </c:pt>
                <c:pt idx="31">
                  <c:v>14.1</c:v>
                </c:pt>
                <c:pt idx="32">
                  <c:v>18.3</c:v>
                </c:pt>
                <c:pt idx="33">
                  <c:v>19.599999999999998</c:v>
                </c:pt>
                <c:pt idx="34">
                  <c:v>25.4</c:v>
                </c:pt>
                <c:pt idx="35">
                  <c:v>36.1</c:v>
                </c:pt>
              </c:numCache>
            </c:numRef>
          </c:val>
          <c:extLst>
            <c:ext xmlns:c16="http://schemas.microsoft.com/office/drawing/2014/chart" uri="{C3380CC4-5D6E-409C-BE32-E72D297353CC}">
              <c16:uniqueId val="{00000000-7893-D448-832A-F3BF8AF999A9}"/>
            </c:ext>
          </c:extLst>
        </c:ser>
        <c:dLbls>
          <c:showLegendKey val="0"/>
          <c:showVal val="0"/>
          <c:showCatName val="0"/>
          <c:showSerName val="0"/>
          <c:showPercent val="0"/>
          <c:showBubbleSize val="0"/>
        </c:dLbls>
        <c:gapWidth val="219"/>
        <c:overlap val="-27"/>
        <c:axId val="-1369569936"/>
        <c:axId val="-1369567216"/>
      </c:barChart>
      <c:catAx>
        <c:axId val="-1369569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9567216"/>
        <c:crosses val="autoZero"/>
        <c:auto val="1"/>
        <c:lblAlgn val="ctr"/>
        <c:lblOffset val="100"/>
        <c:noMultiLvlLbl val="0"/>
      </c:catAx>
      <c:valAx>
        <c:axId val="-13695672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9569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a:t>
            </a:r>
            <a:r>
              <a:rPr lang="en-GB" baseline="0"/>
              <a:t> 4: Scatter plots of share of urban private secondary school enrolments and urban secondary school gross enrolment ratio, MICS6 countries in sub-Saharan Africa and South Asia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Lbl>
              <c:idx val="0"/>
              <c:tx>
                <c:rich>
                  <a:bodyPr/>
                  <a:lstStyle/>
                  <a:p>
                    <a:fld id="{2E8B8E63-A8EB-4E25-8704-C4B6D0DD9A6B}"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BF4B-2F4A-996D-18C46B97C84B}"/>
                </c:ext>
              </c:extLst>
            </c:dLbl>
            <c:dLbl>
              <c:idx val="1"/>
              <c:tx>
                <c:rich>
                  <a:bodyPr/>
                  <a:lstStyle/>
                  <a:p>
                    <a:fld id="{51F0B0AE-1F8C-2D4B-83B0-C2E8182375A3}"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BF4B-2F4A-996D-18C46B97C84B}"/>
                </c:ext>
              </c:extLst>
            </c:dLbl>
            <c:dLbl>
              <c:idx val="2"/>
              <c:tx>
                <c:rich>
                  <a:bodyPr/>
                  <a:lstStyle/>
                  <a:p>
                    <a:fld id="{CF667E5A-0330-0B49-9BEB-D70DB387F79F}"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BF4B-2F4A-996D-18C46B97C84B}"/>
                </c:ext>
              </c:extLst>
            </c:dLbl>
            <c:dLbl>
              <c:idx val="3"/>
              <c:tx>
                <c:rich>
                  <a:bodyPr/>
                  <a:lstStyle/>
                  <a:p>
                    <a:fld id="{F07B377D-CB88-2E42-9432-72B49E9D3127}"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BF4B-2F4A-996D-18C46B97C84B}"/>
                </c:ext>
              </c:extLst>
            </c:dLbl>
            <c:dLbl>
              <c:idx val="4"/>
              <c:tx>
                <c:rich>
                  <a:bodyPr/>
                  <a:lstStyle/>
                  <a:p>
                    <a:fld id="{DB25E023-3596-1C4D-A74E-DA0A87F09AD9}"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BF4B-2F4A-996D-18C46B97C84B}"/>
                </c:ext>
              </c:extLst>
            </c:dLbl>
            <c:dLbl>
              <c:idx val="5"/>
              <c:tx>
                <c:rich>
                  <a:bodyPr/>
                  <a:lstStyle/>
                  <a:p>
                    <a:fld id="{027734A8-AB82-ED40-9658-09BE15AEA448}"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BF4B-2F4A-996D-18C46B97C84B}"/>
                </c:ext>
              </c:extLst>
            </c:dLbl>
            <c:dLbl>
              <c:idx val="6"/>
              <c:tx>
                <c:rich>
                  <a:bodyPr/>
                  <a:lstStyle/>
                  <a:p>
                    <a:fld id="{51100C04-0206-3D48-91D7-6F2B23AB0C3F}"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BF4B-2F4A-996D-18C46B97C84B}"/>
                </c:ext>
              </c:extLst>
            </c:dLbl>
            <c:dLbl>
              <c:idx val="7"/>
              <c:tx>
                <c:rich>
                  <a:bodyPr/>
                  <a:lstStyle/>
                  <a:p>
                    <a:fld id="{E06D8F87-0322-4E42-9792-BF650E6E4B42}"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BF4B-2F4A-996D-18C46B97C84B}"/>
                </c:ext>
              </c:extLst>
            </c:dLbl>
            <c:dLbl>
              <c:idx val="8"/>
              <c:tx>
                <c:rich>
                  <a:bodyPr/>
                  <a:lstStyle/>
                  <a:p>
                    <a:fld id="{4019F9B6-6EC2-4543-85F3-AD546DD26087}"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BF4B-2F4A-996D-18C46B97C84B}"/>
                </c:ext>
              </c:extLst>
            </c:dLbl>
            <c:dLbl>
              <c:idx val="9"/>
              <c:tx>
                <c:rich>
                  <a:bodyPr/>
                  <a:lstStyle/>
                  <a:p>
                    <a:fld id="{23B576A8-66D3-CF4A-98D2-B0F555C668E7}"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BF4B-2F4A-996D-18C46B97C84B}"/>
                </c:ext>
              </c:extLst>
            </c:dLbl>
            <c:dLbl>
              <c:idx val="10"/>
              <c:tx>
                <c:rich>
                  <a:bodyPr/>
                  <a:lstStyle/>
                  <a:p>
                    <a:fld id="{ED4CFB9E-D431-8F46-8003-87B381C19E43}"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BF4B-2F4A-996D-18C46B97C8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'C:\Users\Paul\Documents\[PRIVATEchoolbasictablesandfiguresJan12.xlsx]privsecondurbanGER'!$B$4:$B$14</c:f>
              <c:numCache>
                <c:formatCode>General</c:formatCode>
                <c:ptCount val="11"/>
                <c:pt idx="0">
                  <c:v>21.7</c:v>
                </c:pt>
                <c:pt idx="1">
                  <c:v>20.8</c:v>
                </c:pt>
                <c:pt idx="2">
                  <c:v>49.8</c:v>
                </c:pt>
                <c:pt idx="3">
                  <c:v>11.8</c:v>
                </c:pt>
                <c:pt idx="4">
                  <c:v>49.7</c:v>
                </c:pt>
                <c:pt idx="5">
                  <c:v>17.100000000000001</c:v>
                </c:pt>
                <c:pt idx="6">
                  <c:v>21.9</c:v>
                </c:pt>
                <c:pt idx="7">
                  <c:v>69.900000000000006</c:v>
                </c:pt>
                <c:pt idx="8">
                  <c:v>38.9</c:v>
                </c:pt>
                <c:pt idx="9">
                  <c:v>44.2</c:v>
                </c:pt>
                <c:pt idx="10">
                  <c:v>44.5</c:v>
                </c:pt>
              </c:numCache>
            </c:numRef>
          </c:xVal>
          <c:yVal>
            <c:numRef>
              <c:f>'C:\Users\Paul\Documents\[PRIVATEchoolbasictablesandfiguresJan12.xlsx]privsecondurbanGER'!$C$4:$C$14</c:f>
              <c:numCache>
                <c:formatCode>General</c:formatCode>
                <c:ptCount val="11"/>
                <c:pt idx="0">
                  <c:v>86.7</c:v>
                </c:pt>
                <c:pt idx="1">
                  <c:v>79.599999999999994</c:v>
                </c:pt>
                <c:pt idx="2">
                  <c:v>23.4</c:v>
                </c:pt>
                <c:pt idx="3">
                  <c:v>105.5</c:v>
                </c:pt>
                <c:pt idx="4">
                  <c:v>62.5</c:v>
                </c:pt>
                <c:pt idx="5">
                  <c:v>105.5</c:v>
                </c:pt>
                <c:pt idx="6">
                  <c:v>67</c:v>
                </c:pt>
                <c:pt idx="7">
                  <c:v>81.099999999999994</c:v>
                </c:pt>
                <c:pt idx="8">
                  <c:v>48.3</c:v>
                </c:pt>
                <c:pt idx="9">
                  <c:v>53.9</c:v>
                </c:pt>
                <c:pt idx="10">
                  <c:v>51.4</c:v>
                </c:pt>
              </c:numCache>
            </c:numRef>
          </c:yVal>
          <c:smooth val="0"/>
          <c:extLst>
            <c:ext xmlns:c15="http://schemas.microsoft.com/office/drawing/2012/chart" uri="{02D57815-91ED-43cb-92C2-25804820EDAC}">
              <c15:datalabelsRange>
                <c15:f>'C:\Users\Paul\Documents\[PRIVATEchoolbasictablesandfiguresJan12.xlsx]privsecondurbanGER'!$A$4:$A$14</c15:f>
                <c15:dlblRangeCache>
                  <c:ptCount val="11"/>
                  <c:pt idx="0">
                    <c:v>DR Congo</c:v>
                  </c:pt>
                  <c:pt idx="1">
                    <c:v>Ghana</c:v>
                  </c:pt>
                  <c:pt idx="2">
                    <c:v>Guinea Bissau</c:v>
                  </c:pt>
                  <c:pt idx="3">
                    <c:v>Lesotho</c:v>
                  </c:pt>
                  <c:pt idx="4">
                    <c:v>Madagascar</c:v>
                  </c:pt>
                  <c:pt idx="5">
                    <c:v>Sierra Leone</c:v>
                  </c:pt>
                  <c:pt idx="6">
                    <c:v>Zimbabwe</c:v>
                  </c:pt>
                  <c:pt idx="7">
                    <c:v>Bangladesh</c:v>
                  </c:pt>
                  <c:pt idx="8">
                    <c:v>Nepal</c:v>
                  </c:pt>
                  <c:pt idx="9">
                    <c:v>Pakistan (Punjab)</c:v>
                  </c:pt>
                  <c:pt idx="10">
                    <c:v>Pakistan Khyber</c:v>
                  </c:pt>
                </c15:dlblRangeCache>
              </c15:datalabelsRange>
            </c:ext>
            <c:ext xmlns:c16="http://schemas.microsoft.com/office/drawing/2014/chart" uri="{C3380CC4-5D6E-409C-BE32-E72D297353CC}">
              <c16:uniqueId val="{0000000B-BF4B-2F4A-996D-18C46B97C84B}"/>
            </c:ext>
          </c:extLst>
        </c:ser>
        <c:dLbls>
          <c:showLegendKey val="0"/>
          <c:showVal val="0"/>
          <c:showCatName val="0"/>
          <c:showSerName val="0"/>
          <c:showPercent val="0"/>
          <c:showBubbleSize val="0"/>
        </c:dLbls>
        <c:axId val="-1369566128"/>
        <c:axId val="-1369565584"/>
      </c:scatterChart>
      <c:valAx>
        <c:axId val="-13695661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9565584"/>
        <c:crosses val="autoZero"/>
        <c:crossBetween val="midCat"/>
      </c:valAx>
      <c:valAx>
        <c:axId val="-1369565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95661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a:t>
            </a:r>
            <a:r>
              <a:rPr lang="en-GB" baseline="0"/>
              <a:t> 5: Share of private schools in total school enrolments in 10 capital cities in SSA, 2018/latest year available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datafig5!$B$2</c:f>
              <c:strCache>
                <c:ptCount val="1"/>
                <c:pt idx="0">
                  <c:v>Primary</c:v>
                </c:pt>
              </c:strCache>
            </c:strRef>
          </c:tx>
          <c:spPr>
            <a:solidFill>
              <a:schemeClr val="accent1"/>
            </a:solidFill>
            <a:ln>
              <a:noFill/>
            </a:ln>
            <a:effectLst/>
          </c:spPr>
          <c:invertIfNegative val="0"/>
          <c:cat>
            <c:strRef>
              <c:f>datafig5!$A$3:$A$12</c:f>
              <c:strCache>
                <c:ptCount val="10"/>
                <c:pt idx="0">
                  <c:v>Maseru</c:v>
                </c:pt>
                <c:pt idx="1">
                  <c:v>Harare</c:v>
                </c:pt>
                <c:pt idx="2">
                  <c:v>Freetown</c:v>
                </c:pt>
                <c:pt idx="3">
                  <c:v>Kinshasa</c:v>
                </c:pt>
                <c:pt idx="4">
                  <c:v>Antanarivo </c:v>
                </c:pt>
                <c:pt idx="5">
                  <c:v>Accra</c:v>
                </c:pt>
                <c:pt idx="6">
                  <c:v>Nairobi</c:v>
                </c:pt>
                <c:pt idx="7">
                  <c:v>Lagos</c:v>
                </c:pt>
                <c:pt idx="8">
                  <c:v>Kampala</c:v>
                </c:pt>
                <c:pt idx="9">
                  <c:v>Bissau</c:v>
                </c:pt>
              </c:strCache>
            </c:strRef>
          </c:cat>
          <c:val>
            <c:numRef>
              <c:f>datafig5!$B$3:$B$12</c:f>
              <c:numCache>
                <c:formatCode>General</c:formatCode>
                <c:ptCount val="10"/>
                <c:pt idx="0">
                  <c:v>17.7</c:v>
                </c:pt>
                <c:pt idx="1">
                  <c:v>19</c:v>
                </c:pt>
                <c:pt idx="2">
                  <c:v>31.8</c:v>
                </c:pt>
                <c:pt idx="3">
                  <c:v>40.799999999999997</c:v>
                </c:pt>
                <c:pt idx="4">
                  <c:v>49.4</c:v>
                </c:pt>
                <c:pt idx="5">
                  <c:v>57.7</c:v>
                </c:pt>
                <c:pt idx="6">
                  <c:v>60</c:v>
                </c:pt>
                <c:pt idx="7">
                  <c:v>62</c:v>
                </c:pt>
                <c:pt idx="8">
                  <c:v>84</c:v>
                </c:pt>
                <c:pt idx="9">
                  <c:v>84.9</c:v>
                </c:pt>
              </c:numCache>
            </c:numRef>
          </c:val>
          <c:extLst>
            <c:ext xmlns:c16="http://schemas.microsoft.com/office/drawing/2014/chart" uri="{C3380CC4-5D6E-409C-BE32-E72D297353CC}">
              <c16:uniqueId val="{00000000-3D1C-8B4D-B5A4-204560EE4755}"/>
            </c:ext>
          </c:extLst>
        </c:ser>
        <c:ser>
          <c:idx val="1"/>
          <c:order val="1"/>
          <c:tx>
            <c:strRef>
              <c:f>datafig5!$C$2</c:f>
              <c:strCache>
                <c:ptCount val="1"/>
                <c:pt idx="0">
                  <c:v>Secondary</c:v>
                </c:pt>
              </c:strCache>
            </c:strRef>
          </c:tx>
          <c:spPr>
            <a:solidFill>
              <a:schemeClr val="accent2"/>
            </a:solidFill>
            <a:ln>
              <a:noFill/>
            </a:ln>
            <a:effectLst/>
          </c:spPr>
          <c:invertIfNegative val="0"/>
          <c:cat>
            <c:strRef>
              <c:f>datafig5!$A$3:$A$12</c:f>
              <c:strCache>
                <c:ptCount val="10"/>
                <c:pt idx="0">
                  <c:v>Maseru</c:v>
                </c:pt>
                <c:pt idx="1">
                  <c:v>Harare</c:v>
                </c:pt>
                <c:pt idx="2">
                  <c:v>Freetown</c:v>
                </c:pt>
                <c:pt idx="3">
                  <c:v>Kinshasa</c:v>
                </c:pt>
                <c:pt idx="4">
                  <c:v>Antanarivo </c:v>
                </c:pt>
                <c:pt idx="5">
                  <c:v>Accra</c:v>
                </c:pt>
                <c:pt idx="6">
                  <c:v>Nairobi</c:v>
                </c:pt>
                <c:pt idx="7">
                  <c:v>Lagos</c:v>
                </c:pt>
                <c:pt idx="8">
                  <c:v>Kampala</c:v>
                </c:pt>
                <c:pt idx="9">
                  <c:v>Bissau</c:v>
                </c:pt>
              </c:strCache>
            </c:strRef>
          </c:cat>
          <c:val>
            <c:numRef>
              <c:f>datafig5!$C$3:$C$12</c:f>
              <c:numCache>
                <c:formatCode>General</c:formatCode>
                <c:ptCount val="10"/>
                <c:pt idx="0">
                  <c:v>8.8000000000000007</c:v>
                </c:pt>
                <c:pt idx="1">
                  <c:v>27.3</c:v>
                </c:pt>
                <c:pt idx="2">
                  <c:v>24.4</c:v>
                </c:pt>
                <c:pt idx="3">
                  <c:v>32.200000000000003</c:v>
                </c:pt>
                <c:pt idx="4">
                  <c:v>66.599999999999994</c:v>
                </c:pt>
                <c:pt idx="5">
                  <c:v>37</c:v>
                </c:pt>
                <c:pt idx="6">
                  <c:v>41.9</c:v>
                </c:pt>
                <c:pt idx="8">
                  <c:v>77</c:v>
                </c:pt>
                <c:pt idx="9">
                  <c:v>67.3</c:v>
                </c:pt>
              </c:numCache>
            </c:numRef>
          </c:val>
          <c:extLst>
            <c:ext xmlns:c16="http://schemas.microsoft.com/office/drawing/2014/chart" uri="{C3380CC4-5D6E-409C-BE32-E72D297353CC}">
              <c16:uniqueId val="{00000001-3D1C-8B4D-B5A4-204560EE4755}"/>
            </c:ext>
          </c:extLst>
        </c:ser>
        <c:dLbls>
          <c:showLegendKey val="0"/>
          <c:showVal val="0"/>
          <c:showCatName val="0"/>
          <c:showSerName val="0"/>
          <c:showPercent val="0"/>
          <c:showBubbleSize val="0"/>
        </c:dLbls>
        <c:gapWidth val="219"/>
        <c:overlap val="-27"/>
        <c:axId val="-1369564496"/>
        <c:axId val="-1553424432"/>
      </c:barChart>
      <c:catAx>
        <c:axId val="-136956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3424432"/>
        <c:crosses val="autoZero"/>
        <c:auto val="1"/>
        <c:lblAlgn val="ctr"/>
        <c:lblOffset val="100"/>
        <c:noMultiLvlLbl val="0"/>
      </c:catAx>
      <c:valAx>
        <c:axId val="-1553424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9564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C80D8-9061-3640-8A38-B41AB20F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7619</Words>
  <Characters>43429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Microsoft Office User</cp:lastModifiedBy>
  <cp:revision>2</cp:revision>
  <cp:lastPrinted>2021-01-24T14:13:00Z</cp:lastPrinted>
  <dcterms:created xsi:type="dcterms:W3CDTF">2021-05-18T20:09:00Z</dcterms:created>
  <dcterms:modified xsi:type="dcterms:W3CDTF">2021-05-18T20:09:00Z</dcterms:modified>
</cp:coreProperties>
</file>