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81971" w14:textId="77777777" w:rsidR="0040017D" w:rsidRDefault="0040017D" w:rsidP="0040017D">
      <w:pPr>
        <w:pBdr>
          <w:top w:val="single" w:sz="4" w:space="1" w:color="auto"/>
          <w:left w:val="single" w:sz="4" w:space="4" w:color="auto"/>
          <w:bottom w:val="single" w:sz="4" w:space="1" w:color="auto"/>
          <w:right w:val="single" w:sz="4" w:space="4" w:color="auto"/>
        </w:pBdr>
        <w:tabs>
          <w:tab w:val="left" w:pos="2460"/>
        </w:tabs>
        <w:jc w:val="center"/>
        <w:rPr>
          <w:rFonts w:cstheme="minorHAnsi"/>
          <w:sz w:val="36"/>
          <w:szCs w:val="36"/>
        </w:rPr>
      </w:pPr>
    </w:p>
    <w:p w14:paraId="69013192" w14:textId="4523471E" w:rsidR="00B84A66" w:rsidRDefault="0040017D" w:rsidP="0040017D">
      <w:pPr>
        <w:pBdr>
          <w:top w:val="single" w:sz="4" w:space="1" w:color="auto"/>
          <w:left w:val="single" w:sz="4" w:space="4" w:color="auto"/>
          <w:bottom w:val="single" w:sz="4" w:space="1" w:color="auto"/>
          <w:right w:val="single" w:sz="4" w:space="4" w:color="auto"/>
        </w:pBdr>
        <w:tabs>
          <w:tab w:val="left" w:pos="2460"/>
        </w:tabs>
        <w:jc w:val="center"/>
        <w:rPr>
          <w:rFonts w:cstheme="minorHAnsi"/>
          <w:sz w:val="36"/>
          <w:szCs w:val="36"/>
        </w:rPr>
      </w:pPr>
      <w:r>
        <w:rPr>
          <w:rFonts w:cstheme="minorHAnsi"/>
          <w:sz w:val="36"/>
          <w:szCs w:val="36"/>
        </w:rPr>
        <w:t>KSD WORKING PAPER 12</w:t>
      </w:r>
    </w:p>
    <w:p w14:paraId="6DD78E06" w14:textId="77777777" w:rsidR="00B84A66" w:rsidRDefault="00B84A66" w:rsidP="0040017D">
      <w:pPr>
        <w:pBdr>
          <w:top w:val="single" w:sz="4" w:space="1" w:color="auto"/>
          <w:left w:val="single" w:sz="4" w:space="4" w:color="auto"/>
          <w:bottom w:val="single" w:sz="4" w:space="1" w:color="auto"/>
          <w:right w:val="single" w:sz="4" w:space="4" w:color="auto"/>
        </w:pBdr>
        <w:tabs>
          <w:tab w:val="left" w:pos="2460"/>
        </w:tabs>
        <w:ind w:firstLine="720"/>
        <w:jc w:val="center"/>
        <w:rPr>
          <w:rFonts w:cstheme="minorHAnsi"/>
          <w:sz w:val="36"/>
          <w:szCs w:val="36"/>
        </w:rPr>
      </w:pPr>
    </w:p>
    <w:p w14:paraId="0845C902" w14:textId="77777777" w:rsidR="00231A6F" w:rsidRDefault="00231A6F" w:rsidP="0040017D">
      <w:pPr>
        <w:pBdr>
          <w:top w:val="single" w:sz="4" w:space="1" w:color="auto"/>
          <w:left w:val="single" w:sz="4" w:space="4" w:color="auto"/>
          <w:bottom w:val="single" w:sz="4" w:space="1" w:color="auto"/>
          <w:right w:val="single" w:sz="4" w:space="4" w:color="auto"/>
        </w:pBdr>
        <w:tabs>
          <w:tab w:val="left" w:pos="2460"/>
        </w:tabs>
        <w:ind w:firstLine="720"/>
        <w:jc w:val="center"/>
        <w:rPr>
          <w:rFonts w:ascii="Calibri Light" w:hAnsi="Calibri Light" w:cs="Calibri Light"/>
          <w:sz w:val="36"/>
          <w:szCs w:val="36"/>
        </w:rPr>
      </w:pPr>
    </w:p>
    <w:p w14:paraId="783CF9CF" w14:textId="77777777" w:rsidR="00231A6F" w:rsidRDefault="00231A6F" w:rsidP="0040017D">
      <w:pPr>
        <w:pBdr>
          <w:top w:val="single" w:sz="4" w:space="1" w:color="auto"/>
          <w:left w:val="single" w:sz="4" w:space="4" w:color="auto"/>
          <w:bottom w:val="single" w:sz="4" w:space="1" w:color="auto"/>
          <w:right w:val="single" w:sz="4" w:space="4" w:color="auto"/>
        </w:pBdr>
        <w:tabs>
          <w:tab w:val="left" w:pos="2460"/>
        </w:tabs>
        <w:ind w:firstLine="720"/>
        <w:jc w:val="center"/>
        <w:rPr>
          <w:rFonts w:ascii="Calibri Light" w:hAnsi="Calibri Light" w:cs="Calibri Light"/>
          <w:sz w:val="36"/>
          <w:szCs w:val="36"/>
        </w:rPr>
      </w:pPr>
    </w:p>
    <w:p w14:paraId="17CE6052" w14:textId="77777777" w:rsidR="00156AAE" w:rsidRDefault="00B84A66" w:rsidP="0040017D">
      <w:pPr>
        <w:pBdr>
          <w:top w:val="single" w:sz="4" w:space="1" w:color="auto"/>
          <w:left w:val="single" w:sz="4" w:space="4" w:color="auto"/>
          <w:bottom w:val="single" w:sz="4" w:space="1" w:color="auto"/>
          <w:right w:val="single" w:sz="4" w:space="4" w:color="auto"/>
        </w:pBdr>
        <w:tabs>
          <w:tab w:val="left" w:pos="2460"/>
        </w:tabs>
        <w:ind w:firstLine="720"/>
        <w:jc w:val="center"/>
        <w:rPr>
          <w:rFonts w:ascii="Calibri Light" w:hAnsi="Calibri Light" w:cs="Calibri Light"/>
          <w:sz w:val="36"/>
          <w:szCs w:val="36"/>
        </w:rPr>
      </w:pPr>
      <w:r w:rsidRPr="00950023">
        <w:rPr>
          <w:rFonts w:ascii="Calibri Light" w:hAnsi="Calibri Light" w:cs="Calibri Light"/>
          <w:sz w:val="36"/>
          <w:szCs w:val="36"/>
        </w:rPr>
        <w:t xml:space="preserve">A </w:t>
      </w:r>
      <w:r w:rsidR="004767A4" w:rsidRPr="00950023">
        <w:rPr>
          <w:rFonts w:ascii="Calibri Light" w:hAnsi="Calibri Light" w:cs="Calibri Light"/>
          <w:sz w:val="36"/>
          <w:szCs w:val="36"/>
        </w:rPr>
        <w:t>RETREAT FROM GLOBALISATION?</w:t>
      </w:r>
      <w:r w:rsidRPr="00950023">
        <w:rPr>
          <w:rFonts w:ascii="Calibri Light" w:hAnsi="Calibri Light" w:cs="Calibri Light"/>
          <w:sz w:val="36"/>
          <w:szCs w:val="36"/>
        </w:rPr>
        <w:t xml:space="preserve"> </w:t>
      </w:r>
    </w:p>
    <w:p w14:paraId="6B39084D" w14:textId="6351E97A" w:rsidR="00B84A66" w:rsidRPr="00950023" w:rsidRDefault="00B84A66" w:rsidP="0040017D">
      <w:pPr>
        <w:pBdr>
          <w:top w:val="single" w:sz="4" w:space="1" w:color="auto"/>
          <w:left w:val="single" w:sz="4" w:space="4" w:color="auto"/>
          <w:bottom w:val="single" w:sz="4" w:space="1" w:color="auto"/>
          <w:right w:val="single" w:sz="4" w:space="4" w:color="auto"/>
        </w:pBdr>
        <w:tabs>
          <w:tab w:val="left" w:pos="2460"/>
        </w:tabs>
        <w:ind w:firstLine="720"/>
        <w:jc w:val="center"/>
        <w:rPr>
          <w:rFonts w:ascii="Calibri Light" w:hAnsi="Calibri Light" w:cs="Calibri Light"/>
          <w:sz w:val="36"/>
          <w:szCs w:val="36"/>
        </w:rPr>
      </w:pPr>
      <w:r w:rsidRPr="00950023">
        <w:rPr>
          <w:rFonts w:ascii="Calibri Light" w:hAnsi="Calibri Light" w:cs="Calibri Light"/>
          <w:sz w:val="36"/>
          <w:szCs w:val="36"/>
        </w:rPr>
        <w:t>THE IMPACT OF BREXIT AND THE COVID-19 PANDEMIC ON TRANSNATIONAL HIGHER EDUCATION IN THE UNITED KINGDOM</w:t>
      </w:r>
    </w:p>
    <w:p w14:paraId="5876D64B" w14:textId="77777777" w:rsidR="00156AAE" w:rsidRDefault="00156AAE" w:rsidP="0040017D">
      <w:pPr>
        <w:pBdr>
          <w:top w:val="single" w:sz="4" w:space="1" w:color="auto"/>
          <w:left w:val="single" w:sz="4" w:space="4" w:color="auto"/>
          <w:bottom w:val="single" w:sz="4" w:space="1" w:color="auto"/>
          <w:right w:val="single" w:sz="4" w:space="4" w:color="auto"/>
        </w:pBdr>
        <w:tabs>
          <w:tab w:val="left" w:pos="2460"/>
        </w:tabs>
        <w:ind w:firstLine="720"/>
        <w:jc w:val="center"/>
        <w:rPr>
          <w:rFonts w:ascii="Calibri Light" w:hAnsi="Calibri Light" w:cs="Calibri Light"/>
          <w:sz w:val="36"/>
          <w:szCs w:val="36"/>
        </w:rPr>
      </w:pPr>
    </w:p>
    <w:p w14:paraId="41F56FB4" w14:textId="2E41A5B8" w:rsidR="00B84A66" w:rsidRPr="00950023" w:rsidRDefault="00B84A66" w:rsidP="0040017D">
      <w:pPr>
        <w:pBdr>
          <w:top w:val="single" w:sz="4" w:space="1" w:color="auto"/>
          <w:left w:val="single" w:sz="4" w:space="4" w:color="auto"/>
          <w:bottom w:val="single" w:sz="4" w:space="1" w:color="auto"/>
          <w:right w:val="single" w:sz="4" w:space="4" w:color="auto"/>
        </w:pBdr>
        <w:tabs>
          <w:tab w:val="left" w:pos="2460"/>
        </w:tabs>
        <w:ind w:firstLine="720"/>
        <w:jc w:val="center"/>
        <w:rPr>
          <w:rFonts w:ascii="Calibri Light" w:hAnsi="Calibri Light" w:cs="Calibri Light"/>
          <w:sz w:val="36"/>
          <w:szCs w:val="36"/>
        </w:rPr>
      </w:pPr>
      <w:r w:rsidRPr="00950023">
        <w:rPr>
          <w:rFonts w:ascii="Calibri Light" w:hAnsi="Calibri Light" w:cs="Calibri Light"/>
          <w:sz w:val="36"/>
          <w:szCs w:val="36"/>
        </w:rPr>
        <w:t>PAUL BENNELL</w:t>
      </w:r>
    </w:p>
    <w:p w14:paraId="7FCB1DC2" w14:textId="61C47566" w:rsidR="00B84A66" w:rsidRPr="00950023" w:rsidRDefault="00B84A66" w:rsidP="0040017D">
      <w:pPr>
        <w:pBdr>
          <w:top w:val="single" w:sz="4" w:space="1" w:color="auto"/>
          <w:left w:val="single" w:sz="4" w:space="4" w:color="auto"/>
          <w:bottom w:val="single" w:sz="4" w:space="1" w:color="auto"/>
          <w:right w:val="single" w:sz="4" w:space="4" w:color="auto"/>
        </w:pBdr>
        <w:tabs>
          <w:tab w:val="left" w:pos="2460"/>
        </w:tabs>
        <w:ind w:firstLine="720"/>
        <w:jc w:val="center"/>
        <w:rPr>
          <w:rFonts w:ascii="Calibri Light" w:hAnsi="Calibri Light" w:cs="Calibri Light"/>
          <w:sz w:val="36"/>
          <w:szCs w:val="36"/>
        </w:rPr>
      </w:pPr>
      <w:r w:rsidRPr="00950023">
        <w:rPr>
          <w:rFonts w:ascii="Calibri Light" w:hAnsi="Calibri Light" w:cs="Calibri Light"/>
          <w:sz w:val="36"/>
          <w:szCs w:val="36"/>
        </w:rPr>
        <w:t>KNOWLEDGE AND SKILLS FOR DEVELOPMENT, BRIGHTON, UK.</w:t>
      </w:r>
    </w:p>
    <w:p w14:paraId="42DB5A16" w14:textId="77777777" w:rsidR="002C7FC8" w:rsidRDefault="002C7FC8" w:rsidP="0040017D">
      <w:pPr>
        <w:pBdr>
          <w:top w:val="single" w:sz="4" w:space="1" w:color="auto"/>
          <w:left w:val="single" w:sz="4" w:space="4" w:color="auto"/>
          <w:bottom w:val="single" w:sz="4" w:space="1" w:color="auto"/>
          <w:right w:val="single" w:sz="4" w:space="4" w:color="auto"/>
        </w:pBdr>
        <w:rPr>
          <w:rFonts w:ascii="Calibri Light" w:hAnsi="Calibri Light" w:cs="Calibri Light"/>
          <w:sz w:val="36"/>
          <w:szCs w:val="36"/>
        </w:rPr>
      </w:pPr>
    </w:p>
    <w:p w14:paraId="36C61586" w14:textId="77777777" w:rsidR="0040017D" w:rsidRDefault="0040017D" w:rsidP="0040017D">
      <w:pPr>
        <w:pBdr>
          <w:top w:val="single" w:sz="4" w:space="1" w:color="auto"/>
          <w:left w:val="single" w:sz="4" w:space="4" w:color="auto"/>
          <w:bottom w:val="single" w:sz="4" w:space="1" w:color="auto"/>
          <w:right w:val="single" w:sz="4" w:space="4" w:color="auto"/>
        </w:pBdr>
        <w:rPr>
          <w:rFonts w:ascii="Calibri Light" w:hAnsi="Calibri Light" w:cs="Calibri Light"/>
          <w:sz w:val="36"/>
          <w:szCs w:val="36"/>
        </w:rPr>
      </w:pPr>
    </w:p>
    <w:p w14:paraId="68348554" w14:textId="77777777" w:rsidR="0040017D" w:rsidRDefault="0040017D" w:rsidP="0040017D">
      <w:pPr>
        <w:pBdr>
          <w:top w:val="single" w:sz="4" w:space="1" w:color="auto"/>
          <w:left w:val="single" w:sz="4" w:space="4" w:color="auto"/>
          <w:bottom w:val="single" w:sz="4" w:space="1" w:color="auto"/>
          <w:right w:val="single" w:sz="4" w:space="4" w:color="auto"/>
        </w:pBdr>
        <w:rPr>
          <w:rFonts w:ascii="Calibri Light" w:hAnsi="Calibri Light" w:cs="Calibri Light"/>
          <w:sz w:val="36"/>
          <w:szCs w:val="36"/>
        </w:rPr>
      </w:pPr>
    </w:p>
    <w:p w14:paraId="41EBC494" w14:textId="77777777" w:rsidR="0040017D" w:rsidRDefault="0040017D" w:rsidP="0040017D">
      <w:pPr>
        <w:pBdr>
          <w:top w:val="single" w:sz="4" w:space="1" w:color="auto"/>
          <w:left w:val="single" w:sz="4" w:space="4" w:color="auto"/>
          <w:bottom w:val="single" w:sz="4" w:space="1" w:color="auto"/>
          <w:right w:val="single" w:sz="4" w:space="4" w:color="auto"/>
        </w:pBdr>
        <w:rPr>
          <w:rFonts w:ascii="Calibri Light" w:hAnsi="Calibri Light" w:cs="Calibri Light"/>
          <w:sz w:val="36"/>
          <w:szCs w:val="36"/>
        </w:rPr>
      </w:pPr>
    </w:p>
    <w:p w14:paraId="74A8BC1E" w14:textId="77777777" w:rsidR="00231A6F" w:rsidRDefault="00231A6F" w:rsidP="0040017D">
      <w:pPr>
        <w:pBdr>
          <w:top w:val="single" w:sz="4" w:space="1" w:color="auto"/>
          <w:left w:val="single" w:sz="4" w:space="4" w:color="auto"/>
          <w:bottom w:val="single" w:sz="4" w:space="1" w:color="auto"/>
          <w:right w:val="single" w:sz="4" w:space="4" w:color="auto"/>
        </w:pBdr>
        <w:rPr>
          <w:rFonts w:ascii="Calibri Light" w:hAnsi="Calibri Light" w:cs="Calibri Light"/>
          <w:sz w:val="36"/>
          <w:szCs w:val="36"/>
        </w:rPr>
      </w:pPr>
    </w:p>
    <w:p w14:paraId="0CE12C2C" w14:textId="77777777" w:rsidR="0040017D" w:rsidRPr="00950023" w:rsidRDefault="0040017D" w:rsidP="0040017D">
      <w:pPr>
        <w:pBdr>
          <w:top w:val="single" w:sz="4" w:space="1" w:color="auto"/>
          <w:left w:val="single" w:sz="4" w:space="4" w:color="auto"/>
          <w:bottom w:val="single" w:sz="4" w:space="1" w:color="auto"/>
          <w:right w:val="single" w:sz="4" w:space="4" w:color="auto"/>
        </w:pBdr>
        <w:rPr>
          <w:rFonts w:ascii="Calibri Light" w:hAnsi="Calibri Light" w:cs="Calibri Light"/>
          <w:sz w:val="36"/>
          <w:szCs w:val="36"/>
        </w:rPr>
      </w:pPr>
    </w:p>
    <w:p w14:paraId="470A81EE" w14:textId="0F448467" w:rsidR="002C7FC8" w:rsidRDefault="0040017D" w:rsidP="0040017D">
      <w:pPr>
        <w:pBdr>
          <w:top w:val="single" w:sz="4" w:space="1" w:color="auto"/>
          <w:left w:val="single" w:sz="4" w:space="4" w:color="auto"/>
          <w:bottom w:val="single" w:sz="4" w:space="1" w:color="auto"/>
          <w:right w:val="single" w:sz="4" w:space="4" w:color="auto"/>
        </w:pBdr>
        <w:tabs>
          <w:tab w:val="left" w:pos="2460"/>
        </w:tabs>
        <w:jc w:val="center"/>
        <w:rPr>
          <w:rFonts w:ascii="Calibri Light" w:hAnsi="Calibri Light" w:cs="Calibri Light"/>
          <w:sz w:val="28"/>
          <w:szCs w:val="28"/>
        </w:rPr>
      </w:pPr>
      <w:r>
        <w:rPr>
          <w:rFonts w:ascii="Calibri Light" w:hAnsi="Calibri Light" w:cs="Calibri Light"/>
          <w:sz w:val="28"/>
          <w:szCs w:val="28"/>
        </w:rPr>
        <w:t>MAY 2021</w:t>
      </w:r>
      <w:r w:rsidR="002C7FC8">
        <w:rPr>
          <w:rFonts w:ascii="Calibri Light" w:hAnsi="Calibri Light" w:cs="Calibri Light"/>
          <w:sz w:val="28"/>
          <w:szCs w:val="28"/>
        </w:rPr>
        <w:br/>
      </w:r>
    </w:p>
    <w:p w14:paraId="76371F5E" w14:textId="56488138" w:rsidR="002C7FC8" w:rsidRDefault="002C7FC8">
      <w:pPr>
        <w:rPr>
          <w:rFonts w:ascii="Calibri Light" w:hAnsi="Calibri Light" w:cs="Calibri Light"/>
          <w:sz w:val="28"/>
          <w:szCs w:val="28"/>
        </w:rPr>
      </w:pPr>
    </w:p>
    <w:p w14:paraId="0B0DB86F" w14:textId="79275D67" w:rsidR="004767A4" w:rsidRDefault="004767A4" w:rsidP="004767A4">
      <w:pPr>
        <w:tabs>
          <w:tab w:val="left" w:pos="2460"/>
        </w:tabs>
        <w:jc w:val="center"/>
        <w:rPr>
          <w:rFonts w:ascii="Calibri Light" w:hAnsi="Calibri Light" w:cs="Calibri Light"/>
          <w:sz w:val="28"/>
          <w:szCs w:val="28"/>
        </w:rPr>
      </w:pPr>
      <w:r>
        <w:rPr>
          <w:rFonts w:ascii="Calibri Light" w:hAnsi="Calibri Light" w:cs="Calibri Light"/>
          <w:sz w:val="28"/>
          <w:szCs w:val="28"/>
        </w:rPr>
        <w:t>ABSTRACT</w:t>
      </w:r>
    </w:p>
    <w:p w14:paraId="745C2E88" w14:textId="2A81EF26" w:rsidR="00B84A66" w:rsidRPr="004767A4" w:rsidRDefault="00BE6CA4" w:rsidP="00B84A66">
      <w:pPr>
        <w:tabs>
          <w:tab w:val="left" w:pos="2460"/>
        </w:tabs>
        <w:jc w:val="both"/>
        <w:rPr>
          <w:rFonts w:ascii="Calibri Light" w:hAnsi="Calibri Light" w:cs="Calibri Light"/>
          <w:sz w:val="28"/>
          <w:szCs w:val="28"/>
        </w:rPr>
      </w:pPr>
      <w:r w:rsidRPr="004767A4">
        <w:rPr>
          <w:rFonts w:ascii="Calibri Light" w:hAnsi="Calibri Light" w:cs="Calibri Light"/>
          <w:sz w:val="28"/>
          <w:szCs w:val="28"/>
        </w:rPr>
        <w:t>Th</w:t>
      </w:r>
      <w:r w:rsidR="00281044">
        <w:rPr>
          <w:rFonts w:ascii="Calibri Light" w:hAnsi="Calibri Light" w:cs="Calibri Light"/>
          <w:sz w:val="28"/>
          <w:szCs w:val="28"/>
        </w:rPr>
        <w:t xml:space="preserve">is article </w:t>
      </w:r>
      <w:r w:rsidR="002C7FC8">
        <w:rPr>
          <w:rFonts w:ascii="Calibri Light" w:hAnsi="Calibri Light" w:cs="Calibri Light"/>
          <w:sz w:val="28"/>
          <w:szCs w:val="28"/>
        </w:rPr>
        <w:t xml:space="preserve">assesses </w:t>
      </w:r>
      <w:r w:rsidR="00B84A66" w:rsidRPr="004767A4">
        <w:rPr>
          <w:rFonts w:ascii="Calibri Light" w:hAnsi="Calibri Light" w:cs="Calibri Light"/>
          <w:sz w:val="28"/>
          <w:szCs w:val="28"/>
        </w:rPr>
        <w:t>the impact of the departure of the UK from the European Union</w:t>
      </w:r>
      <w:r w:rsidR="005A4EAA">
        <w:rPr>
          <w:rFonts w:ascii="Calibri Light" w:hAnsi="Calibri Light" w:cs="Calibri Light"/>
          <w:sz w:val="28"/>
          <w:szCs w:val="28"/>
        </w:rPr>
        <w:t xml:space="preserve"> (Brexit)</w:t>
      </w:r>
      <w:r w:rsidR="00B84A66" w:rsidRPr="004767A4">
        <w:rPr>
          <w:rFonts w:ascii="Calibri Light" w:hAnsi="Calibri Light" w:cs="Calibri Light"/>
          <w:sz w:val="28"/>
          <w:szCs w:val="28"/>
        </w:rPr>
        <w:t xml:space="preserve"> and the COVID-19 pandemic on the enrolments of offshore overseas </w:t>
      </w:r>
      <w:r w:rsidR="005E67A5">
        <w:rPr>
          <w:rFonts w:ascii="Calibri Light" w:hAnsi="Calibri Light" w:cs="Calibri Light"/>
          <w:sz w:val="28"/>
          <w:szCs w:val="28"/>
        </w:rPr>
        <w:t xml:space="preserve">(transnational) </w:t>
      </w:r>
      <w:r w:rsidR="00B84A66" w:rsidRPr="004767A4">
        <w:rPr>
          <w:rFonts w:ascii="Calibri Light" w:hAnsi="Calibri Light" w:cs="Calibri Light"/>
          <w:sz w:val="28"/>
          <w:szCs w:val="28"/>
        </w:rPr>
        <w:t>students at British universities.</w:t>
      </w:r>
      <w:r w:rsidR="004767A4">
        <w:rPr>
          <w:rFonts w:ascii="Calibri Light" w:hAnsi="Calibri Light" w:cs="Calibri Light"/>
          <w:sz w:val="28"/>
          <w:szCs w:val="28"/>
        </w:rPr>
        <w:t xml:space="preserve"> Over three-quarters of British universities furnished basic information on </w:t>
      </w:r>
      <w:r w:rsidR="00BC2D2E">
        <w:rPr>
          <w:rFonts w:ascii="Calibri Light" w:hAnsi="Calibri Light" w:cs="Calibri Light"/>
          <w:sz w:val="28"/>
          <w:szCs w:val="28"/>
        </w:rPr>
        <w:t xml:space="preserve">their </w:t>
      </w:r>
      <w:r w:rsidR="004767A4">
        <w:rPr>
          <w:rFonts w:ascii="Calibri Light" w:hAnsi="Calibri Light" w:cs="Calibri Light"/>
          <w:sz w:val="28"/>
          <w:szCs w:val="28"/>
        </w:rPr>
        <w:t xml:space="preserve">enrolments of offshore overseas students in November-December 2020. </w:t>
      </w:r>
      <w:r w:rsidR="005E67A5">
        <w:rPr>
          <w:rFonts w:ascii="Calibri Light" w:hAnsi="Calibri Light" w:cs="Calibri Light"/>
          <w:sz w:val="28"/>
          <w:szCs w:val="28"/>
        </w:rPr>
        <w:t xml:space="preserve"> Globally, overall enrolments fell by nearly 20% between academic years 2019/20 to (first term) 2020/21 with the largest declines being recorded for institutional partnerships in the res</w:t>
      </w:r>
      <w:r w:rsidR="00E10CE9">
        <w:rPr>
          <w:rFonts w:ascii="Calibri Light" w:hAnsi="Calibri Light" w:cs="Calibri Light"/>
          <w:sz w:val="28"/>
          <w:szCs w:val="28"/>
        </w:rPr>
        <w:t>t of the world (principally South and South-E</w:t>
      </w:r>
      <w:r w:rsidR="005E67A5">
        <w:rPr>
          <w:rFonts w:ascii="Calibri Light" w:hAnsi="Calibri Light" w:cs="Calibri Light"/>
          <w:sz w:val="28"/>
          <w:szCs w:val="28"/>
        </w:rPr>
        <w:t xml:space="preserve">ast Asia and the Middle East). On balance, the overall impact of Brexit on EU enrolments </w:t>
      </w:r>
      <w:r w:rsidR="00E10CE9">
        <w:rPr>
          <w:rFonts w:ascii="Calibri Light" w:hAnsi="Calibri Light" w:cs="Calibri Light"/>
          <w:sz w:val="28"/>
          <w:szCs w:val="28"/>
        </w:rPr>
        <w:t xml:space="preserve">has </w:t>
      </w:r>
      <w:r w:rsidR="005E67A5">
        <w:rPr>
          <w:rFonts w:ascii="Calibri Light" w:hAnsi="Calibri Light" w:cs="Calibri Light"/>
          <w:sz w:val="28"/>
          <w:szCs w:val="28"/>
        </w:rPr>
        <w:t xml:space="preserve">been quite limited and may even have </w:t>
      </w:r>
      <w:r w:rsidR="00BC2D2E">
        <w:rPr>
          <w:rFonts w:ascii="Calibri Light" w:hAnsi="Calibri Light" w:cs="Calibri Light"/>
          <w:sz w:val="28"/>
          <w:szCs w:val="28"/>
        </w:rPr>
        <w:t xml:space="preserve">largely </w:t>
      </w:r>
      <w:r w:rsidR="005E67A5">
        <w:rPr>
          <w:rFonts w:ascii="Calibri Light" w:hAnsi="Calibri Light" w:cs="Calibri Light"/>
          <w:sz w:val="28"/>
          <w:szCs w:val="28"/>
        </w:rPr>
        <w:t xml:space="preserve">counteracted the more severe and immediate negative enrolment shock from Covid-19. </w:t>
      </w:r>
    </w:p>
    <w:p w14:paraId="3F9282DC" w14:textId="144CA412" w:rsidR="004F06BA" w:rsidRDefault="004F06BA" w:rsidP="005A0027">
      <w:pPr>
        <w:jc w:val="both"/>
        <w:rPr>
          <w:rFonts w:ascii="Arial" w:hAnsi="Arial" w:cs="Arial"/>
          <w:b/>
          <w:sz w:val="24"/>
          <w:szCs w:val="24"/>
          <w:highlight w:val="lightGray"/>
        </w:rPr>
      </w:pPr>
      <w:r>
        <w:rPr>
          <w:rFonts w:ascii="Arial" w:hAnsi="Arial" w:cs="Arial"/>
          <w:b/>
          <w:sz w:val="24"/>
          <w:szCs w:val="24"/>
          <w:highlight w:val="lightGray"/>
        </w:rPr>
        <w:br w:type="page"/>
      </w:r>
    </w:p>
    <w:p w14:paraId="1B7276F0" w14:textId="77777777" w:rsidR="007737C8" w:rsidRDefault="007737C8" w:rsidP="007737C8">
      <w:pPr>
        <w:pStyle w:val="Heading1"/>
        <w:numPr>
          <w:ilvl w:val="0"/>
          <w:numId w:val="0"/>
        </w:numPr>
        <w:ind w:left="720" w:hanging="360"/>
        <w:rPr>
          <w:rFonts w:ascii="Calibri Light" w:hAnsi="Calibri Light" w:cs="Calibri Light"/>
          <w:i/>
          <w:sz w:val="28"/>
          <w:szCs w:val="28"/>
        </w:rPr>
      </w:pPr>
      <w:bookmarkStart w:id="0" w:name="_Toc531957295"/>
    </w:p>
    <w:p w14:paraId="52A7E87F" w14:textId="27D99002" w:rsidR="007737C8" w:rsidRDefault="007737C8" w:rsidP="007737C8">
      <w:pPr>
        <w:tabs>
          <w:tab w:val="left" w:pos="2460"/>
        </w:tabs>
        <w:jc w:val="center"/>
        <w:rPr>
          <w:rFonts w:ascii="Calibri Light" w:hAnsi="Calibri Light" w:cs="Calibri Light"/>
          <w:b/>
          <w:sz w:val="28"/>
          <w:szCs w:val="28"/>
        </w:rPr>
      </w:pPr>
      <w:r w:rsidRPr="007737C8">
        <w:rPr>
          <w:rFonts w:ascii="Calibri Light" w:hAnsi="Calibri Light" w:cs="Calibri Light"/>
          <w:b/>
          <w:sz w:val="28"/>
          <w:szCs w:val="28"/>
        </w:rPr>
        <w:t>A RETREAT FROM GLOBALISATION?</w:t>
      </w:r>
    </w:p>
    <w:p w14:paraId="4CD10BD0" w14:textId="0E8F3B10" w:rsidR="007737C8" w:rsidRPr="007737C8" w:rsidRDefault="007737C8" w:rsidP="007737C8">
      <w:pPr>
        <w:tabs>
          <w:tab w:val="left" w:pos="2460"/>
        </w:tabs>
        <w:jc w:val="center"/>
        <w:rPr>
          <w:rFonts w:ascii="Calibri Light" w:hAnsi="Calibri Light" w:cs="Calibri Light"/>
          <w:b/>
          <w:sz w:val="28"/>
          <w:szCs w:val="28"/>
        </w:rPr>
      </w:pPr>
      <w:r w:rsidRPr="007737C8">
        <w:rPr>
          <w:rFonts w:ascii="Calibri Light" w:hAnsi="Calibri Light" w:cs="Calibri Light"/>
          <w:b/>
          <w:sz w:val="28"/>
          <w:szCs w:val="28"/>
        </w:rPr>
        <w:t>THE IMPACT OF BREXIT AND THE COVID-19 PANDEMIC ON TRANSNATIONAL HIGHER EDUCATION IN THE UNITED KINGDOM</w:t>
      </w:r>
    </w:p>
    <w:p w14:paraId="0ABF0874" w14:textId="191CC7B8" w:rsidR="007737C8" w:rsidRPr="00950023" w:rsidRDefault="007737C8" w:rsidP="007737C8">
      <w:pPr>
        <w:tabs>
          <w:tab w:val="left" w:pos="2460"/>
        </w:tabs>
        <w:ind w:firstLine="720"/>
        <w:jc w:val="center"/>
        <w:rPr>
          <w:rFonts w:ascii="Calibri Light" w:hAnsi="Calibri Light" w:cs="Calibri Light"/>
          <w:sz w:val="36"/>
          <w:szCs w:val="36"/>
        </w:rPr>
      </w:pPr>
    </w:p>
    <w:p w14:paraId="0ACB4C6B" w14:textId="355DDBB5" w:rsidR="00AD033A" w:rsidRPr="005A4EAA" w:rsidRDefault="00AF34C7" w:rsidP="007737C8">
      <w:pPr>
        <w:pStyle w:val="Heading1"/>
        <w:numPr>
          <w:ilvl w:val="0"/>
          <w:numId w:val="25"/>
        </w:numPr>
        <w:rPr>
          <w:rFonts w:ascii="Calibri Light" w:hAnsi="Calibri Light" w:cs="Calibri Light"/>
          <w:i/>
          <w:sz w:val="28"/>
          <w:szCs w:val="28"/>
        </w:rPr>
      </w:pPr>
      <w:r w:rsidRPr="005A4EAA">
        <w:rPr>
          <w:rFonts w:ascii="Calibri Light" w:hAnsi="Calibri Light" w:cs="Calibri Light"/>
          <w:i/>
          <w:sz w:val="28"/>
          <w:szCs w:val="28"/>
        </w:rPr>
        <w:t>I</w:t>
      </w:r>
      <w:bookmarkEnd w:id="0"/>
      <w:r w:rsidR="006F75A8" w:rsidRPr="005A4EAA">
        <w:rPr>
          <w:rFonts w:ascii="Calibri Light" w:hAnsi="Calibri Light" w:cs="Calibri Light"/>
          <w:i/>
          <w:sz w:val="28"/>
          <w:szCs w:val="28"/>
        </w:rPr>
        <w:t>ntroduction</w:t>
      </w:r>
    </w:p>
    <w:p w14:paraId="547CECBE" w14:textId="5555E39E" w:rsidR="005A0027" w:rsidRDefault="005A0027" w:rsidP="00E114E2">
      <w:pPr>
        <w:jc w:val="both"/>
        <w:rPr>
          <w:rFonts w:ascii="Calibri Light" w:hAnsi="Calibri Light" w:cs="Calibri Light"/>
          <w:sz w:val="28"/>
          <w:szCs w:val="28"/>
        </w:rPr>
      </w:pPr>
      <w:r w:rsidRPr="00B84A66">
        <w:rPr>
          <w:rFonts w:ascii="Calibri Light" w:hAnsi="Calibri Light" w:cs="Calibri Light"/>
          <w:sz w:val="28"/>
          <w:szCs w:val="28"/>
        </w:rPr>
        <w:t xml:space="preserve">This </w:t>
      </w:r>
      <w:r w:rsidR="002C7FC8">
        <w:rPr>
          <w:rFonts w:ascii="Calibri Light" w:hAnsi="Calibri Light" w:cs="Calibri Light"/>
          <w:sz w:val="28"/>
          <w:szCs w:val="28"/>
        </w:rPr>
        <w:t>article</w:t>
      </w:r>
      <w:r w:rsidRPr="00B84A66">
        <w:rPr>
          <w:rFonts w:ascii="Calibri Light" w:hAnsi="Calibri Light" w:cs="Calibri Light"/>
          <w:sz w:val="28"/>
          <w:szCs w:val="28"/>
        </w:rPr>
        <w:t xml:space="preserve"> presents the results of empirical researc</w:t>
      </w:r>
      <w:r w:rsidR="006B2EBF">
        <w:rPr>
          <w:rFonts w:ascii="Calibri Light" w:hAnsi="Calibri Light" w:cs="Calibri Light"/>
          <w:sz w:val="28"/>
          <w:szCs w:val="28"/>
        </w:rPr>
        <w:t xml:space="preserve">h which analyses the immediate and likely </w:t>
      </w:r>
      <w:r w:rsidRPr="00B84A66">
        <w:rPr>
          <w:rFonts w:ascii="Calibri Light" w:hAnsi="Calibri Light" w:cs="Calibri Light"/>
          <w:sz w:val="28"/>
          <w:szCs w:val="28"/>
        </w:rPr>
        <w:t xml:space="preserve">short-term impacts on the </w:t>
      </w:r>
      <w:r w:rsidR="002C7FC8">
        <w:rPr>
          <w:rFonts w:ascii="Calibri Light" w:hAnsi="Calibri Light" w:cs="Calibri Light"/>
          <w:sz w:val="28"/>
          <w:szCs w:val="28"/>
        </w:rPr>
        <w:t>enrolment of o</w:t>
      </w:r>
      <w:r w:rsidRPr="00B84A66">
        <w:rPr>
          <w:rFonts w:ascii="Calibri Light" w:hAnsi="Calibri Light" w:cs="Calibri Light"/>
          <w:sz w:val="28"/>
          <w:szCs w:val="28"/>
        </w:rPr>
        <w:t xml:space="preserve">ffshore overseas students </w:t>
      </w:r>
      <w:r w:rsidR="006B2EBF">
        <w:rPr>
          <w:rFonts w:ascii="Calibri Light" w:hAnsi="Calibri Light" w:cs="Calibri Light"/>
          <w:sz w:val="28"/>
          <w:szCs w:val="28"/>
        </w:rPr>
        <w:t xml:space="preserve">studying for degrees </w:t>
      </w:r>
      <w:r w:rsidRPr="00B84A66">
        <w:rPr>
          <w:rFonts w:ascii="Calibri Light" w:hAnsi="Calibri Light" w:cs="Calibri Light"/>
          <w:sz w:val="28"/>
          <w:szCs w:val="28"/>
        </w:rPr>
        <w:t xml:space="preserve">at British universities </w:t>
      </w:r>
      <w:r w:rsidR="00C846ED">
        <w:rPr>
          <w:rFonts w:ascii="Calibri Light" w:hAnsi="Calibri Light" w:cs="Calibri Light"/>
          <w:sz w:val="28"/>
          <w:szCs w:val="28"/>
        </w:rPr>
        <w:t xml:space="preserve">of </w:t>
      </w:r>
      <w:r w:rsidRPr="00B84A66">
        <w:rPr>
          <w:rFonts w:ascii="Calibri Light" w:hAnsi="Calibri Light" w:cs="Calibri Light"/>
          <w:sz w:val="28"/>
          <w:szCs w:val="28"/>
        </w:rPr>
        <w:t xml:space="preserve">the UK’s </w:t>
      </w:r>
      <w:r w:rsidR="00C846ED">
        <w:rPr>
          <w:rFonts w:ascii="Calibri Light" w:hAnsi="Calibri Light" w:cs="Calibri Light"/>
          <w:sz w:val="28"/>
          <w:szCs w:val="28"/>
        </w:rPr>
        <w:t xml:space="preserve">protracted </w:t>
      </w:r>
      <w:r w:rsidRPr="00B84A66">
        <w:rPr>
          <w:rFonts w:ascii="Calibri Light" w:hAnsi="Calibri Light" w:cs="Calibri Light"/>
          <w:sz w:val="28"/>
          <w:szCs w:val="28"/>
        </w:rPr>
        <w:t xml:space="preserve">exit from the European Union (Brexit) </w:t>
      </w:r>
      <w:r w:rsidR="005E67A5">
        <w:rPr>
          <w:rFonts w:ascii="Calibri Light" w:hAnsi="Calibri Light" w:cs="Calibri Light"/>
          <w:sz w:val="28"/>
          <w:szCs w:val="28"/>
        </w:rPr>
        <w:t xml:space="preserve">between June 2016 and December 2020 </w:t>
      </w:r>
      <w:r w:rsidRPr="00B84A66">
        <w:rPr>
          <w:rFonts w:ascii="Calibri Light" w:hAnsi="Calibri Light" w:cs="Calibri Light"/>
          <w:sz w:val="28"/>
          <w:szCs w:val="28"/>
        </w:rPr>
        <w:t xml:space="preserve">and the </w:t>
      </w:r>
      <w:r w:rsidR="00051DDE">
        <w:rPr>
          <w:rFonts w:ascii="Calibri Light" w:hAnsi="Calibri Light" w:cs="Calibri Light"/>
          <w:sz w:val="28"/>
          <w:szCs w:val="28"/>
        </w:rPr>
        <w:t xml:space="preserve">even more dramatic and unexpected shock of the </w:t>
      </w:r>
      <w:r w:rsidRPr="00B84A66">
        <w:rPr>
          <w:rFonts w:ascii="Calibri Light" w:hAnsi="Calibri Light" w:cs="Calibri Light"/>
          <w:sz w:val="28"/>
          <w:szCs w:val="28"/>
        </w:rPr>
        <w:t>COVID-19 pandemic</w:t>
      </w:r>
      <w:r w:rsidR="00051DDE">
        <w:rPr>
          <w:rFonts w:ascii="Calibri Light" w:hAnsi="Calibri Light" w:cs="Calibri Light"/>
          <w:sz w:val="28"/>
          <w:szCs w:val="28"/>
        </w:rPr>
        <w:t xml:space="preserve"> </w:t>
      </w:r>
      <w:r w:rsidR="00BC2D2E">
        <w:rPr>
          <w:rFonts w:ascii="Calibri Light" w:hAnsi="Calibri Light" w:cs="Calibri Light"/>
          <w:sz w:val="28"/>
          <w:szCs w:val="28"/>
        </w:rPr>
        <w:t xml:space="preserve">since </w:t>
      </w:r>
      <w:r w:rsidR="00051DDE">
        <w:rPr>
          <w:rFonts w:ascii="Calibri Light" w:hAnsi="Calibri Light" w:cs="Calibri Light"/>
          <w:sz w:val="28"/>
          <w:szCs w:val="28"/>
        </w:rPr>
        <w:t>March 2020</w:t>
      </w:r>
      <w:r w:rsidRPr="00B84A66">
        <w:rPr>
          <w:rFonts w:ascii="Calibri Light" w:hAnsi="Calibri Light" w:cs="Calibri Light"/>
          <w:sz w:val="28"/>
          <w:szCs w:val="28"/>
        </w:rPr>
        <w:t>.</w:t>
      </w:r>
      <w:r w:rsidR="00051DDE">
        <w:rPr>
          <w:rFonts w:ascii="Calibri Light" w:hAnsi="Calibri Light" w:cs="Calibri Light"/>
          <w:sz w:val="28"/>
          <w:szCs w:val="28"/>
        </w:rPr>
        <w:t xml:space="preserve"> Key information on the level and trends in UK offshore provision during the last decade are also presented in order to provide the contextual background needed to assess the impact of these two potentially very serious albeit quite different </w:t>
      </w:r>
      <w:r w:rsidR="00C846ED">
        <w:rPr>
          <w:rFonts w:ascii="Calibri Light" w:hAnsi="Calibri Light" w:cs="Calibri Light"/>
          <w:sz w:val="28"/>
          <w:szCs w:val="28"/>
        </w:rPr>
        <w:t xml:space="preserve">types of </w:t>
      </w:r>
      <w:r w:rsidR="00051DDE">
        <w:rPr>
          <w:rFonts w:ascii="Calibri Light" w:hAnsi="Calibri Light" w:cs="Calibri Light"/>
          <w:sz w:val="28"/>
          <w:szCs w:val="28"/>
        </w:rPr>
        <w:t xml:space="preserve">shock.   </w:t>
      </w:r>
    </w:p>
    <w:p w14:paraId="033C29A1" w14:textId="6B7FDE65" w:rsidR="0076279F" w:rsidRPr="00B84A66" w:rsidRDefault="00051DDE" w:rsidP="0076279F">
      <w:pPr>
        <w:jc w:val="both"/>
        <w:rPr>
          <w:rFonts w:ascii="Calibri Light" w:hAnsi="Calibri Light" w:cs="Calibri Light"/>
          <w:sz w:val="28"/>
          <w:szCs w:val="28"/>
        </w:rPr>
      </w:pPr>
      <w:r>
        <w:rPr>
          <w:rFonts w:ascii="Calibri Light" w:hAnsi="Calibri Light" w:cs="Calibri Light"/>
          <w:sz w:val="28"/>
          <w:szCs w:val="28"/>
        </w:rPr>
        <w:t xml:space="preserve">Offshore overseas students study for (in this case British) university degrees without ever </w:t>
      </w:r>
      <w:r w:rsidR="003C7F32">
        <w:rPr>
          <w:rFonts w:ascii="Calibri Light" w:hAnsi="Calibri Light" w:cs="Calibri Light"/>
          <w:sz w:val="28"/>
          <w:szCs w:val="28"/>
        </w:rPr>
        <w:t xml:space="preserve">physically studying in </w:t>
      </w:r>
      <w:r>
        <w:rPr>
          <w:rFonts w:ascii="Calibri Light" w:hAnsi="Calibri Light" w:cs="Calibri Light"/>
          <w:sz w:val="28"/>
          <w:szCs w:val="28"/>
        </w:rPr>
        <w:t xml:space="preserve">the UK. </w:t>
      </w:r>
      <w:r w:rsidR="003C7F32">
        <w:rPr>
          <w:rFonts w:ascii="Calibri Light" w:hAnsi="Calibri Light" w:cs="Calibri Light"/>
          <w:sz w:val="28"/>
          <w:szCs w:val="28"/>
        </w:rPr>
        <w:t>Not only are they widely dispersed spatially across the world, but there are three main types of offshore provision (branch campuses, distance learning and institutional partnerships) which significantly adds to the complexity of the</w:t>
      </w:r>
      <w:r w:rsidR="00C846ED">
        <w:rPr>
          <w:rFonts w:ascii="Calibri Light" w:hAnsi="Calibri Light" w:cs="Calibri Light"/>
          <w:sz w:val="28"/>
          <w:szCs w:val="28"/>
        </w:rPr>
        <w:t xml:space="preserve"> structure and functioning of </w:t>
      </w:r>
      <w:r w:rsidR="003C7F32">
        <w:rPr>
          <w:rFonts w:ascii="Calibri Light" w:hAnsi="Calibri Light" w:cs="Calibri Light"/>
          <w:sz w:val="28"/>
          <w:szCs w:val="28"/>
        </w:rPr>
        <w:t>markets</w:t>
      </w:r>
      <w:r w:rsidR="00C846ED">
        <w:rPr>
          <w:rFonts w:ascii="Calibri Light" w:hAnsi="Calibri Light" w:cs="Calibri Light"/>
          <w:sz w:val="28"/>
          <w:szCs w:val="28"/>
        </w:rPr>
        <w:t xml:space="preserve"> for transnational education</w:t>
      </w:r>
      <w:r w:rsidR="003C7F32">
        <w:rPr>
          <w:rFonts w:ascii="Calibri Light" w:hAnsi="Calibri Light" w:cs="Calibri Light"/>
          <w:sz w:val="28"/>
          <w:szCs w:val="28"/>
        </w:rPr>
        <w:t xml:space="preserve"> and thus the overall methodological challenges in assessing </w:t>
      </w:r>
      <w:r w:rsidR="006412F5">
        <w:rPr>
          <w:rFonts w:ascii="Calibri Light" w:hAnsi="Calibri Light" w:cs="Calibri Light"/>
          <w:sz w:val="28"/>
          <w:szCs w:val="28"/>
        </w:rPr>
        <w:t xml:space="preserve">both </w:t>
      </w:r>
      <w:r w:rsidR="003C7F32">
        <w:rPr>
          <w:rFonts w:ascii="Calibri Light" w:hAnsi="Calibri Light" w:cs="Calibri Light"/>
          <w:sz w:val="28"/>
          <w:szCs w:val="28"/>
        </w:rPr>
        <w:t xml:space="preserve">the </w:t>
      </w:r>
      <w:r w:rsidR="006412F5">
        <w:rPr>
          <w:rFonts w:ascii="Calibri Light" w:hAnsi="Calibri Light" w:cs="Calibri Light"/>
          <w:sz w:val="28"/>
          <w:szCs w:val="28"/>
        </w:rPr>
        <w:t xml:space="preserve">immediate and possible medium-longer term </w:t>
      </w:r>
      <w:r w:rsidR="003C7F32">
        <w:rPr>
          <w:rFonts w:ascii="Calibri Light" w:hAnsi="Calibri Light" w:cs="Calibri Light"/>
          <w:sz w:val="28"/>
          <w:szCs w:val="28"/>
        </w:rPr>
        <w:t xml:space="preserve">impacts of the Brexit-Covid (BC) shocks on enrolments, both globally and regionally. </w:t>
      </w:r>
      <w:r>
        <w:rPr>
          <w:rFonts w:ascii="Calibri Light" w:hAnsi="Calibri Light" w:cs="Calibri Light"/>
          <w:sz w:val="28"/>
          <w:szCs w:val="28"/>
        </w:rPr>
        <w:t xml:space="preserve"> </w:t>
      </w:r>
    </w:p>
    <w:p w14:paraId="014B5B6A" w14:textId="2B316766" w:rsidR="006412F5" w:rsidRDefault="006412F5" w:rsidP="00E114E2">
      <w:pPr>
        <w:jc w:val="both"/>
        <w:rPr>
          <w:rFonts w:ascii="Calibri Light" w:hAnsi="Calibri Light" w:cs="Calibri Light"/>
          <w:sz w:val="28"/>
          <w:szCs w:val="28"/>
        </w:rPr>
      </w:pPr>
      <w:r>
        <w:rPr>
          <w:rFonts w:ascii="Calibri Light" w:hAnsi="Calibri Light" w:cs="Calibri Light"/>
          <w:sz w:val="28"/>
          <w:szCs w:val="28"/>
        </w:rPr>
        <w:t xml:space="preserve">This </w:t>
      </w:r>
      <w:r w:rsidR="00C846ED">
        <w:rPr>
          <w:rFonts w:ascii="Calibri Light" w:hAnsi="Calibri Light" w:cs="Calibri Light"/>
          <w:sz w:val="28"/>
          <w:szCs w:val="28"/>
        </w:rPr>
        <w:t>article focuses mainly on the immediate and</w:t>
      </w:r>
      <w:r>
        <w:rPr>
          <w:rFonts w:ascii="Calibri Light" w:hAnsi="Calibri Light" w:cs="Calibri Light"/>
          <w:sz w:val="28"/>
          <w:szCs w:val="28"/>
        </w:rPr>
        <w:t xml:space="preserve"> shorter-term impacts of these the shocks. </w:t>
      </w:r>
      <w:r w:rsidR="00BC2D2E">
        <w:rPr>
          <w:rFonts w:ascii="Calibri Light" w:hAnsi="Calibri Light" w:cs="Calibri Light"/>
          <w:sz w:val="28"/>
          <w:szCs w:val="28"/>
        </w:rPr>
        <w:t>T</w:t>
      </w:r>
      <w:r>
        <w:rPr>
          <w:rFonts w:ascii="Calibri Light" w:hAnsi="Calibri Light" w:cs="Calibri Light"/>
          <w:sz w:val="28"/>
          <w:szCs w:val="28"/>
        </w:rPr>
        <w:t xml:space="preserve">he survey results show that UK transnational </w:t>
      </w:r>
      <w:r w:rsidR="00C846ED">
        <w:rPr>
          <w:rFonts w:ascii="Calibri Light" w:hAnsi="Calibri Light" w:cs="Calibri Light"/>
          <w:sz w:val="28"/>
          <w:szCs w:val="28"/>
        </w:rPr>
        <w:t xml:space="preserve">higher education </w:t>
      </w:r>
      <w:r>
        <w:rPr>
          <w:rFonts w:ascii="Calibri Light" w:hAnsi="Calibri Light" w:cs="Calibri Light"/>
          <w:sz w:val="28"/>
          <w:szCs w:val="28"/>
        </w:rPr>
        <w:t>enrolments fell appreciably between the academic year (AY) 2019/2</w:t>
      </w:r>
      <w:r w:rsidR="00BC2D2E">
        <w:rPr>
          <w:rFonts w:ascii="Calibri Light" w:hAnsi="Calibri Light" w:cs="Calibri Light"/>
          <w:sz w:val="28"/>
          <w:szCs w:val="28"/>
        </w:rPr>
        <w:t>0</w:t>
      </w:r>
      <w:r>
        <w:rPr>
          <w:rFonts w:ascii="Calibri Light" w:hAnsi="Calibri Light" w:cs="Calibri Light"/>
          <w:sz w:val="28"/>
          <w:szCs w:val="28"/>
        </w:rPr>
        <w:t xml:space="preserve"> (which finished in July 2020) and the end of the first term of AY 2020/21</w:t>
      </w:r>
      <w:r w:rsidR="00BC2D2E">
        <w:rPr>
          <w:rFonts w:ascii="Calibri Light" w:hAnsi="Calibri Light" w:cs="Calibri Light"/>
          <w:sz w:val="28"/>
          <w:szCs w:val="28"/>
        </w:rPr>
        <w:t xml:space="preserve"> (in late November-early December 2020)</w:t>
      </w:r>
      <w:r>
        <w:rPr>
          <w:rFonts w:ascii="Calibri Light" w:hAnsi="Calibri Light" w:cs="Calibri Light"/>
          <w:sz w:val="28"/>
          <w:szCs w:val="28"/>
        </w:rPr>
        <w:t>. However, there is very considerable variation in the size of these impacts both respect to geographical region and type of provision. Similarly, som</w:t>
      </w:r>
      <w:r w:rsidR="00E10CE9">
        <w:rPr>
          <w:rFonts w:ascii="Calibri Light" w:hAnsi="Calibri Light" w:cs="Calibri Light"/>
          <w:sz w:val="28"/>
          <w:szCs w:val="28"/>
        </w:rPr>
        <w:t xml:space="preserve">e UK universities have been </w:t>
      </w:r>
      <w:r>
        <w:rPr>
          <w:rFonts w:ascii="Calibri Light" w:hAnsi="Calibri Light" w:cs="Calibri Light"/>
          <w:sz w:val="28"/>
          <w:szCs w:val="28"/>
        </w:rPr>
        <w:t xml:space="preserve">more seriously affected than others.   </w:t>
      </w:r>
    </w:p>
    <w:p w14:paraId="4F5D15AC" w14:textId="58A6CB9E" w:rsidR="00603DB7" w:rsidRPr="00B84A66" w:rsidRDefault="000019A9" w:rsidP="00E114E2">
      <w:pPr>
        <w:jc w:val="both"/>
        <w:rPr>
          <w:rFonts w:ascii="Calibri Light" w:hAnsi="Calibri Light" w:cs="Calibri Light"/>
          <w:sz w:val="28"/>
          <w:szCs w:val="28"/>
        </w:rPr>
      </w:pPr>
      <w:r w:rsidRPr="00B84A66">
        <w:rPr>
          <w:rFonts w:ascii="Calibri Light" w:hAnsi="Calibri Light" w:cs="Calibri Light"/>
          <w:sz w:val="28"/>
          <w:szCs w:val="28"/>
        </w:rPr>
        <w:lastRenderedPageBreak/>
        <w:t xml:space="preserve">The </w:t>
      </w:r>
      <w:r w:rsidR="00D10D4D">
        <w:rPr>
          <w:rFonts w:ascii="Calibri Light" w:hAnsi="Calibri Light" w:cs="Calibri Light"/>
          <w:sz w:val="28"/>
          <w:szCs w:val="28"/>
        </w:rPr>
        <w:t xml:space="preserve">discussion </w:t>
      </w:r>
      <w:r w:rsidRPr="00B84A66">
        <w:rPr>
          <w:rFonts w:ascii="Calibri Light" w:hAnsi="Calibri Light" w:cs="Calibri Light"/>
          <w:sz w:val="28"/>
          <w:szCs w:val="28"/>
        </w:rPr>
        <w:t xml:space="preserve">is structured as follows. </w:t>
      </w:r>
      <w:r w:rsidR="00E114E2" w:rsidRPr="00B84A66">
        <w:rPr>
          <w:rFonts w:ascii="Calibri Light" w:hAnsi="Calibri Light" w:cs="Calibri Light"/>
          <w:sz w:val="28"/>
          <w:szCs w:val="28"/>
        </w:rPr>
        <w:t xml:space="preserve">Section 2 describes the </w:t>
      </w:r>
      <w:r w:rsidR="00BC5984" w:rsidRPr="00B84A66">
        <w:rPr>
          <w:rFonts w:ascii="Calibri Light" w:hAnsi="Calibri Light" w:cs="Calibri Light"/>
          <w:sz w:val="28"/>
          <w:szCs w:val="28"/>
        </w:rPr>
        <w:t xml:space="preserve">review </w:t>
      </w:r>
      <w:r w:rsidR="00E114E2" w:rsidRPr="00B84A66">
        <w:rPr>
          <w:rFonts w:ascii="Calibri Light" w:hAnsi="Calibri Light" w:cs="Calibri Light"/>
          <w:sz w:val="28"/>
          <w:szCs w:val="28"/>
        </w:rPr>
        <w:t>methodology</w:t>
      </w:r>
      <w:r w:rsidR="00D10D4D">
        <w:rPr>
          <w:rFonts w:ascii="Calibri Light" w:hAnsi="Calibri Light" w:cs="Calibri Light"/>
          <w:sz w:val="28"/>
          <w:szCs w:val="28"/>
        </w:rPr>
        <w:t xml:space="preserve"> and data sources</w:t>
      </w:r>
      <w:r w:rsidR="00E114E2" w:rsidRPr="00B84A66">
        <w:rPr>
          <w:rFonts w:ascii="Calibri Light" w:hAnsi="Calibri Light" w:cs="Calibri Light"/>
          <w:sz w:val="28"/>
          <w:szCs w:val="28"/>
        </w:rPr>
        <w:t xml:space="preserve">. </w:t>
      </w:r>
      <w:r w:rsidR="00024B80" w:rsidRPr="00B84A66">
        <w:rPr>
          <w:rFonts w:ascii="Calibri Light" w:hAnsi="Calibri Light" w:cs="Calibri Light"/>
          <w:sz w:val="28"/>
          <w:szCs w:val="28"/>
        </w:rPr>
        <w:t xml:space="preserve">Section 3 </w:t>
      </w:r>
      <w:r w:rsidR="00D10D4D">
        <w:rPr>
          <w:rFonts w:ascii="Calibri Light" w:hAnsi="Calibri Light" w:cs="Calibri Light"/>
          <w:sz w:val="28"/>
          <w:szCs w:val="28"/>
        </w:rPr>
        <w:t xml:space="preserve">presents </w:t>
      </w:r>
      <w:r w:rsidR="00024B80" w:rsidRPr="00B84A66">
        <w:rPr>
          <w:rFonts w:ascii="Calibri Light" w:hAnsi="Calibri Light" w:cs="Calibri Light"/>
          <w:sz w:val="28"/>
          <w:szCs w:val="28"/>
        </w:rPr>
        <w:t xml:space="preserve">a brief </w:t>
      </w:r>
      <w:r w:rsidR="00671D41" w:rsidRPr="00B84A66">
        <w:rPr>
          <w:rFonts w:ascii="Calibri Light" w:hAnsi="Calibri Light" w:cs="Calibri Light"/>
          <w:sz w:val="28"/>
          <w:szCs w:val="28"/>
        </w:rPr>
        <w:t xml:space="preserve">contextual </w:t>
      </w:r>
      <w:r w:rsidR="00024B80" w:rsidRPr="00B84A66">
        <w:rPr>
          <w:rFonts w:ascii="Calibri Light" w:hAnsi="Calibri Light" w:cs="Calibri Light"/>
          <w:sz w:val="28"/>
          <w:szCs w:val="28"/>
        </w:rPr>
        <w:t xml:space="preserve">overview of the main trends in </w:t>
      </w:r>
      <w:r w:rsidR="00D10D4D">
        <w:rPr>
          <w:rFonts w:ascii="Calibri Light" w:hAnsi="Calibri Light" w:cs="Calibri Light"/>
          <w:sz w:val="28"/>
          <w:szCs w:val="28"/>
        </w:rPr>
        <w:t xml:space="preserve">TNE offshore enrolments </w:t>
      </w:r>
      <w:r w:rsidR="00024B80" w:rsidRPr="00B84A66">
        <w:rPr>
          <w:rFonts w:ascii="Calibri Light" w:hAnsi="Calibri Light" w:cs="Calibri Light"/>
          <w:sz w:val="28"/>
          <w:szCs w:val="28"/>
        </w:rPr>
        <w:t>at British un</w:t>
      </w:r>
      <w:r w:rsidR="00671D41" w:rsidRPr="00B84A66">
        <w:rPr>
          <w:rFonts w:ascii="Calibri Light" w:hAnsi="Calibri Light" w:cs="Calibri Light"/>
          <w:sz w:val="28"/>
          <w:szCs w:val="28"/>
        </w:rPr>
        <w:t xml:space="preserve">iversities </w:t>
      </w:r>
      <w:r w:rsidR="00D10D4D">
        <w:rPr>
          <w:rFonts w:ascii="Calibri Light" w:hAnsi="Calibri Light" w:cs="Calibri Light"/>
          <w:sz w:val="28"/>
          <w:szCs w:val="28"/>
        </w:rPr>
        <w:t>especially during the last five years</w:t>
      </w:r>
      <w:r w:rsidR="00024B80" w:rsidRPr="00B84A66">
        <w:rPr>
          <w:rFonts w:ascii="Calibri Light" w:hAnsi="Calibri Light" w:cs="Calibri Light"/>
          <w:sz w:val="28"/>
          <w:szCs w:val="28"/>
        </w:rPr>
        <w:t xml:space="preserve">. </w:t>
      </w:r>
      <w:r w:rsidR="00D10D4D">
        <w:rPr>
          <w:rFonts w:ascii="Calibri Light" w:hAnsi="Calibri Light" w:cs="Calibri Light"/>
          <w:sz w:val="28"/>
          <w:szCs w:val="28"/>
        </w:rPr>
        <w:t>The key changes in enrolment levels are presented and analysed in s</w:t>
      </w:r>
      <w:r w:rsidR="00F85ED6" w:rsidRPr="00B84A66">
        <w:rPr>
          <w:rFonts w:ascii="Calibri Light" w:hAnsi="Calibri Light" w:cs="Calibri Light"/>
          <w:sz w:val="28"/>
          <w:szCs w:val="28"/>
        </w:rPr>
        <w:t xml:space="preserve">ection </w:t>
      </w:r>
      <w:r w:rsidR="00D10D4D">
        <w:rPr>
          <w:rFonts w:ascii="Calibri Light" w:hAnsi="Calibri Light" w:cs="Calibri Light"/>
          <w:sz w:val="28"/>
          <w:szCs w:val="28"/>
        </w:rPr>
        <w:t xml:space="preserve">4. </w:t>
      </w:r>
      <w:bookmarkStart w:id="1" w:name="_GoBack"/>
      <w:bookmarkEnd w:id="1"/>
    </w:p>
    <w:p w14:paraId="57712ADD" w14:textId="2A87D3D0" w:rsidR="00F325DE" w:rsidRPr="005A4EAA" w:rsidRDefault="001216FB" w:rsidP="00BC5984">
      <w:pPr>
        <w:pStyle w:val="FILHeader1"/>
        <w:rPr>
          <w:rFonts w:ascii="Calibri Light" w:hAnsi="Calibri Light" w:cs="Calibri Light"/>
          <w:i/>
          <w:sz w:val="28"/>
          <w:szCs w:val="28"/>
        </w:rPr>
      </w:pPr>
      <w:bookmarkStart w:id="2" w:name="_Toc531957296"/>
      <w:r w:rsidRPr="005A4EAA">
        <w:rPr>
          <w:rFonts w:ascii="Calibri Light" w:hAnsi="Calibri Light" w:cs="Calibri Light"/>
          <w:i/>
          <w:sz w:val="28"/>
          <w:szCs w:val="28"/>
        </w:rPr>
        <w:t>Study m</w:t>
      </w:r>
      <w:r w:rsidR="00D10D4D" w:rsidRPr="005A4EAA">
        <w:rPr>
          <w:rFonts w:ascii="Calibri Light" w:hAnsi="Calibri Light" w:cs="Calibri Light"/>
          <w:i/>
          <w:sz w:val="28"/>
          <w:szCs w:val="28"/>
        </w:rPr>
        <w:t xml:space="preserve">ethodology </w:t>
      </w:r>
      <w:bookmarkEnd w:id="2"/>
    </w:p>
    <w:p w14:paraId="3AC1C364" w14:textId="744EEBA3" w:rsidR="005A0027" w:rsidRPr="006F75A8" w:rsidRDefault="001216FB" w:rsidP="00671D41">
      <w:pPr>
        <w:jc w:val="both"/>
        <w:rPr>
          <w:rFonts w:ascii="Calibri Light" w:hAnsi="Calibri Light" w:cs="Calibri Light"/>
          <w:i/>
          <w:sz w:val="28"/>
          <w:szCs w:val="28"/>
        </w:rPr>
      </w:pPr>
      <w:r w:rsidRPr="006F75A8">
        <w:rPr>
          <w:rFonts w:ascii="Calibri Light" w:hAnsi="Calibri Light" w:cs="Calibri Light"/>
          <w:i/>
          <w:sz w:val="28"/>
          <w:szCs w:val="28"/>
        </w:rPr>
        <w:t xml:space="preserve">2.1 Impact assessment </w:t>
      </w:r>
    </w:p>
    <w:p w14:paraId="2D201117" w14:textId="796CEB2E" w:rsidR="005A0027" w:rsidRPr="00B84A66" w:rsidRDefault="001216FB" w:rsidP="00671D41">
      <w:pPr>
        <w:jc w:val="both"/>
        <w:rPr>
          <w:rFonts w:ascii="Calibri Light" w:hAnsi="Calibri Light" w:cs="Calibri Light"/>
          <w:sz w:val="28"/>
          <w:szCs w:val="28"/>
        </w:rPr>
      </w:pPr>
      <w:r>
        <w:rPr>
          <w:rFonts w:ascii="Calibri Light" w:hAnsi="Calibri Light" w:cs="Calibri Light"/>
          <w:sz w:val="28"/>
          <w:szCs w:val="28"/>
        </w:rPr>
        <w:t>As noted above, t</w:t>
      </w:r>
      <w:r w:rsidR="005A0027" w:rsidRPr="00B84A66">
        <w:rPr>
          <w:rFonts w:ascii="Calibri Light" w:hAnsi="Calibri Light" w:cs="Calibri Light"/>
          <w:sz w:val="28"/>
          <w:szCs w:val="28"/>
        </w:rPr>
        <w:t>he overall structure and functioning of TNE student markets is complex given the multi-dimensionality of provision with respect to types of TNE courses and delivery modalities and the size and diverse composition of both UK universities and overseas countries</w:t>
      </w:r>
      <w:r w:rsidR="00BE691B">
        <w:rPr>
          <w:rStyle w:val="FootnoteReference"/>
          <w:rFonts w:ascii="Calibri Light" w:hAnsi="Calibri Light" w:cs="Calibri Light"/>
          <w:sz w:val="28"/>
          <w:szCs w:val="28"/>
        </w:rPr>
        <w:footnoteReference w:id="1"/>
      </w:r>
      <w:r w:rsidR="005A0027" w:rsidRPr="00B84A66">
        <w:rPr>
          <w:rFonts w:ascii="Calibri Light" w:hAnsi="Calibri Light" w:cs="Calibri Light"/>
          <w:sz w:val="28"/>
          <w:szCs w:val="28"/>
        </w:rPr>
        <w:t>.</w:t>
      </w:r>
      <w:r>
        <w:rPr>
          <w:rFonts w:ascii="Calibri Light" w:hAnsi="Calibri Light" w:cs="Calibri Light"/>
          <w:sz w:val="28"/>
          <w:szCs w:val="28"/>
        </w:rPr>
        <w:t xml:space="preserve"> This makes it that much more difficult to deal with the usual counterfactual and attribution issues that have to be contended with </w:t>
      </w:r>
      <w:r w:rsidR="00BC2D2E">
        <w:rPr>
          <w:rFonts w:ascii="Calibri Light" w:hAnsi="Calibri Light" w:cs="Calibri Light"/>
          <w:sz w:val="28"/>
          <w:szCs w:val="28"/>
        </w:rPr>
        <w:t xml:space="preserve">in </w:t>
      </w:r>
      <w:r>
        <w:rPr>
          <w:rFonts w:ascii="Calibri Light" w:hAnsi="Calibri Light" w:cs="Calibri Light"/>
          <w:sz w:val="28"/>
          <w:szCs w:val="28"/>
        </w:rPr>
        <w:t xml:space="preserve">assessments of this kind. </w:t>
      </w:r>
      <w:r w:rsidR="006F75A8">
        <w:rPr>
          <w:rFonts w:ascii="Calibri Light" w:hAnsi="Calibri Light" w:cs="Calibri Light"/>
          <w:sz w:val="28"/>
          <w:szCs w:val="28"/>
        </w:rPr>
        <w:t>However, g</w:t>
      </w:r>
      <w:r>
        <w:rPr>
          <w:rFonts w:ascii="Calibri Light" w:hAnsi="Calibri Light" w:cs="Calibri Light"/>
          <w:sz w:val="28"/>
          <w:szCs w:val="28"/>
        </w:rPr>
        <w:t>lobal</w:t>
      </w:r>
      <w:r w:rsidR="00E10CE9">
        <w:rPr>
          <w:rFonts w:ascii="Calibri Light" w:hAnsi="Calibri Light" w:cs="Calibri Light"/>
          <w:sz w:val="28"/>
          <w:szCs w:val="28"/>
        </w:rPr>
        <w:t>ly,</w:t>
      </w:r>
      <w:r>
        <w:rPr>
          <w:rFonts w:ascii="Calibri Light" w:hAnsi="Calibri Light" w:cs="Calibri Light"/>
          <w:sz w:val="28"/>
          <w:szCs w:val="28"/>
        </w:rPr>
        <w:t xml:space="preserve"> UK TNE enrolments were relat</w:t>
      </w:r>
      <w:r w:rsidR="00E10CE9">
        <w:rPr>
          <w:rFonts w:ascii="Calibri Light" w:hAnsi="Calibri Light" w:cs="Calibri Light"/>
          <w:sz w:val="28"/>
          <w:szCs w:val="28"/>
        </w:rPr>
        <w:t xml:space="preserve">ively stagnant prior to the </w:t>
      </w:r>
      <w:r>
        <w:rPr>
          <w:rFonts w:ascii="Calibri Light" w:hAnsi="Calibri Light" w:cs="Calibri Light"/>
          <w:sz w:val="28"/>
          <w:szCs w:val="28"/>
        </w:rPr>
        <w:t xml:space="preserve">BC shocks </w:t>
      </w:r>
      <w:r w:rsidR="00E10CE9">
        <w:rPr>
          <w:rFonts w:ascii="Calibri Light" w:hAnsi="Calibri Light" w:cs="Calibri Light"/>
          <w:sz w:val="28"/>
          <w:szCs w:val="28"/>
        </w:rPr>
        <w:t xml:space="preserve">which makes it that much easier to discern and interpret </w:t>
      </w:r>
      <w:r>
        <w:rPr>
          <w:rFonts w:ascii="Calibri Light" w:hAnsi="Calibri Light" w:cs="Calibri Light"/>
          <w:sz w:val="28"/>
          <w:szCs w:val="28"/>
        </w:rPr>
        <w:t>any marked changes i</w:t>
      </w:r>
      <w:r w:rsidR="00E10CE9">
        <w:rPr>
          <w:rFonts w:ascii="Calibri Light" w:hAnsi="Calibri Light" w:cs="Calibri Light"/>
          <w:sz w:val="28"/>
          <w:szCs w:val="28"/>
        </w:rPr>
        <w:t>n enrolment levels and patterns</w:t>
      </w:r>
      <w:r w:rsidR="00BE691B">
        <w:rPr>
          <w:rFonts w:ascii="Calibri Light" w:hAnsi="Calibri Light" w:cs="Calibri Light"/>
          <w:sz w:val="28"/>
          <w:szCs w:val="28"/>
        </w:rPr>
        <w:t xml:space="preserve">. </w:t>
      </w:r>
    </w:p>
    <w:p w14:paraId="705C59C5" w14:textId="6287348D" w:rsidR="005A0027" w:rsidRPr="00B84A66" w:rsidRDefault="00BE691B" w:rsidP="00671D41">
      <w:pPr>
        <w:jc w:val="both"/>
        <w:rPr>
          <w:rFonts w:ascii="Calibri Light" w:hAnsi="Calibri Light" w:cs="Calibri Light"/>
          <w:sz w:val="28"/>
          <w:szCs w:val="28"/>
        </w:rPr>
      </w:pPr>
      <w:r>
        <w:rPr>
          <w:rFonts w:ascii="Calibri Light" w:hAnsi="Calibri Light" w:cs="Calibri Light"/>
          <w:sz w:val="28"/>
          <w:szCs w:val="28"/>
        </w:rPr>
        <w:t>With regard to attribution, s</w:t>
      </w:r>
      <w:r w:rsidR="005A0027" w:rsidRPr="00B84A66">
        <w:rPr>
          <w:rFonts w:ascii="Calibri Light" w:hAnsi="Calibri Light" w:cs="Calibri Light"/>
          <w:sz w:val="28"/>
          <w:szCs w:val="28"/>
        </w:rPr>
        <w:t xml:space="preserve">eparating out the impacts of </w:t>
      </w:r>
      <w:r>
        <w:rPr>
          <w:rFonts w:ascii="Calibri Light" w:hAnsi="Calibri Light" w:cs="Calibri Light"/>
          <w:sz w:val="28"/>
          <w:szCs w:val="28"/>
        </w:rPr>
        <w:t xml:space="preserve">the </w:t>
      </w:r>
      <w:r w:rsidR="005A0027" w:rsidRPr="00B84A66">
        <w:rPr>
          <w:rFonts w:ascii="Calibri Light" w:hAnsi="Calibri Light" w:cs="Calibri Light"/>
          <w:sz w:val="28"/>
          <w:szCs w:val="28"/>
        </w:rPr>
        <w:t xml:space="preserve">two shocks which </w:t>
      </w:r>
      <w:r w:rsidR="0006115D">
        <w:rPr>
          <w:rFonts w:ascii="Calibri Light" w:hAnsi="Calibri Light" w:cs="Calibri Light"/>
          <w:sz w:val="28"/>
          <w:szCs w:val="28"/>
        </w:rPr>
        <w:t xml:space="preserve">are </w:t>
      </w:r>
      <w:r w:rsidR="006F75A8">
        <w:rPr>
          <w:rFonts w:ascii="Calibri Light" w:hAnsi="Calibri Light" w:cs="Calibri Light"/>
          <w:sz w:val="28"/>
          <w:szCs w:val="28"/>
        </w:rPr>
        <w:t xml:space="preserve">coterminous (i.e. </w:t>
      </w:r>
      <w:r w:rsidR="00BC2D2E">
        <w:rPr>
          <w:rFonts w:ascii="Calibri Light" w:hAnsi="Calibri Light" w:cs="Calibri Light"/>
          <w:sz w:val="28"/>
          <w:szCs w:val="28"/>
        </w:rPr>
        <w:t xml:space="preserve">occurring </w:t>
      </w:r>
      <w:r w:rsidR="005A0027" w:rsidRPr="00B84A66">
        <w:rPr>
          <w:rFonts w:ascii="Calibri Light" w:hAnsi="Calibri Light" w:cs="Calibri Light"/>
          <w:sz w:val="28"/>
          <w:szCs w:val="28"/>
        </w:rPr>
        <w:t xml:space="preserve">during </w:t>
      </w:r>
      <w:r w:rsidR="006F75A8">
        <w:rPr>
          <w:rFonts w:ascii="Calibri Light" w:hAnsi="Calibri Light" w:cs="Calibri Light"/>
          <w:sz w:val="28"/>
          <w:szCs w:val="28"/>
        </w:rPr>
        <w:t xml:space="preserve">roughly </w:t>
      </w:r>
      <w:r w:rsidR="005A0027" w:rsidRPr="00B84A66">
        <w:rPr>
          <w:rFonts w:ascii="Calibri Light" w:hAnsi="Calibri Light" w:cs="Calibri Light"/>
          <w:sz w:val="28"/>
          <w:szCs w:val="28"/>
        </w:rPr>
        <w:t>the same time period</w:t>
      </w:r>
      <w:r w:rsidR="006F75A8">
        <w:rPr>
          <w:rFonts w:ascii="Calibri Light" w:hAnsi="Calibri Light" w:cs="Calibri Light"/>
          <w:sz w:val="28"/>
          <w:szCs w:val="28"/>
        </w:rPr>
        <w:t>)</w:t>
      </w:r>
      <w:r w:rsidR="005A0027" w:rsidRPr="00B84A66">
        <w:rPr>
          <w:rFonts w:ascii="Calibri Light" w:hAnsi="Calibri Light" w:cs="Calibri Light"/>
          <w:sz w:val="28"/>
          <w:szCs w:val="28"/>
        </w:rPr>
        <w:t xml:space="preserve"> is </w:t>
      </w:r>
      <w:r>
        <w:rPr>
          <w:rFonts w:ascii="Calibri Light" w:hAnsi="Calibri Light" w:cs="Calibri Light"/>
          <w:sz w:val="28"/>
          <w:szCs w:val="28"/>
        </w:rPr>
        <w:t>that much more challenging.  However,</w:t>
      </w:r>
      <w:r w:rsidR="005A0027" w:rsidRPr="00B84A66">
        <w:rPr>
          <w:rFonts w:ascii="Calibri Light" w:hAnsi="Calibri Light" w:cs="Calibri Light"/>
          <w:sz w:val="28"/>
          <w:szCs w:val="28"/>
        </w:rPr>
        <w:t xml:space="preserve"> </w:t>
      </w:r>
      <w:r>
        <w:rPr>
          <w:rFonts w:ascii="Calibri Light" w:hAnsi="Calibri Light" w:cs="Calibri Light"/>
          <w:sz w:val="28"/>
          <w:szCs w:val="28"/>
        </w:rPr>
        <w:t xml:space="preserve">since </w:t>
      </w:r>
      <w:r w:rsidR="005A0027" w:rsidRPr="00B84A66">
        <w:rPr>
          <w:rFonts w:ascii="Calibri Light" w:hAnsi="Calibri Light" w:cs="Calibri Light"/>
          <w:sz w:val="28"/>
          <w:szCs w:val="28"/>
        </w:rPr>
        <w:t>the impact o</w:t>
      </w:r>
      <w:r>
        <w:rPr>
          <w:rFonts w:ascii="Calibri Light" w:hAnsi="Calibri Light" w:cs="Calibri Light"/>
          <w:sz w:val="28"/>
          <w:szCs w:val="28"/>
        </w:rPr>
        <w:t xml:space="preserve">f Brexit </w:t>
      </w:r>
      <w:r w:rsidR="005A0027" w:rsidRPr="00B84A66">
        <w:rPr>
          <w:rFonts w:ascii="Calibri Light" w:hAnsi="Calibri Light" w:cs="Calibri Light"/>
          <w:sz w:val="28"/>
          <w:szCs w:val="28"/>
        </w:rPr>
        <w:t xml:space="preserve">is </w:t>
      </w:r>
      <w:r>
        <w:rPr>
          <w:rFonts w:ascii="Calibri Light" w:hAnsi="Calibri Light" w:cs="Calibri Light"/>
          <w:sz w:val="28"/>
          <w:szCs w:val="28"/>
        </w:rPr>
        <w:t xml:space="preserve">solely </w:t>
      </w:r>
      <w:r w:rsidR="005A0027" w:rsidRPr="00B84A66">
        <w:rPr>
          <w:rFonts w:ascii="Calibri Light" w:hAnsi="Calibri Light" w:cs="Calibri Light"/>
          <w:sz w:val="28"/>
          <w:szCs w:val="28"/>
        </w:rPr>
        <w:t xml:space="preserve">confined to the EU whereas COVID </w:t>
      </w:r>
      <w:r>
        <w:rPr>
          <w:rFonts w:ascii="Calibri Light" w:hAnsi="Calibri Light" w:cs="Calibri Light"/>
          <w:sz w:val="28"/>
          <w:szCs w:val="28"/>
        </w:rPr>
        <w:t xml:space="preserve">has </w:t>
      </w:r>
      <w:r w:rsidR="005A0027" w:rsidRPr="00B84A66">
        <w:rPr>
          <w:rFonts w:ascii="Calibri Light" w:hAnsi="Calibri Light" w:cs="Calibri Light"/>
          <w:sz w:val="28"/>
          <w:szCs w:val="28"/>
        </w:rPr>
        <w:t xml:space="preserve">impacted all countries globally </w:t>
      </w:r>
      <w:r>
        <w:rPr>
          <w:rFonts w:ascii="Calibri Light" w:hAnsi="Calibri Light" w:cs="Calibri Light"/>
          <w:sz w:val="28"/>
          <w:szCs w:val="28"/>
        </w:rPr>
        <w:t>(</w:t>
      </w:r>
      <w:r w:rsidR="005A0027" w:rsidRPr="00B84A66">
        <w:rPr>
          <w:rFonts w:ascii="Calibri Light" w:hAnsi="Calibri Light" w:cs="Calibri Light"/>
          <w:sz w:val="28"/>
          <w:szCs w:val="28"/>
        </w:rPr>
        <w:t xml:space="preserve">although </w:t>
      </w:r>
      <w:r w:rsidR="00E10CE9">
        <w:rPr>
          <w:rFonts w:ascii="Calibri Light" w:hAnsi="Calibri Light" w:cs="Calibri Light"/>
          <w:sz w:val="28"/>
          <w:szCs w:val="28"/>
        </w:rPr>
        <w:t xml:space="preserve">probably </w:t>
      </w:r>
      <w:r w:rsidR="005A0027" w:rsidRPr="00B84A66">
        <w:rPr>
          <w:rFonts w:ascii="Calibri Light" w:hAnsi="Calibri Light" w:cs="Calibri Light"/>
          <w:sz w:val="28"/>
          <w:szCs w:val="28"/>
        </w:rPr>
        <w:t>with varying degrees of intensity</w:t>
      </w:r>
      <w:r>
        <w:rPr>
          <w:rFonts w:ascii="Calibri Light" w:hAnsi="Calibri Light" w:cs="Calibri Light"/>
          <w:sz w:val="28"/>
          <w:szCs w:val="28"/>
        </w:rPr>
        <w:t xml:space="preserve">) and </w:t>
      </w:r>
      <w:r w:rsidR="006F75A8">
        <w:rPr>
          <w:rFonts w:ascii="Calibri Light" w:hAnsi="Calibri Light" w:cs="Calibri Light"/>
          <w:sz w:val="28"/>
          <w:szCs w:val="28"/>
        </w:rPr>
        <w:t xml:space="preserve">commenced </w:t>
      </w:r>
      <w:r>
        <w:rPr>
          <w:rFonts w:ascii="Calibri Light" w:hAnsi="Calibri Light" w:cs="Calibri Light"/>
          <w:sz w:val="28"/>
          <w:szCs w:val="28"/>
        </w:rPr>
        <w:t xml:space="preserve">at a later date, it is possible to draw some tentative conclusions about the differential impact of the two shocks. </w:t>
      </w:r>
      <w:r w:rsidR="005A0027" w:rsidRPr="00B84A66">
        <w:rPr>
          <w:rFonts w:ascii="Calibri Light" w:hAnsi="Calibri Light" w:cs="Calibri Light"/>
          <w:sz w:val="28"/>
          <w:szCs w:val="28"/>
        </w:rPr>
        <w:t xml:space="preserve">  </w:t>
      </w:r>
    </w:p>
    <w:p w14:paraId="5BA3BEED" w14:textId="343B3729" w:rsidR="002B5CA0" w:rsidRPr="006F75A8" w:rsidRDefault="00671D41" w:rsidP="00671D41">
      <w:pPr>
        <w:jc w:val="both"/>
        <w:rPr>
          <w:rFonts w:ascii="Calibri Light" w:hAnsi="Calibri Light" w:cs="Calibri Light"/>
          <w:i/>
          <w:sz w:val="28"/>
          <w:szCs w:val="28"/>
        </w:rPr>
      </w:pPr>
      <w:bookmarkStart w:id="3" w:name="_Toc531957297"/>
      <w:r w:rsidRPr="006F75A8">
        <w:rPr>
          <w:rFonts w:ascii="Calibri Light" w:hAnsi="Calibri Light" w:cs="Calibri Light"/>
          <w:i/>
          <w:sz w:val="28"/>
          <w:szCs w:val="28"/>
        </w:rPr>
        <w:t>2</w:t>
      </w:r>
      <w:r w:rsidR="00C0469B" w:rsidRPr="006F75A8">
        <w:rPr>
          <w:rFonts w:ascii="Calibri Light" w:hAnsi="Calibri Light" w:cs="Calibri Light"/>
          <w:i/>
          <w:sz w:val="28"/>
          <w:szCs w:val="28"/>
        </w:rPr>
        <w:t xml:space="preserve">.1 </w:t>
      </w:r>
      <w:bookmarkEnd w:id="3"/>
      <w:r w:rsidR="001216FB" w:rsidRPr="006F75A8">
        <w:rPr>
          <w:rFonts w:ascii="Calibri Light" w:hAnsi="Calibri Light" w:cs="Calibri Light"/>
          <w:i/>
          <w:sz w:val="28"/>
          <w:szCs w:val="28"/>
        </w:rPr>
        <w:t>Enrolment data</w:t>
      </w:r>
    </w:p>
    <w:p w14:paraId="33E0831C" w14:textId="69DE1C80" w:rsidR="008050F8" w:rsidRPr="00B84A66" w:rsidRDefault="001216FB" w:rsidP="00E114E2">
      <w:pPr>
        <w:jc w:val="both"/>
        <w:rPr>
          <w:rFonts w:ascii="Calibri Light" w:hAnsi="Calibri Light" w:cs="Calibri Light"/>
          <w:sz w:val="28"/>
          <w:szCs w:val="28"/>
        </w:rPr>
      </w:pPr>
      <w:r w:rsidRPr="00B84A66">
        <w:rPr>
          <w:rFonts w:ascii="Calibri Light" w:hAnsi="Calibri Light" w:cs="Calibri Light"/>
          <w:sz w:val="28"/>
          <w:szCs w:val="28"/>
        </w:rPr>
        <w:t xml:space="preserve">The </w:t>
      </w:r>
      <w:r>
        <w:rPr>
          <w:rFonts w:ascii="Calibri Light" w:hAnsi="Calibri Light" w:cs="Calibri Light"/>
          <w:sz w:val="28"/>
          <w:szCs w:val="28"/>
        </w:rPr>
        <w:t xml:space="preserve">assessment </w:t>
      </w:r>
      <w:r w:rsidRPr="00B84A66">
        <w:rPr>
          <w:rFonts w:ascii="Calibri Light" w:hAnsi="Calibri Light" w:cs="Calibri Light"/>
          <w:sz w:val="28"/>
          <w:szCs w:val="28"/>
        </w:rPr>
        <w:t xml:space="preserve">combines primary data from a survey of </w:t>
      </w:r>
      <w:r>
        <w:rPr>
          <w:rFonts w:ascii="Calibri Light" w:hAnsi="Calibri Light" w:cs="Calibri Light"/>
          <w:sz w:val="28"/>
          <w:szCs w:val="28"/>
        </w:rPr>
        <w:t xml:space="preserve">offshore overseas students </w:t>
      </w:r>
      <w:r w:rsidR="00E10CE9">
        <w:rPr>
          <w:rFonts w:ascii="Calibri Light" w:hAnsi="Calibri Light" w:cs="Calibri Light"/>
          <w:sz w:val="28"/>
          <w:szCs w:val="28"/>
        </w:rPr>
        <w:t xml:space="preserve">studying for </w:t>
      </w:r>
      <w:r w:rsidRPr="00B84A66">
        <w:rPr>
          <w:rFonts w:ascii="Calibri Light" w:hAnsi="Calibri Light" w:cs="Calibri Light"/>
          <w:sz w:val="28"/>
          <w:szCs w:val="28"/>
        </w:rPr>
        <w:t xml:space="preserve">UK </w:t>
      </w:r>
      <w:r w:rsidR="00E10CE9">
        <w:rPr>
          <w:rFonts w:ascii="Calibri Light" w:hAnsi="Calibri Light" w:cs="Calibri Light"/>
          <w:sz w:val="28"/>
          <w:szCs w:val="28"/>
        </w:rPr>
        <w:t xml:space="preserve">under- and postgraduate degrees in </w:t>
      </w:r>
      <w:r>
        <w:rPr>
          <w:rFonts w:ascii="Calibri Light" w:hAnsi="Calibri Light" w:cs="Calibri Light"/>
          <w:sz w:val="28"/>
          <w:szCs w:val="28"/>
        </w:rPr>
        <w:t xml:space="preserve">late 2020 </w:t>
      </w:r>
      <w:r w:rsidRPr="00B84A66">
        <w:rPr>
          <w:rFonts w:ascii="Calibri Light" w:hAnsi="Calibri Light" w:cs="Calibri Light"/>
          <w:sz w:val="28"/>
          <w:szCs w:val="28"/>
        </w:rPr>
        <w:t xml:space="preserve">with </w:t>
      </w:r>
      <w:r>
        <w:rPr>
          <w:rFonts w:ascii="Calibri Light" w:hAnsi="Calibri Light" w:cs="Calibri Light"/>
          <w:sz w:val="28"/>
          <w:szCs w:val="28"/>
        </w:rPr>
        <w:t xml:space="preserve">other </w:t>
      </w:r>
      <w:r w:rsidRPr="00B84A66">
        <w:rPr>
          <w:rFonts w:ascii="Calibri Light" w:hAnsi="Calibri Light" w:cs="Calibri Light"/>
          <w:sz w:val="28"/>
          <w:szCs w:val="28"/>
        </w:rPr>
        <w:t xml:space="preserve">secondary </w:t>
      </w:r>
      <w:r>
        <w:rPr>
          <w:rFonts w:ascii="Calibri Light" w:hAnsi="Calibri Light" w:cs="Calibri Light"/>
          <w:sz w:val="28"/>
          <w:szCs w:val="28"/>
        </w:rPr>
        <w:t xml:space="preserve">enrolment data for the period 2010/11-2019/20 which are </w:t>
      </w:r>
      <w:r w:rsidR="006F75A8">
        <w:rPr>
          <w:rFonts w:ascii="Calibri Light" w:hAnsi="Calibri Light" w:cs="Calibri Light"/>
          <w:sz w:val="28"/>
          <w:szCs w:val="28"/>
        </w:rPr>
        <w:t xml:space="preserve">regularly collected by </w:t>
      </w:r>
      <w:r>
        <w:rPr>
          <w:rFonts w:ascii="Calibri Light" w:hAnsi="Calibri Light" w:cs="Calibri Light"/>
          <w:sz w:val="28"/>
          <w:szCs w:val="28"/>
        </w:rPr>
        <w:t xml:space="preserve">the UK </w:t>
      </w:r>
      <w:r w:rsidRPr="00B84A66">
        <w:rPr>
          <w:rFonts w:ascii="Calibri Light" w:hAnsi="Calibri Light" w:cs="Calibri Light"/>
          <w:sz w:val="28"/>
          <w:szCs w:val="28"/>
        </w:rPr>
        <w:t>Higher Education Statistics Agency (HESA).</w:t>
      </w:r>
      <w:r w:rsidR="00BE691B">
        <w:rPr>
          <w:rStyle w:val="FootnoteReference"/>
          <w:rFonts w:ascii="Calibri Light" w:hAnsi="Calibri Light" w:cs="Calibri Light"/>
          <w:sz w:val="28"/>
          <w:szCs w:val="28"/>
        </w:rPr>
        <w:footnoteReference w:id="2"/>
      </w:r>
      <w:r w:rsidR="00D03CB5" w:rsidRPr="00B84A66">
        <w:rPr>
          <w:rFonts w:ascii="Calibri Light" w:hAnsi="Calibri Light" w:cs="Calibri Light"/>
          <w:sz w:val="28"/>
          <w:szCs w:val="28"/>
        </w:rPr>
        <w:t xml:space="preserve">. </w:t>
      </w:r>
      <w:r w:rsidR="006F75A8">
        <w:rPr>
          <w:rFonts w:ascii="Calibri Light" w:hAnsi="Calibri Light" w:cs="Calibri Light"/>
          <w:sz w:val="28"/>
          <w:szCs w:val="28"/>
        </w:rPr>
        <w:t xml:space="preserve">As part </w:t>
      </w:r>
      <w:r w:rsidR="006F75A8">
        <w:rPr>
          <w:rFonts w:ascii="Calibri Light" w:hAnsi="Calibri Light" w:cs="Calibri Light"/>
          <w:sz w:val="28"/>
          <w:szCs w:val="28"/>
        </w:rPr>
        <w:lastRenderedPageBreak/>
        <w:t xml:space="preserve">of HESA’s </w:t>
      </w:r>
      <w:r w:rsidR="007C66D1" w:rsidRPr="00B84A66">
        <w:rPr>
          <w:rFonts w:ascii="Calibri Light" w:hAnsi="Calibri Light" w:cs="Calibri Light"/>
          <w:sz w:val="28"/>
          <w:szCs w:val="28"/>
        </w:rPr>
        <w:t>‘</w:t>
      </w:r>
      <w:r w:rsidR="002479AD" w:rsidRPr="00B84A66">
        <w:rPr>
          <w:rFonts w:ascii="Calibri Light" w:hAnsi="Calibri Light" w:cs="Calibri Light"/>
          <w:sz w:val="28"/>
          <w:szCs w:val="28"/>
        </w:rPr>
        <w:t>Aggregate Offshore Record</w:t>
      </w:r>
      <w:r w:rsidR="007C66D1" w:rsidRPr="00B84A66">
        <w:rPr>
          <w:rFonts w:ascii="Calibri Light" w:hAnsi="Calibri Light" w:cs="Calibri Light"/>
          <w:sz w:val="28"/>
          <w:szCs w:val="28"/>
        </w:rPr>
        <w:t>’ (AOR)</w:t>
      </w:r>
      <w:r w:rsidR="002479AD" w:rsidRPr="00B84A66">
        <w:rPr>
          <w:rFonts w:ascii="Calibri Light" w:hAnsi="Calibri Light" w:cs="Calibri Light"/>
          <w:sz w:val="28"/>
          <w:szCs w:val="28"/>
        </w:rPr>
        <w:t>, e</w:t>
      </w:r>
      <w:r w:rsidR="00D03CB5" w:rsidRPr="00B84A66">
        <w:rPr>
          <w:rFonts w:ascii="Calibri Light" w:hAnsi="Calibri Light" w:cs="Calibri Light"/>
          <w:sz w:val="28"/>
          <w:szCs w:val="28"/>
        </w:rPr>
        <w:t>very</w:t>
      </w:r>
      <w:r w:rsidR="005A0027" w:rsidRPr="00B84A66">
        <w:rPr>
          <w:rFonts w:ascii="Calibri Light" w:hAnsi="Calibri Light" w:cs="Calibri Light"/>
          <w:sz w:val="28"/>
          <w:szCs w:val="28"/>
        </w:rPr>
        <w:t xml:space="preserve"> university</w:t>
      </w:r>
      <w:r w:rsidR="00BC2D2E">
        <w:rPr>
          <w:rStyle w:val="FootnoteReference"/>
          <w:rFonts w:ascii="Calibri Light" w:hAnsi="Calibri Light" w:cs="Calibri Light"/>
          <w:sz w:val="28"/>
          <w:szCs w:val="28"/>
        </w:rPr>
        <w:footnoteReference w:id="3"/>
      </w:r>
      <w:r w:rsidR="005A0027" w:rsidRPr="00B84A66">
        <w:rPr>
          <w:rFonts w:ascii="Calibri Light" w:hAnsi="Calibri Light" w:cs="Calibri Light"/>
          <w:sz w:val="28"/>
          <w:szCs w:val="28"/>
        </w:rPr>
        <w:t xml:space="preserve"> </w:t>
      </w:r>
      <w:r w:rsidR="00C846ED">
        <w:rPr>
          <w:rFonts w:ascii="Calibri Light" w:hAnsi="Calibri Light" w:cs="Calibri Light"/>
          <w:sz w:val="28"/>
          <w:szCs w:val="28"/>
        </w:rPr>
        <w:t xml:space="preserve">in the UK </w:t>
      </w:r>
      <w:r w:rsidR="006F75A8">
        <w:rPr>
          <w:rFonts w:ascii="Calibri Light" w:hAnsi="Calibri Light" w:cs="Calibri Light"/>
          <w:sz w:val="28"/>
          <w:szCs w:val="28"/>
        </w:rPr>
        <w:t xml:space="preserve">must </w:t>
      </w:r>
      <w:r w:rsidR="0019697C" w:rsidRPr="00B84A66">
        <w:rPr>
          <w:rFonts w:ascii="Calibri Light" w:hAnsi="Calibri Light" w:cs="Calibri Light"/>
          <w:sz w:val="28"/>
          <w:szCs w:val="28"/>
        </w:rPr>
        <w:t xml:space="preserve">provide </w:t>
      </w:r>
      <w:r w:rsidR="00BB0EF0" w:rsidRPr="00B84A66">
        <w:rPr>
          <w:rFonts w:ascii="Calibri Light" w:hAnsi="Calibri Light" w:cs="Calibri Light"/>
          <w:sz w:val="28"/>
          <w:szCs w:val="28"/>
        </w:rPr>
        <w:t>overall offshore enrolment figures by type of TNE provision and</w:t>
      </w:r>
      <w:r w:rsidR="0019697C" w:rsidRPr="00B84A66">
        <w:rPr>
          <w:rFonts w:ascii="Calibri Light" w:hAnsi="Calibri Light" w:cs="Calibri Light"/>
          <w:sz w:val="28"/>
          <w:szCs w:val="28"/>
        </w:rPr>
        <w:t xml:space="preserve"> qualification level</w:t>
      </w:r>
      <w:r w:rsidR="00BB0EF0" w:rsidRPr="00B84A66">
        <w:rPr>
          <w:rFonts w:ascii="Calibri Light" w:hAnsi="Calibri Light" w:cs="Calibri Light"/>
          <w:sz w:val="28"/>
          <w:szCs w:val="28"/>
        </w:rPr>
        <w:t xml:space="preserve"> for </w:t>
      </w:r>
      <w:r w:rsidR="006C3412">
        <w:rPr>
          <w:rFonts w:ascii="Calibri Light" w:hAnsi="Calibri Light" w:cs="Calibri Light"/>
          <w:sz w:val="28"/>
          <w:szCs w:val="28"/>
        </w:rPr>
        <w:t xml:space="preserve">all the </w:t>
      </w:r>
      <w:r w:rsidR="00BB0EF0" w:rsidRPr="00B84A66">
        <w:rPr>
          <w:rFonts w:ascii="Calibri Light" w:hAnsi="Calibri Light" w:cs="Calibri Light"/>
          <w:sz w:val="28"/>
          <w:szCs w:val="28"/>
        </w:rPr>
        <w:t>overseas countr</w:t>
      </w:r>
      <w:r w:rsidR="006C3412">
        <w:rPr>
          <w:rFonts w:ascii="Calibri Light" w:hAnsi="Calibri Light" w:cs="Calibri Light"/>
          <w:sz w:val="28"/>
          <w:szCs w:val="28"/>
        </w:rPr>
        <w:t>ies</w:t>
      </w:r>
      <w:r w:rsidR="00BB0EF0" w:rsidRPr="00B84A66">
        <w:rPr>
          <w:rFonts w:ascii="Calibri Light" w:hAnsi="Calibri Light" w:cs="Calibri Light"/>
          <w:sz w:val="28"/>
          <w:szCs w:val="28"/>
        </w:rPr>
        <w:t xml:space="preserve"> where it has offshore students. </w:t>
      </w:r>
      <w:r w:rsidR="006F75A8">
        <w:rPr>
          <w:rFonts w:ascii="Calibri Light" w:hAnsi="Calibri Light" w:cs="Calibri Light"/>
          <w:sz w:val="28"/>
          <w:szCs w:val="28"/>
        </w:rPr>
        <w:t>However, n</w:t>
      </w:r>
      <w:r w:rsidR="008050F8" w:rsidRPr="00B84A66">
        <w:rPr>
          <w:rFonts w:ascii="Calibri Light" w:hAnsi="Calibri Light" w:cs="Calibri Light"/>
          <w:sz w:val="28"/>
          <w:szCs w:val="28"/>
        </w:rPr>
        <w:t xml:space="preserve">o AOR data is collected on the names/numbers, duration and ownership type of overseas partners, subject enrolments, student gender and revenues and expenditures.   </w:t>
      </w:r>
    </w:p>
    <w:p w14:paraId="47128A0F" w14:textId="5F4C824D" w:rsidR="00B51452" w:rsidRPr="00B84A66" w:rsidRDefault="00D03CB5" w:rsidP="00E114E2">
      <w:pPr>
        <w:jc w:val="both"/>
        <w:rPr>
          <w:rFonts w:ascii="Calibri Light" w:hAnsi="Calibri Light" w:cs="Calibri Light"/>
          <w:sz w:val="28"/>
          <w:szCs w:val="28"/>
        </w:rPr>
      </w:pPr>
      <w:r w:rsidRPr="00B84A66">
        <w:rPr>
          <w:rFonts w:ascii="Calibri Light" w:hAnsi="Calibri Light" w:cs="Calibri Light"/>
          <w:sz w:val="28"/>
          <w:szCs w:val="28"/>
        </w:rPr>
        <w:t xml:space="preserve">HESA classifies offshore </w:t>
      </w:r>
      <w:r w:rsidR="006F75A8">
        <w:rPr>
          <w:rFonts w:ascii="Calibri Light" w:hAnsi="Calibri Light" w:cs="Calibri Light"/>
          <w:sz w:val="28"/>
          <w:szCs w:val="28"/>
        </w:rPr>
        <w:t xml:space="preserve">overseas </w:t>
      </w:r>
      <w:r w:rsidR="009E7CCD">
        <w:rPr>
          <w:rFonts w:ascii="Calibri Light" w:hAnsi="Calibri Light" w:cs="Calibri Light"/>
          <w:sz w:val="28"/>
          <w:szCs w:val="28"/>
        </w:rPr>
        <w:t xml:space="preserve">student </w:t>
      </w:r>
      <w:r w:rsidRPr="00B84A66">
        <w:rPr>
          <w:rFonts w:ascii="Calibri Light" w:hAnsi="Calibri Light" w:cs="Calibri Light"/>
          <w:sz w:val="28"/>
          <w:szCs w:val="28"/>
        </w:rPr>
        <w:t>p</w:t>
      </w:r>
      <w:r w:rsidR="00B51452" w:rsidRPr="00B84A66">
        <w:rPr>
          <w:rFonts w:ascii="Calibri Light" w:hAnsi="Calibri Light" w:cs="Calibri Light"/>
          <w:sz w:val="28"/>
          <w:szCs w:val="28"/>
        </w:rPr>
        <w:t xml:space="preserve">rovision </w:t>
      </w:r>
      <w:r w:rsidR="006F75A8">
        <w:rPr>
          <w:rFonts w:ascii="Calibri Light" w:hAnsi="Calibri Light" w:cs="Calibri Light"/>
          <w:sz w:val="28"/>
          <w:szCs w:val="28"/>
        </w:rPr>
        <w:t>as follows</w:t>
      </w:r>
      <w:r w:rsidRPr="00B84A66">
        <w:rPr>
          <w:rFonts w:ascii="Calibri Light" w:hAnsi="Calibri Light" w:cs="Calibri Light"/>
          <w:sz w:val="28"/>
          <w:szCs w:val="28"/>
        </w:rPr>
        <w:t>:</w:t>
      </w:r>
    </w:p>
    <w:p w14:paraId="2D4746D4" w14:textId="77777777" w:rsidR="00B51452" w:rsidRPr="00B84A66" w:rsidRDefault="00B51452" w:rsidP="008157EF">
      <w:pPr>
        <w:pStyle w:val="ListParagraph"/>
        <w:numPr>
          <w:ilvl w:val="0"/>
          <w:numId w:val="18"/>
        </w:numPr>
        <w:jc w:val="both"/>
        <w:rPr>
          <w:rFonts w:ascii="Calibri Light" w:hAnsi="Calibri Light" w:cs="Calibri Light"/>
          <w:sz w:val="28"/>
          <w:szCs w:val="28"/>
        </w:rPr>
      </w:pPr>
      <w:r w:rsidRPr="00B84A66">
        <w:rPr>
          <w:rFonts w:ascii="Calibri Light" w:hAnsi="Calibri Light" w:cs="Calibri Light"/>
          <w:sz w:val="28"/>
          <w:szCs w:val="28"/>
        </w:rPr>
        <w:t>Overseas branch campus (OBC) set up and wholly owned by a UK university (‘reporting provider’) and, as such, ‘it is seen as no different from any other campus of the provider’.</w:t>
      </w:r>
    </w:p>
    <w:p w14:paraId="227503A4" w14:textId="2DFBD6ED" w:rsidR="00B51452" w:rsidRPr="00B84A66" w:rsidRDefault="006F75A8" w:rsidP="008157EF">
      <w:pPr>
        <w:pStyle w:val="ListParagraph"/>
        <w:numPr>
          <w:ilvl w:val="0"/>
          <w:numId w:val="18"/>
        </w:numPr>
        <w:jc w:val="both"/>
        <w:rPr>
          <w:rFonts w:ascii="Calibri Light" w:hAnsi="Calibri Light" w:cs="Calibri Light"/>
          <w:sz w:val="28"/>
          <w:szCs w:val="28"/>
        </w:rPr>
      </w:pPr>
      <w:r>
        <w:rPr>
          <w:rFonts w:ascii="Calibri Light" w:hAnsi="Calibri Light" w:cs="Calibri Light"/>
          <w:sz w:val="28"/>
          <w:szCs w:val="28"/>
        </w:rPr>
        <w:t>Overseas d</w:t>
      </w:r>
      <w:r w:rsidR="00B51452" w:rsidRPr="00B84A66">
        <w:rPr>
          <w:rFonts w:ascii="Calibri Light" w:hAnsi="Calibri Light" w:cs="Calibri Light"/>
          <w:sz w:val="28"/>
          <w:szCs w:val="28"/>
        </w:rPr>
        <w:t>istance, flexible or distributed learning (</w:t>
      </w:r>
      <w:r>
        <w:rPr>
          <w:rFonts w:ascii="Calibri Light" w:hAnsi="Calibri Light" w:cs="Calibri Light"/>
          <w:sz w:val="28"/>
          <w:szCs w:val="28"/>
        </w:rPr>
        <w:t>O</w:t>
      </w:r>
      <w:r w:rsidR="00B51452" w:rsidRPr="00B84A66">
        <w:rPr>
          <w:rFonts w:ascii="Calibri Light" w:hAnsi="Calibri Light" w:cs="Calibri Light"/>
          <w:sz w:val="28"/>
          <w:szCs w:val="28"/>
        </w:rPr>
        <w:t>DL) which ‘generally do not require the student to attend particular classes or events at particular times and particular locations’.</w:t>
      </w:r>
    </w:p>
    <w:p w14:paraId="7E196F22" w14:textId="175017D0" w:rsidR="00B51452" w:rsidRPr="00B84A66" w:rsidRDefault="00B51452" w:rsidP="008157EF">
      <w:pPr>
        <w:pStyle w:val="ListParagraph"/>
        <w:numPr>
          <w:ilvl w:val="0"/>
          <w:numId w:val="18"/>
        </w:numPr>
        <w:jc w:val="both"/>
        <w:rPr>
          <w:rFonts w:ascii="Calibri Light" w:hAnsi="Calibri Light" w:cs="Calibri Light"/>
          <w:sz w:val="28"/>
          <w:szCs w:val="28"/>
        </w:rPr>
      </w:pPr>
      <w:r w:rsidRPr="00B84A66">
        <w:rPr>
          <w:rFonts w:ascii="Calibri Light" w:hAnsi="Calibri Light" w:cs="Calibri Light"/>
          <w:sz w:val="28"/>
          <w:szCs w:val="28"/>
        </w:rPr>
        <w:t xml:space="preserve">Overseas </w:t>
      </w:r>
      <w:r w:rsidR="009E7CCD">
        <w:rPr>
          <w:rFonts w:ascii="Calibri Light" w:hAnsi="Calibri Light" w:cs="Calibri Light"/>
          <w:sz w:val="28"/>
          <w:szCs w:val="28"/>
        </w:rPr>
        <w:t xml:space="preserve">institutional </w:t>
      </w:r>
      <w:r w:rsidRPr="00B84A66">
        <w:rPr>
          <w:rFonts w:ascii="Calibri Light" w:hAnsi="Calibri Light" w:cs="Calibri Light"/>
          <w:sz w:val="28"/>
          <w:szCs w:val="28"/>
        </w:rPr>
        <w:t>collaborative/franchised provision which denotes provision ‘leading to an award of an awarding provider delivered and/or assessed through an arrangement with an overseas partner organisation’.</w:t>
      </w:r>
    </w:p>
    <w:p w14:paraId="179EA4A8" w14:textId="77777777" w:rsidR="009E7CCD" w:rsidRDefault="008157EF" w:rsidP="008157EF">
      <w:pPr>
        <w:pStyle w:val="ListParagraph"/>
        <w:numPr>
          <w:ilvl w:val="0"/>
          <w:numId w:val="18"/>
        </w:numPr>
        <w:jc w:val="both"/>
        <w:rPr>
          <w:rFonts w:ascii="Calibri Light" w:hAnsi="Calibri Light" w:cs="Calibri Light"/>
          <w:sz w:val="28"/>
          <w:szCs w:val="28"/>
        </w:rPr>
      </w:pPr>
      <w:r w:rsidRPr="00B84A66">
        <w:rPr>
          <w:rFonts w:ascii="Calibri Light" w:hAnsi="Calibri Light" w:cs="Calibri Light"/>
          <w:sz w:val="28"/>
          <w:szCs w:val="28"/>
        </w:rPr>
        <w:t>Students studying for an award of a UK university</w:t>
      </w:r>
      <w:r w:rsidR="00F56D36" w:rsidRPr="00B84A66">
        <w:rPr>
          <w:rFonts w:ascii="Calibri Light" w:hAnsi="Calibri Light" w:cs="Calibri Light"/>
          <w:sz w:val="28"/>
          <w:szCs w:val="28"/>
        </w:rPr>
        <w:t xml:space="preserve"> who are not registered with this </w:t>
      </w:r>
      <w:r w:rsidRPr="00B84A66">
        <w:rPr>
          <w:rFonts w:ascii="Calibri Light" w:hAnsi="Calibri Light" w:cs="Calibri Light"/>
          <w:sz w:val="28"/>
          <w:szCs w:val="28"/>
        </w:rPr>
        <w:t xml:space="preserve">university i.e. they are studying for an award </w:t>
      </w:r>
      <w:r w:rsidR="00603DB7" w:rsidRPr="00B84A66">
        <w:rPr>
          <w:rFonts w:ascii="Calibri Light" w:hAnsi="Calibri Light" w:cs="Calibri Light"/>
          <w:sz w:val="28"/>
          <w:szCs w:val="28"/>
        </w:rPr>
        <w:t xml:space="preserve">at an overseas education/training institution </w:t>
      </w:r>
      <w:r w:rsidRPr="00B84A66">
        <w:rPr>
          <w:rFonts w:ascii="Calibri Light" w:hAnsi="Calibri Light" w:cs="Calibri Light"/>
          <w:sz w:val="28"/>
          <w:szCs w:val="28"/>
        </w:rPr>
        <w:t xml:space="preserve">that has been </w:t>
      </w:r>
      <w:r w:rsidR="009E7CCD">
        <w:rPr>
          <w:rFonts w:ascii="Calibri Light" w:hAnsi="Calibri Light" w:cs="Calibri Light"/>
          <w:sz w:val="28"/>
          <w:szCs w:val="28"/>
        </w:rPr>
        <w:t>validated by the UK university.</w:t>
      </w:r>
    </w:p>
    <w:p w14:paraId="30C97346" w14:textId="3C1F88E3" w:rsidR="00B51452" w:rsidRPr="009E7CCD" w:rsidRDefault="008157EF" w:rsidP="009E7CCD">
      <w:pPr>
        <w:jc w:val="both"/>
        <w:rPr>
          <w:rFonts w:ascii="Calibri Light" w:hAnsi="Calibri Light" w:cs="Calibri Light"/>
          <w:sz w:val="28"/>
          <w:szCs w:val="28"/>
        </w:rPr>
      </w:pPr>
      <w:r w:rsidRPr="009E7CCD">
        <w:rPr>
          <w:rFonts w:ascii="Calibri Light" w:hAnsi="Calibri Light" w:cs="Calibri Light"/>
          <w:sz w:val="28"/>
          <w:szCs w:val="28"/>
        </w:rPr>
        <w:t>The main difference between franchised and validated degrees is that</w:t>
      </w:r>
      <w:r w:rsidR="00603DB7" w:rsidRPr="009E7CCD">
        <w:rPr>
          <w:rFonts w:ascii="Calibri Light" w:hAnsi="Calibri Light" w:cs="Calibri Light"/>
          <w:sz w:val="28"/>
          <w:szCs w:val="28"/>
        </w:rPr>
        <w:t>,</w:t>
      </w:r>
      <w:r w:rsidRPr="009E7CCD">
        <w:rPr>
          <w:rFonts w:ascii="Calibri Light" w:hAnsi="Calibri Light" w:cs="Calibri Light"/>
          <w:sz w:val="28"/>
          <w:szCs w:val="28"/>
        </w:rPr>
        <w:t xml:space="preserve"> </w:t>
      </w:r>
      <w:r w:rsidR="00603DB7" w:rsidRPr="009E7CCD">
        <w:rPr>
          <w:rFonts w:ascii="Calibri Light" w:hAnsi="Calibri Light" w:cs="Calibri Light"/>
          <w:sz w:val="28"/>
          <w:szCs w:val="28"/>
        </w:rPr>
        <w:t xml:space="preserve">for the latter type of degrees, </w:t>
      </w:r>
      <w:r w:rsidRPr="009E7CCD">
        <w:rPr>
          <w:rFonts w:ascii="Calibri Light" w:hAnsi="Calibri Light" w:cs="Calibri Light"/>
          <w:sz w:val="28"/>
          <w:szCs w:val="28"/>
        </w:rPr>
        <w:t xml:space="preserve">the overseas partner does not </w:t>
      </w:r>
      <w:r w:rsidR="00654136" w:rsidRPr="009E7CCD">
        <w:rPr>
          <w:rFonts w:ascii="Calibri Light" w:hAnsi="Calibri Light" w:cs="Calibri Light"/>
          <w:sz w:val="28"/>
          <w:szCs w:val="28"/>
        </w:rPr>
        <w:t xml:space="preserve">necessarily </w:t>
      </w:r>
      <w:r w:rsidR="00603DB7" w:rsidRPr="009E7CCD">
        <w:rPr>
          <w:rFonts w:ascii="Calibri Light" w:hAnsi="Calibri Light" w:cs="Calibri Light"/>
          <w:sz w:val="28"/>
          <w:szCs w:val="28"/>
        </w:rPr>
        <w:t>follow</w:t>
      </w:r>
      <w:r w:rsidRPr="009E7CCD">
        <w:rPr>
          <w:rFonts w:ascii="Calibri Light" w:hAnsi="Calibri Light" w:cs="Calibri Light"/>
          <w:sz w:val="28"/>
          <w:szCs w:val="28"/>
        </w:rPr>
        <w:t xml:space="preserve"> the curriculum of the UK university.</w:t>
      </w:r>
      <w:r w:rsidR="00B51452" w:rsidRPr="009E7CCD">
        <w:rPr>
          <w:rFonts w:ascii="Calibri Light" w:hAnsi="Calibri Light" w:cs="Calibri Light"/>
          <w:sz w:val="28"/>
          <w:szCs w:val="28"/>
        </w:rPr>
        <w:t xml:space="preserve"> </w:t>
      </w:r>
    </w:p>
    <w:p w14:paraId="5B4F5912" w14:textId="2E93A6FB" w:rsidR="00AF2FF2" w:rsidRDefault="009E7CCD" w:rsidP="00281044">
      <w:pPr>
        <w:jc w:val="both"/>
        <w:rPr>
          <w:rFonts w:ascii="Calibri Light" w:hAnsi="Calibri Light" w:cs="Calibri Light"/>
          <w:sz w:val="28"/>
          <w:szCs w:val="28"/>
        </w:rPr>
      </w:pPr>
      <w:r>
        <w:rPr>
          <w:rFonts w:ascii="Calibri Light" w:hAnsi="Calibri Light" w:cs="Calibri Light"/>
          <w:sz w:val="28"/>
          <w:szCs w:val="28"/>
        </w:rPr>
        <w:t>Various co</w:t>
      </w:r>
      <w:r w:rsidR="00D03CB5" w:rsidRPr="00B84A66">
        <w:rPr>
          <w:rFonts w:ascii="Calibri Light" w:hAnsi="Calibri Light" w:cs="Calibri Light"/>
          <w:sz w:val="28"/>
          <w:szCs w:val="28"/>
        </w:rPr>
        <w:t xml:space="preserve">ncerns have been raised about the usefulness of these categories </w:t>
      </w:r>
      <w:r w:rsidR="00E246F2" w:rsidRPr="00B84A66">
        <w:rPr>
          <w:rFonts w:ascii="Calibri Light" w:hAnsi="Calibri Light" w:cs="Calibri Light"/>
          <w:sz w:val="28"/>
          <w:szCs w:val="28"/>
        </w:rPr>
        <w:t xml:space="preserve">mainly </w:t>
      </w:r>
      <w:r w:rsidR="00AA3CFB" w:rsidRPr="00B84A66">
        <w:rPr>
          <w:rFonts w:ascii="Calibri Light" w:hAnsi="Calibri Light" w:cs="Calibri Light"/>
          <w:sz w:val="28"/>
          <w:szCs w:val="28"/>
        </w:rPr>
        <w:t>becau</w:t>
      </w:r>
      <w:r w:rsidR="00885B8B" w:rsidRPr="00B84A66">
        <w:rPr>
          <w:rFonts w:ascii="Calibri Light" w:hAnsi="Calibri Light" w:cs="Calibri Light"/>
          <w:sz w:val="28"/>
          <w:szCs w:val="28"/>
        </w:rPr>
        <w:t>se they do not a</w:t>
      </w:r>
      <w:r w:rsidR="00E10CE9">
        <w:rPr>
          <w:rFonts w:ascii="Calibri Light" w:hAnsi="Calibri Light" w:cs="Calibri Light"/>
          <w:sz w:val="28"/>
          <w:szCs w:val="28"/>
        </w:rPr>
        <w:t xml:space="preserve">lways adequately </w:t>
      </w:r>
      <w:r w:rsidR="00885B8B" w:rsidRPr="00B84A66">
        <w:rPr>
          <w:rFonts w:ascii="Calibri Light" w:hAnsi="Calibri Light" w:cs="Calibri Light"/>
          <w:sz w:val="28"/>
          <w:szCs w:val="28"/>
        </w:rPr>
        <w:t>match-</w:t>
      </w:r>
      <w:r w:rsidR="00AA3CFB" w:rsidRPr="00B84A66">
        <w:rPr>
          <w:rFonts w:ascii="Calibri Light" w:hAnsi="Calibri Light" w:cs="Calibri Light"/>
          <w:sz w:val="28"/>
          <w:szCs w:val="28"/>
        </w:rPr>
        <w:t xml:space="preserve">up with </w:t>
      </w:r>
      <w:r w:rsidR="00885B8B" w:rsidRPr="00B84A66">
        <w:rPr>
          <w:rFonts w:ascii="Calibri Light" w:hAnsi="Calibri Light" w:cs="Calibri Light"/>
          <w:sz w:val="28"/>
          <w:szCs w:val="28"/>
        </w:rPr>
        <w:t xml:space="preserve">the offshore </w:t>
      </w:r>
      <w:r w:rsidR="00AA3CFB" w:rsidRPr="00B84A66">
        <w:rPr>
          <w:rFonts w:ascii="Calibri Light" w:hAnsi="Calibri Light" w:cs="Calibri Light"/>
          <w:sz w:val="28"/>
          <w:szCs w:val="28"/>
        </w:rPr>
        <w:t xml:space="preserve">activity categories </w:t>
      </w:r>
      <w:r w:rsidR="00C0469B" w:rsidRPr="00B84A66">
        <w:rPr>
          <w:rFonts w:ascii="Calibri Light" w:hAnsi="Calibri Light" w:cs="Calibri Light"/>
          <w:sz w:val="28"/>
          <w:szCs w:val="28"/>
        </w:rPr>
        <w:t xml:space="preserve">most commonly </w:t>
      </w:r>
      <w:r w:rsidR="00AA3CFB" w:rsidRPr="00B84A66">
        <w:rPr>
          <w:rFonts w:ascii="Calibri Light" w:hAnsi="Calibri Light" w:cs="Calibri Light"/>
          <w:sz w:val="28"/>
          <w:szCs w:val="28"/>
        </w:rPr>
        <w:t>used by UK universiti</w:t>
      </w:r>
      <w:r w:rsidR="00885B8B" w:rsidRPr="00B84A66">
        <w:rPr>
          <w:rFonts w:ascii="Calibri Light" w:hAnsi="Calibri Light" w:cs="Calibri Light"/>
          <w:sz w:val="28"/>
          <w:szCs w:val="28"/>
        </w:rPr>
        <w:t xml:space="preserve">es themselves. </w:t>
      </w:r>
      <w:r w:rsidR="008050F8" w:rsidRPr="00B84A66">
        <w:rPr>
          <w:rFonts w:ascii="Calibri Light" w:hAnsi="Calibri Light" w:cs="Calibri Light"/>
          <w:sz w:val="28"/>
          <w:szCs w:val="28"/>
        </w:rPr>
        <w:t xml:space="preserve">Specifically, </w:t>
      </w:r>
      <w:r w:rsidR="00885B8B" w:rsidRPr="00B84A66">
        <w:rPr>
          <w:rFonts w:ascii="Calibri Light" w:hAnsi="Calibri Light" w:cs="Calibri Light"/>
          <w:sz w:val="28"/>
          <w:szCs w:val="28"/>
        </w:rPr>
        <w:t xml:space="preserve">most universities sub-divide their </w:t>
      </w:r>
      <w:r w:rsidR="00AA3CFB" w:rsidRPr="00B84A66">
        <w:rPr>
          <w:rFonts w:ascii="Calibri Light" w:hAnsi="Calibri Light" w:cs="Calibri Light"/>
          <w:sz w:val="28"/>
          <w:szCs w:val="28"/>
        </w:rPr>
        <w:t xml:space="preserve">overseas partnerships </w:t>
      </w:r>
      <w:r w:rsidR="00885B8B" w:rsidRPr="00B84A66">
        <w:rPr>
          <w:rFonts w:ascii="Calibri Light" w:hAnsi="Calibri Light" w:cs="Calibri Light"/>
          <w:sz w:val="28"/>
          <w:szCs w:val="28"/>
        </w:rPr>
        <w:t xml:space="preserve">according to the </w:t>
      </w:r>
      <w:r w:rsidR="00AA3CFB" w:rsidRPr="00B84A66">
        <w:rPr>
          <w:rFonts w:ascii="Calibri Light" w:hAnsi="Calibri Light" w:cs="Calibri Light"/>
          <w:sz w:val="28"/>
          <w:szCs w:val="28"/>
        </w:rPr>
        <w:t>following activities: franchise, validation, collaborative, joint venture</w:t>
      </w:r>
      <w:r w:rsidR="008050F8" w:rsidRPr="00B84A66">
        <w:rPr>
          <w:rFonts w:ascii="Calibri Light" w:hAnsi="Calibri Light" w:cs="Calibri Light"/>
          <w:sz w:val="28"/>
          <w:szCs w:val="28"/>
        </w:rPr>
        <w:t>, flying faculty,</w:t>
      </w:r>
      <w:r w:rsidR="00AA3CFB" w:rsidRPr="00B84A66">
        <w:rPr>
          <w:rFonts w:ascii="Calibri Light" w:hAnsi="Calibri Light" w:cs="Calibri Light"/>
          <w:sz w:val="28"/>
          <w:szCs w:val="28"/>
        </w:rPr>
        <w:t xml:space="preserve"> and articulation/progression/</w:t>
      </w:r>
      <w:r w:rsidR="008875DC" w:rsidRPr="00B84A66">
        <w:rPr>
          <w:rFonts w:ascii="Calibri Light" w:hAnsi="Calibri Light" w:cs="Calibri Light"/>
          <w:sz w:val="28"/>
          <w:szCs w:val="28"/>
        </w:rPr>
        <w:t xml:space="preserve">advanced </w:t>
      </w:r>
      <w:r w:rsidR="00AA3CFB" w:rsidRPr="00B84A66">
        <w:rPr>
          <w:rFonts w:ascii="Calibri Light" w:hAnsi="Calibri Light" w:cs="Calibri Light"/>
          <w:sz w:val="28"/>
          <w:szCs w:val="28"/>
        </w:rPr>
        <w:t>standing.</w:t>
      </w:r>
      <w:r w:rsidR="00885B8B" w:rsidRPr="00B84A66">
        <w:rPr>
          <w:rFonts w:ascii="Calibri Light" w:hAnsi="Calibri Light" w:cs="Calibri Light"/>
          <w:sz w:val="28"/>
          <w:szCs w:val="28"/>
        </w:rPr>
        <w:t xml:space="preserve"> </w:t>
      </w:r>
    </w:p>
    <w:p w14:paraId="02B63E67" w14:textId="68E2AE8D" w:rsidR="000F44B3" w:rsidRDefault="000F44B3" w:rsidP="00E114E2">
      <w:pPr>
        <w:jc w:val="both"/>
        <w:rPr>
          <w:rFonts w:ascii="Calibri Light" w:hAnsi="Calibri Light" w:cs="Calibri Light"/>
          <w:sz w:val="28"/>
          <w:szCs w:val="28"/>
        </w:rPr>
      </w:pPr>
      <w:r>
        <w:rPr>
          <w:rFonts w:ascii="Calibri Light" w:hAnsi="Calibri Light" w:cs="Calibri Light"/>
          <w:sz w:val="28"/>
          <w:szCs w:val="28"/>
        </w:rPr>
        <w:lastRenderedPageBreak/>
        <w:t xml:space="preserve">While </w:t>
      </w:r>
      <w:r w:rsidR="005A0027" w:rsidRPr="00B84A66">
        <w:rPr>
          <w:rFonts w:ascii="Calibri Light" w:hAnsi="Calibri Light" w:cs="Calibri Light"/>
          <w:sz w:val="28"/>
          <w:szCs w:val="28"/>
        </w:rPr>
        <w:t>th</w:t>
      </w:r>
      <w:r w:rsidR="00104AC7" w:rsidRPr="00B84A66">
        <w:rPr>
          <w:rFonts w:ascii="Calibri Light" w:hAnsi="Calibri Light" w:cs="Calibri Light"/>
          <w:sz w:val="28"/>
          <w:szCs w:val="28"/>
        </w:rPr>
        <w:t xml:space="preserve">e total numbers of </w:t>
      </w:r>
      <w:r>
        <w:rPr>
          <w:rFonts w:ascii="Calibri Light" w:hAnsi="Calibri Light" w:cs="Calibri Light"/>
          <w:sz w:val="28"/>
          <w:szCs w:val="28"/>
        </w:rPr>
        <w:t xml:space="preserve">offshore </w:t>
      </w:r>
      <w:r w:rsidR="00104AC7" w:rsidRPr="00B84A66">
        <w:rPr>
          <w:rFonts w:ascii="Calibri Light" w:hAnsi="Calibri Light" w:cs="Calibri Light"/>
          <w:sz w:val="28"/>
          <w:szCs w:val="28"/>
        </w:rPr>
        <w:t xml:space="preserve">students </w:t>
      </w:r>
      <w:r w:rsidR="008050F8" w:rsidRPr="00B84A66">
        <w:rPr>
          <w:rFonts w:ascii="Calibri Light" w:hAnsi="Calibri Light" w:cs="Calibri Light"/>
          <w:sz w:val="28"/>
          <w:szCs w:val="28"/>
        </w:rPr>
        <w:t xml:space="preserve">appear to be </w:t>
      </w:r>
      <w:r w:rsidR="00603DB7" w:rsidRPr="00B84A66">
        <w:rPr>
          <w:rFonts w:ascii="Calibri Light" w:hAnsi="Calibri Light" w:cs="Calibri Light"/>
          <w:sz w:val="28"/>
          <w:szCs w:val="28"/>
        </w:rPr>
        <w:t xml:space="preserve">accurately reported to HESA </w:t>
      </w:r>
      <w:r w:rsidR="00104AC7" w:rsidRPr="00B84A66">
        <w:rPr>
          <w:rFonts w:ascii="Calibri Light" w:hAnsi="Calibri Light" w:cs="Calibri Light"/>
          <w:sz w:val="28"/>
          <w:szCs w:val="28"/>
        </w:rPr>
        <w:t xml:space="preserve">at both the individual university and </w:t>
      </w:r>
      <w:r>
        <w:rPr>
          <w:rFonts w:ascii="Calibri Light" w:hAnsi="Calibri Light" w:cs="Calibri Light"/>
          <w:sz w:val="28"/>
          <w:szCs w:val="28"/>
        </w:rPr>
        <w:t xml:space="preserve">overseas </w:t>
      </w:r>
      <w:r w:rsidR="00C0469B" w:rsidRPr="00B84A66">
        <w:rPr>
          <w:rFonts w:ascii="Calibri Light" w:hAnsi="Calibri Light" w:cs="Calibri Light"/>
          <w:sz w:val="28"/>
          <w:szCs w:val="28"/>
        </w:rPr>
        <w:t>country level</w:t>
      </w:r>
      <w:r>
        <w:rPr>
          <w:rFonts w:ascii="Calibri Light" w:hAnsi="Calibri Light" w:cs="Calibri Light"/>
          <w:sz w:val="28"/>
          <w:szCs w:val="28"/>
        </w:rPr>
        <w:t>, t</w:t>
      </w:r>
      <w:r w:rsidR="005A0027" w:rsidRPr="00B84A66">
        <w:rPr>
          <w:rFonts w:ascii="Calibri Light" w:hAnsi="Calibri Light" w:cs="Calibri Light"/>
          <w:sz w:val="28"/>
          <w:szCs w:val="28"/>
        </w:rPr>
        <w:t>he</w:t>
      </w:r>
      <w:r w:rsidR="00654136">
        <w:rPr>
          <w:rFonts w:ascii="Calibri Light" w:hAnsi="Calibri Light" w:cs="Calibri Light"/>
          <w:sz w:val="28"/>
          <w:szCs w:val="28"/>
        </w:rPr>
        <w:t>re are</w:t>
      </w:r>
      <w:r>
        <w:rPr>
          <w:rFonts w:ascii="Calibri Light" w:hAnsi="Calibri Light" w:cs="Calibri Light"/>
          <w:sz w:val="28"/>
          <w:szCs w:val="28"/>
        </w:rPr>
        <w:t xml:space="preserve"> </w:t>
      </w:r>
      <w:r w:rsidR="00654136">
        <w:rPr>
          <w:rFonts w:ascii="Calibri Light" w:hAnsi="Calibri Light" w:cs="Calibri Light"/>
          <w:sz w:val="28"/>
          <w:szCs w:val="28"/>
        </w:rPr>
        <w:t>a number of issues especially concerning the definitions of who exactly is an offshore student</w:t>
      </w:r>
      <w:r w:rsidR="00500188">
        <w:rPr>
          <w:rStyle w:val="FootnoteReference"/>
          <w:rFonts w:ascii="Calibri Light" w:hAnsi="Calibri Light" w:cs="Calibri Light"/>
          <w:sz w:val="28"/>
          <w:szCs w:val="28"/>
        </w:rPr>
        <w:footnoteReference w:id="4"/>
      </w:r>
      <w:r w:rsidR="00654136">
        <w:rPr>
          <w:rFonts w:ascii="Calibri Light" w:hAnsi="Calibri Light" w:cs="Calibri Light"/>
          <w:sz w:val="28"/>
          <w:szCs w:val="28"/>
        </w:rPr>
        <w:t xml:space="preserve"> and overseas branch campuses and distance learning students which need to be taken account of</w:t>
      </w:r>
      <w:r w:rsidR="00500188">
        <w:rPr>
          <w:rFonts w:ascii="Calibri Light" w:hAnsi="Calibri Light" w:cs="Calibri Light"/>
          <w:sz w:val="28"/>
          <w:szCs w:val="28"/>
        </w:rPr>
        <w:t xml:space="preserve"> in further research on TNE</w:t>
      </w:r>
      <w:r w:rsidR="00654136">
        <w:rPr>
          <w:rFonts w:ascii="Calibri Light" w:hAnsi="Calibri Light" w:cs="Calibri Light"/>
          <w:sz w:val="28"/>
          <w:szCs w:val="28"/>
        </w:rPr>
        <w:t xml:space="preserve">. </w:t>
      </w:r>
    </w:p>
    <w:p w14:paraId="11448438" w14:textId="27A7C40F" w:rsidR="005A0027" w:rsidRPr="00B84A66" w:rsidRDefault="005A0027" w:rsidP="00E114E2">
      <w:pPr>
        <w:jc w:val="both"/>
        <w:rPr>
          <w:rFonts w:ascii="Calibri Light" w:hAnsi="Calibri Light" w:cs="Calibri Light"/>
          <w:sz w:val="28"/>
          <w:szCs w:val="28"/>
        </w:rPr>
      </w:pPr>
      <w:r w:rsidRPr="00B84A66">
        <w:rPr>
          <w:rFonts w:ascii="Calibri Light" w:hAnsi="Calibri Light" w:cs="Calibri Light"/>
          <w:sz w:val="28"/>
          <w:szCs w:val="28"/>
        </w:rPr>
        <w:t xml:space="preserve">As part of its normal </w:t>
      </w:r>
      <w:r w:rsidR="000F44B3">
        <w:rPr>
          <w:rFonts w:ascii="Calibri Light" w:hAnsi="Calibri Light" w:cs="Calibri Light"/>
          <w:sz w:val="28"/>
          <w:szCs w:val="28"/>
        </w:rPr>
        <w:t xml:space="preserve">annual </w:t>
      </w:r>
      <w:r w:rsidRPr="00B84A66">
        <w:rPr>
          <w:rFonts w:ascii="Calibri Light" w:hAnsi="Calibri Light" w:cs="Calibri Light"/>
          <w:sz w:val="28"/>
          <w:szCs w:val="28"/>
        </w:rPr>
        <w:t xml:space="preserve">schedule of data releases, HESA </w:t>
      </w:r>
      <w:r w:rsidR="009E7CCD">
        <w:rPr>
          <w:rFonts w:ascii="Calibri Light" w:hAnsi="Calibri Light" w:cs="Calibri Light"/>
          <w:sz w:val="28"/>
          <w:szCs w:val="28"/>
        </w:rPr>
        <w:t xml:space="preserve">AOR </w:t>
      </w:r>
      <w:r w:rsidRPr="00B84A66">
        <w:rPr>
          <w:rFonts w:ascii="Calibri Light" w:hAnsi="Calibri Light" w:cs="Calibri Light"/>
          <w:sz w:val="28"/>
          <w:szCs w:val="28"/>
        </w:rPr>
        <w:t xml:space="preserve">offshore student enrolment data for the current 2020/21 academic year will not be made public until February 2022. In order, therefore, </w:t>
      </w:r>
      <w:r w:rsidR="000F44B3">
        <w:rPr>
          <w:rFonts w:ascii="Calibri Light" w:hAnsi="Calibri Light" w:cs="Calibri Light"/>
          <w:sz w:val="28"/>
          <w:szCs w:val="28"/>
        </w:rPr>
        <w:t xml:space="preserve">to assess now what the immediate impacts of the BC shocks are, </w:t>
      </w:r>
      <w:r w:rsidRPr="00B84A66">
        <w:rPr>
          <w:rFonts w:ascii="Calibri Light" w:hAnsi="Calibri Light" w:cs="Calibri Light"/>
          <w:sz w:val="28"/>
          <w:szCs w:val="28"/>
        </w:rPr>
        <w:t xml:space="preserve">Freedom of Information Act requests were made </w:t>
      </w:r>
      <w:r w:rsidR="000F44B3">
        <w:rPr>
          <w:rFonts w:ascii="Calibri Light" w:hAnsi="Calibri Light" w:cs="Calibri Light"/>
          <w:sz w:val="28"/>
          <w:szCs w:val="28"/>
        </w:rPr>
        <w:t xml:space="preserve">directly </w:t>
      </w:r>
      <w:r w:rsidRPr="00B84A66">
        <w:rPr>
          <w:rFonts w:ascii="Calibri Light" w:hAnsi="Calibri Light" w:cs="Calibri Light"/>
          <w:sz w:val="28"/>
          <w:szCs w:val="28"/>
        </w:rPr>
        <w:t xml:space="preserve">to a total of </w:t>
      </w:r>
      <w:r w:rsidR="00CC596F">
        <w:rPr>
          <w:rFonts w:ascii="Calibri Light" w:hAnsi="Calibri Light" w:cs="Calibri Light"/>
          <w:sz w:val="28"/>
          <w:szCs w:val="28"/>
        </w:rPr>
        <w:t>121</w:t>
      </w:r>
      <w:r w:rsidRPr="00B84A66">
        <w:rPr>
          <w:rFonts w:ascii="Calibri Light" w:hAnsi="Calibri Light" w:cs="Calibri Light"/>
          <w:sz w:val="28"/>
          <w:szCs w:val="28"/>
        </w:rPr>
        <w:t xml:space="preserve"> universities</w:t>
      </w:r>
      <w:r w:rsidR="000F44B3">
        <w:rPr>
          <w:rStyle w:val="FootnoteReference"/>
          <w:rFonts w:ascii="Calibri Light" w:hAnsi="Calibri Light" w:cs="Calibri Light"/>
          <w:sz w:val="28"/>
          <w:szCs w:val="28"/>
        </w:rPr>
        <w:footnoteReference w:id="5"/>
      </w:r>
      <w:r w:rsidRPr="00B84A66">
        <w:rPr>
          <w:rFonts w:ascii="Calibri Light" w:hAnsi="Calibri Light" w:cs="Calibri Light"/>
          <w:sz w:val="28"/>
          <w:szCs w:val="28"/>
        </w:rPr>
        <w:t>. Each university was asked to provide information on total offshore enrolments towards the end of the first term of the 2020/21 academic year in mid-late November 2020 for all 27 European Union countries and for the rest of the world broken down by type of offshore provision and</w:t>
      </w:r>
      <w:r w:rsidR="000F44B3">
        <w:rPr>
          <w:rFonts w:ascii="Calibri Light" w:hAnsi="Calibri Light" w:cs="Calibri Light"/>
          <w:sz w:val="28"/>
          <w:szCs w:val="28"/>
        </w:rPr>
        <w:t xml:space="preserve"> level of study (under- and post</w:t>
      </w:r>
      <w:r w:rsidRPr="00B84A66">
        <w:rPr>
          <w:rFonts w:ascii="Calibri Light" w:hAnsi="Calibri Light" w:cs="Calibri Light"/>
          <w:sz w:val="28"/>
          <w:szCs w:val="28"/>
        </w:rPr>
        <w:t xml:space="preserve">graduate). It would have been desirable to obtain a full individual country breakdown of enrolments. However, </w:t>
      </w:r>
      <w:r w:rsidR="000F44B3">
        <w:rPr>
          <w:rFonts w:ascii="Calibri Light" w:hAnsi="Calibri Light" w:cs="Calibri Light"/>
          <w:sz w:val="28"/>
          <w:szCs w:val="28"/>
        </w:rPr>
        <w:t xml:space="preserve">based on </w:t>
      </w:r>
      <w:r w:rsidRPr="00B84A66">
        <w:rPr>
          <w:rFonts w:ascii="Calibri Light" w:hAnsi="Calibri Light" w:cs="Calibri Light"/>
          <w:sz w:val="28"/>
          <w:szCs w:val="28"/>
        </w:rPr>
        <w:t>previous experience with FOIA requests, it is likely that a significant number of universities would have refused to provide this information on the grounds that it was not readily available</w:t>
      </w:r>
      <w:r w:rsidR="000F44B3">
        <w:rPr>
          <w:rStyle w:val="FootnoteReference"/>
          <w:rFonts w:ascii="Calibri Light" w:hAnsi="Calibri Light" w:cs="Calibri Light"/>
          <w:sz w:val="28"/>
          <w:szCs w:val="28"/>
        </w:rPr>
        <w:footnoteReference w:id="6"/>
      </w:r>
      <w:r w:rsidRPr="00B84A66">
        <w:rPr>
          <w:rFonts w:ascii="Calibri Light" w:hAnsi="Calibri Light" w:cs="Calibri Light"/>
          <w:sz w:val="28"/>
          <w:szCs w:val="28"/>
        </w:rPr>
        <w:t xml:space="preserve">. </w:t>
      </w:r>
    </w:p>
    <w:p w14:paraId="1B98C70E" w14:textId="4CE6BCEC" w:rsidR="000F44B3" w:rsidRPr="00B84A66" w:rsidRDefault="006F2F51" w:rsidP="000F44B3">
      <w:pPr>
        <w:jc w:val="both"/>
        <w:rPr>
          <w:rFonts w:ascii="Calibri Light" w:hAnsi="Calibri Light" w:cs="Calibri Light"/>
          <w:sz w:val="28"/>
          <w:szCs w:val="28"/>
        </w:rPr>
      </w:pPr>
      <w:r w:rsidRPr="00B84A66">
        <w:rPr>
          <w:rFonts w:ascii="Calibri Light" w:hAnsi="Calibri Light" w:cs="Calibri Light"/>
          <w:sz w:val="28"/>
          <w:szCs w:val="28"/>
        </w:rPr>
        <w:lastRenderedPageBreak/>
        <w:t xml:space="preserve">The </w:t>
      </w:r>
      <w:r w:rsidR="00034A22" w:rsidRPr="00B84A66">
        <w:rPr>
          <w:rFonts w:ascii="Calibri Light" w:hAnsi="Calibri Light" w:cs="Calibri Light"/>
          <w:sz w:val="28"/>
          <w:szCs w:val="28"/>
        </w:rPr>
        <w:t xml:space="preserve">overall survey </w:t>
      </w:r>
      <w:r w:rsidRPr="00B84A66">
        <w:rPr>
          <w:rFonts w:ascii="Calibri Light" w:hAnsi="Calibri Light" w:cs="Calibri Light"/>
          <w:sz w:val="28"/>
          <w:szCs w:val="28"/>
        </w:rPr>
        <w:t>response</w:t>
      </w:r>
      <w:r w:rsidR="00CC596F">
        <w:rPr>
          <w:rFonts w:ascii="Calibri Light" w:hAnsi="Calibri Light" w:cs="Calibri Light"/>
          <w:sz w:val="28"/>
          <w:szCs w:val="28"/>
        </w:rPr>
        <w:t xml:space="preserve"> rate was 77</w:t>
      </w:r>
      <w:r w:rsidR="00815BCC" w:rsidRPr="00B84A66">
        <w:rPr>
          <w:rFonts w:ascii="Calibri Light" w:hAnsi="Calibri Light" w:cs="Calibri Light"/>
          <w:sz w:val="28"/>
          <w:szCs w:val="28"/>
        </w:rPr>
        <w:t>%</w:t>
      </w:r>
      <w:r w:rsidR="008875DC" w:rsidRPr="00B84A66">
        <w:rPr>
          <w:rFonts w:ascii="Calibri Light" w:hAnsi="Calibri Light" w:cs="Calibri Light"/>
          <w:sz w:val="28"/>
          <w:szCs w:val="28"/>
        </w:rPr>
        <w:t xml:space="preserve">. </w:t>
      </w:r>
      <w:r w:rsidR="00034A22" w:rsidRPr="00B84A66">
        <w:rPr>
          <w:rFonts w:ascii="Calibri Light" w:hAnsi="Calibri Light" w:cs="Calibri Light"/>
          <w:sz w:val="28"/>
          <w:szCs w:val="28"/>
        </w:rPr>
        <w:t xml:space="preserve"> </w:t>
      </w:r>
      <w:r w:rsidR="00A820D2">
        <w:rPr>
          <w:rFonts w:ascii="Calibri Light" w:hAnsi="Calibri Light" w:cs="Calibri Light"/>
          <w:sz w:val="28"/>
          <w:szCs w:val="28"/>
        </w:rPr>
        <w:t>This</w:t>
      </w:r>
      <w:r w:rsidR="00F30ACF" w:rsidRPr="00B84A66">
        <w:rPr>
          <w:rFonts w:ascii="Calibri Light" w:hAnsi="Calibri Light" w:cs="Calibri Light"/>
          <w:sz w:val="28"/>
          <w:szCs w:val="28"/>
        </w:rPr>
        <w:t xml:space="preserve"> sample is </w:t>
      </w:r>
      <w:r w:rsidR="00281044">
        <w:rPr>
          <w:rFonts w:ascii="Calibri Light" w:hAnsi="Calibri Light" w:cs="Calibri Light"/>
          <w:sz w:val="28"/>
          <w:szCs w:val="28"/>
        </w:rPr>
        <w:t xml:space="preserve">fully </w:t>
      </w:r>
      <w:r w:rsidR="00F30ACF" w:rsidRPr="00B84A66">
        <w:rPr>
          <w:rFonts w:ascii="Calibri Light" w:hAnsi="Calibri Light" w:cs="Calibri Light"/>
          <w:sz w:val="28"/>
          <w:szCs w:val="28"/>
        </w:rPr>
        <w:t xml:space="preserve">representative of the </w:t>
      </w:r>
      <w:r w:rsidR="00A820D2">
        <w:rPr>
          <w:rFonts w:ascii="Calibri Light" w:hAnsi="Calibri Light" w:cs="Calibri Light"/>
          <w:sz w:val="28"/>
          <w:szCs w:val="28"/>
        </w:rPr>
        <w:t xml:space="preserve">overall </w:t>
      </w:r>
      <w:r w:rsidR="00F30ACF" w:rsidRPr="00B84A66">
        <w:rPr>
          <w:rFonts w:ascii="Calibri Light" w:hAnsi="Calibri Light" w:cs="Calibri Light"/>
          <w:sz w:val="28"/>
          <w:szCs w:val="28"/>
        </w:rPr>
        <w:t xml:space="preserve">population </w:t>
      </w:r>
      <w:r w:rsidR="00A820D2">
        <w:rPr>
          <w:rFonts w:ascii="Calibri Light" w:hAnsi="Calibri Light" w:cs="Calibri Light"/>
          <w:sz w:val="28"/>
          <w:szCs w:val="28"/>
        </w:rPr>
        <w:t xml:space="preserve">of UK </w:t>
      </w:r>
      <w:r w:rsidR="00DD3B4E" w:rsidRPr="00B84A66">
        <w:rPr>
          <w:rFonts w:ascii="Calibri Light" w:hAnsi="Calibri Light" w:cs="Calibri Light"/>
          <w:sz w:val="28"/>
          <w:szCs w:val="28"/>
        </w:rPr>
        <w:t xml:space="preserve">offshore </w:t>
      </w:r>
      <w:r w:rsidR="00A820D2">
        <w:rPr>
          <w:rFonts w:ascii="Calibri Light" w:hAnsi="Calibri Light" w:cs="Calibri Light"/>
          <w:sz w:val="28"/>
          <w:szCs w:val="28"/>
        </w:rPr>
        <w:t xml:space="preserve">overseas </w:t>
      </w:r>
      <w:r w:rsidR="00DD3B4E" w:rsidRPr="00B84A66">
        <w:rPr>
          <w:rFonts w:ascii="Calibri Light" w:hAnsi="Calibri Light" w:cs="Calibri Light"/>
          <w:sz w:val="28"/>
          <w:szCs w:val="28"/>
        </w:rPr>
        <w:t>student enrol</w:t>
      </w:r>
      <w:r w:rsidR="00ED0541" w:rsidRPr="00B84A66">
        <w:rPr>
          <w:rFonts w:ascii="Calibri Light" w:hAnsi="Calibri Light" w:cs="Calibri Light"/>
          <w:sz w:val="28"/>
          <w:szCs w:val="28"/>
        </w:rPr>
        <w:t>m</w:t>
      </w:r>
      <w:r w:rsidR="00DD3B4E" w:rsidRPr="00B84A66">
        <w:rPr>
          <w:rFonts w:ascii="Calibri Light" w:hAnsi="Calibri Light" w:cs="Calibri Light"/>
          <w:sz w:val="28"/>
          <w:szCs w:val="28"/>
        </w:rPr>
        <w:t>en</w:t>
      </w:r>
      <w:r w:rsidR="00ED0541" w:rsidRPr="00B84A66">
        <w:rPr>
          <w:rFonts w:ascii="Calibri Light" w:hAnsi="Calibri Light" w:cs="Calibri Light"/>
          <w:sz w:val="28"/>
          <w:szCs w:val="28"/>
        </w:rPr>
        <w:t>ts</w:t>
      </w:r>
      <w:r w:rsidR="00F30ACF" w:rsidRPr="00B84A66">
        <w:rPr>
          <w:rFonts w:ascii="Calibri Light" w:hAnsi="Calibri Light" w:cs="Calibri Light"/>
          <w:sz w:val="28"/>
          <w:szCs w:val="28"/>
        </w:rPr>
        <w:t>.</w:t>
      </w:r>
      <w:r w:rsidR="000F44B3">
        <w:rPr>
          <w:rFonts w:ascii="Calibri Light" w:hAnsi="Calibri Light" w:cs="Calibri Light"/>
          <w:sz w:val="28"/>
          <w:szCs w:val="28"/>
        </w:rPr>
        <w:t xml:space="preserve"> </w:t>
      </w:r>
      <w:r w:rsidR="000F44B3" w:rsidRPr="00B84A66">
        <w:rPr>
          <w:rFonts w:ascii="Calibri Light" w:hAnsi="Calibri Light" w:cs="Calibri Light"/>
          <w:sz w:val="28"/>
          <w:szCs w:val="28"/>
        </w:rPr>
        <w:t xml:space="preserve">Most of the </w:t>
      </w:r>
      <w:r w:rsidR="00A820D2">
        <w:rPr>
          <w:rFonts w:ascii="Calibri Light" w:hAnsi="Calibri Light" w:cs="Calibri Light"/>
          <w:sz w:val="28"/>
          <w:szCs w:val="28"/>
        </w:rPr>
        <w:t xml:space="preserve">minority of </w:t>
      </w:r>
      <w:r w:rsidR="00281044">
        <w:rPr>
          <w:rFonts w:ascii="Calibri Light" w:hAnsi="Calibri Light" w:cs="Calibri Light"/>
          <w:sz w:val="28"/>
          <w:szCs w:val="28"/>
        </w:rPr>
        <w:t>28</w:t>
      </w:r>
      <w:r w:rsidR="000F44B3" w:rsidRPr="00B84A66">
        <w:rPr>
          <w:rFonts w:ascii="Calibri Light" w:hAnsi="Calibri Light" w:cs="Calibri Light"/>
          <w:sz w:val="28"/>
          <w:szCs w:val="28"/>
        </w:rPr>
        <w:t xml:space="preserve"> universities who refused to provide this information did so under section 2</w:t>
      </w:r>
      <w:r w:rsidR="00A96302">
        <w:rPr>
          <w:rFonts w:ascii="Calibri Light" w:hAnsi="Calibri Light" w:cs="Calibri Light"/>
          <w:sz w:val="28"/>
          <w:szCs w:val="28"/>
        </w:rPr>
        <w:t>2</w:t>
      </w:r>
      <w:r w:rsidR="000F44B3" w:rsidRPr="00B84A66">
        <w:rPr>
          <w:rFonts w:ascii="Calibri Light" w:hAnsi="Calibri Light" w:cs="Calibri Light"/>
          <w:sz w:val="28"/>
          <w:szCs w:val="28"/>
        </w:rPr>
        <w:t xml:space="preserve"> of the act which states that a university is not required to provide information which will be made available</w:t>
      </w:r>
      <w:r w:rsidR="00281044">
        <w:rPr>
          <w:rFonts w:ascii="Calibri Light" w:hAnsi="Calibri Light" w:cs="Calibri Light"/>
          <w:sz w:val="28"/>
          <w:szCs w:val="28"/>
        </w:rPr>
        <w:t xml:space="preserve"> public</w:t>
      </w:r>
      <w:r w:rsidR="000F44B3" w:rsidRPr="00B84A66">
        <w:rPr>
          <w:rFonts w:ascii="Calibri Light" w:hAnsi="Calibri Light" w:cs="Calibri Light"/>
          <w:sz w:val="28"/>
          <w:szCs w:val="28"/>
        </w:rPr>
        <w:t xml:space="preserve"> at a later date</w:t>
      </w:r>
      <w:r w:rsidR="00B82455">
        <w:rPr>
          <w:rStyle w:val="FootnoteReference"/>
          <w:rFonts w:ascii="Calibri Light" w:hAnsi="Calibri Light" w:cs="Calibri Light"/>
          <w:sz w:val="28"/>
          <w:szCs w:val="28"/>
        </w:rPr>
        <w:footnoteReference w:id="7"/>
      </w:r>
      <w:r w:rsidR="000F44B3" w:rsidRPr="00B84A66">
        <w:rPr>
          <w:rFonts w:ascii="Calibri Light" w:hAnsi="Calibri Light" w:cs="Calibri Light"/>
          <w:sz w:val="28"/>
          <w:szCs w:val="28"/>
        </w:rPr>
        <w:t xml:space="preserve">. </w:t>
      </w:r>
    </w:p>
    <w:p w14:paraId="40D95F9A" w14:textId="133B21FE" w:rsidR="009F4CAA" w:rsidRPr="00464E8E" w:rsidRDefault="00464E8E" w:rsidP="00464E8E">
      <w:pPr>
        <w:rPr>
          <w:rFonts w:ascii="Calibri Light" w:hAnsi="Calibri Light" w:cs="Calibri Light"/>
          <w:b/>
          <w:sz w:val="28"/>
          <w:szCs w:val="28"/>
        </w:rPr>
      </w:pPr>
      <w:bookmarkStart w:id="4" w:name="_Toc531957302"/>
      <w:r w:rsidRPr="00464E8E">
        <w:rPr>
          <w:rFonts w:ascii="Calibri Light" w:hAnsi="Calibri Light" w:cs="Calibri Light"/>
          <w:b/>
          <w:sz w:val="28"/>
          <w:szCs w:val="28"/>
        </w:rPr>
        <w:t xml:space="preserve">3. </w:t>
      </w:r>
      <w:r w:rsidR="00B51AB6" w:rsidRPr="00464E8E">
        <w:rPr>
          <w:rFonts w:ascii="Calibri Light" w:hAnsi="Calibri Light" w:cs="Calibri Light"/>
          <w:b/>
          <w:sz w:val="28"/>
          <w:szCs w:val="28"/>
        </w:rPr>
        <w:t xml:space="preserve">UK TNE provision: an overview </w:t>
      </w:r>
    </w:p>
    <w:bookmarkEnd w:id="4"/>
    <w:p w14:paraId="1242D624" w14:textId="561E300D" w:rsidR="00953B91" w:rsidRDefault="00403F23" w:rsidP="00C0405C">
      <w:pPr>
        <w:jc w:val="both"/>
        <w:rPr>
          <w:rFonts w:ascii="Calibri Light" w:hAnsi="Calibri Light" w:cs="Calibri Light"/>
          <w:i/>
          <w:sz w:val="28"/>
          <w:szCs w:val="28"/>
        </w:rPr>
      </w:pPr>
      <w:r w:rsidRPr="00403F23">
        <w:rPr>
          <w:rFonts w:ascii="Calibri Light" w:hAnsi="Calibri Light" w:cs="Calibri Light"/>
          <w:i/>
          <w:sz w:val="28"/>
          <w:szCs w:val="28"/>
        </w:rPr>
        <w:t>3.</w:t>
      </w:r>
      <w:r w:rsidR="00B51AB6">
        <w:rPr>
          <w:rFonts w:ascii="Calibri Light" w:hAnsi="Calibri Light" w:cs="Calibri Light"/>
          <w:i/>
          <w:sz w:val="28"/>
          <w:szCs w:val="28"/>
        </w:rPr>
        <w:t>1</w:t>
      </w:r>
      <w:r w:rsidRPr="00403F23">
        <w:rPr>
          <w:rFonts w:ascii="Calibri Light" w:hAnsi="Calibri Light" w:cs="Calibri Light"/>
          <w:i/>
          <w:sz w:val="28"/>
          <w:szCs w:val="28"/>
        </w:rPr>
        <w:t xml:space="preserve"> </w:t>
      </w:r>
      <w:r w:rsidR="00953B91">
        <w:rPr>
          <w:rFonts w:ascii="Calibri Light" w:hAnsi="Calibri Light" w:cs="Calibri Light"/>
          <w:i/>
          <w:sz w:val="28"/>
          <w:szCs w:val="28"/>
        </w:rPr>
        <w:t xml:space="preserve">The genesis of TNE </w:t>
      </w:r>
    </w:p>
    <w:p w14:paraId="6A6EA69B" w14:textId="6DFE036D" w:rsidR="00464E8E" w:rsidRDefault="00B51AB6" w:rsidP="00464E8E">
      <w:pPr>
        <w:jc w:val="both"/>
        <w:rPr>
          <w:rFonts w:ascii="Calibri Light" w:hAnsi="Calibri Light" w:cs="Calibri Light"/>
          <w:sz w:val="28"/>
          <w:szCs w:val="28"/>
        </w:rPr>
      </w:pPr>
      <w:r w:rsidRPr="00B51AB6">
        <w:rPr>
          <w:rFonts w:ascii="Calibri Light" w:hAnsi="Calibri Light" w:cs="Calibri Light"/>
          <w:sz w:val="28"/>
          <w:szCs w:val="28"/>
        </w:rPr>
        <w:t xml:space="preserve">The reasons for </w:t>
      </w:r>
      <w:r w:rsidR="00464E8E">
        <w:rPr>
          <w:rFonts w:ascii="Calibri Light" w:hAnsi="Calibri Light" w:cs="Calibri Light"/>
          <w:sz w:val="28"/>
          <w:szCs w:val="28"/>
        </w:rPr>
        <w:t xml:space="preserve">the </w:t>
      </w:r>
      <w:r w:rsidRPr="00B51AB6">
        <w:rPr>
          <w:rFonts w:ascii="Calibri Light" w:hAnsi="Calibri Light" w:cs="Calibri Light"/>
          <w:sz w:val="28"/>
          <w:szCs w:val="28"/>
        </w:rPr>
        <w:t xml:space="preserve">emergence of TNE offshore provision </w:t>
      </w:r>
      <w:r w:rsidR="00464E8E">
        <w:rPr>
          <w:rFonts w:ascii="Calibri Light" w:hAnsi="Calibri Light" w:cs="Calibri Light"/>
          <w:sz w:val="28"/>
          <w:szCs w:val="28"/>
        </w:rPr>
        <w:t xml:space="preserve">during the 1990s </w:t>
      </w:r>
      <w:r w:rsidRPr="00B51AB6">
        <w:rPr>
          <w:rFonts w:ascii="Calibri Light" w:hAnsi="Calibri Light" w:cs="Calibri Light"/>
          <w:sz w:val="28"/>
          <w:szCs w:val="28"/>
        </w:rPr>
        <w:t xml:space="preserve">have been discussed in some detail elsewhere (see </w:t>
      </w:r>
      <w:r w:rsidR="00231A6F">
        <w:rPr>
          <w:rFonts w:ascii="Calibri Light" w:hAnsi="Calibri Light" w:cs="Calibri Light"/>
          <w:sz w:val="28"/>
          <w:szCs w:val="28"/>
        </w:rPr>
        <w:t>Bennell</w:t>
      </w:r>
      <w:r w:rsidRPr="00B51AB6">
        <w:rPr>
          <w:rFonts w:ascii="Calibri Light" w:hAnsi="Calibri Light" w:cs="Calibri Light"/>
          <w:sz w:val="28"/>
          <w:szCs w:val="28"/>
        </w:rPr>
        <w:t>,</w:t>
      </w:r>
      <w:r w:rsidR="00156AAE">
        <w:rPr>
          <w:rFonts w:ascii="Calibri Light" w:hAnsi="Calibri Light" w:cs="Calibri Light"/>
          <w:sz w:val="28"/>
          <w:szCs w:val="28"/>
        </w:rPr>
        <w:t xml:space="preserve"> 2019</w:t>
      </w:r>
      <w:r w:rsidR="00464E8E">
        <w:rPr>
          <w:rFonts w:ascii="Calibri Light" w:hAnsi="Calibri Light" w:cs="Calibri Light"/>
          <w:sz w:val="28"/>
          <w:szCs w:val="28"/>
        </w:rPr>
        <w:t>a</w:t>
      </w:r>
      <w:r w:rsidRPr="00B51AB6">
        <w:rPr>
          <w:rFonts w:ascii="Calibri Light" w:hAnsi="Calibri Light" w:cs="Calibri Light"/>
          <w:sz w:val="28"/>
          <w:szCs w:val="28"/>
        </w:rPr>
        <w:t xml:space="preserve">). </w:t>
      </w:r>
      <w:r w:rsidR="007B5005">
        <w:rPr>
          <w:rFonts w:ascii="Calibri Light" w:hAnsi="Calibri Light" w:cs="Calibri Light"/>
          <w:sz w:val="28"/>
          <w:szCs w:val="28"/>
        </w:rPr>
        <w:t xml:space="preserve">Most </w:t>
      </w:r>
      <w:r w:rsidR="008963D7">
        <w:rPr>
          <w:rFonts w:ascii="Calibri Light" w:hAnsi="Calibri Light" w:cs="Calibri Light"/>
          <w:sz w:val="28"/>
          <w:szCs w:val="28"/>
        </w:rPr>
        <w:t xml:space="preserve">of the </w:t>
      </w:r>
      <w:r w:rsidR="007B5005">
        <w:rPr>
          <w:rFonts w:ascii="Calibri Light" w:hAnsi="Calibri Light" w:cs="Calibri Light"/>
          <w:sz w:val="28"/>
          <w:szCs w:val="28"/>
        </w:rPr>
        <w:t xml:space="preserve">overseas countries </w:t>
      </w:r>
      <w:r w:rsidR="00464E8E">
        <w:rPr>
          <w:rFonts w:ascii="Calibri Light" w:hAnsi="Calibri Light" w:cs="Calibri Light"/>
          <w:sz w:val="28"/>
          <w:szCs w:val="28"/>
        </w:rPr>
        <w:t xml:space="preserve">with the </w:t>
      </w:r>
      <w:r w:rsidR="008963D7">
        <w:rPr>
          <w:rFonts w:ascii="Calibri Light" w:hAnsi="Calibri Light" w:cs="Calibri Light"/>
          <w:sz w:val="28"/>
          <w:szCs w:val="28"/>
        </w:rPr>
        <w:t>large</w:t>
      </w:r>
      <w:r w:rsidR="00464E8E">
        <w:rPr>
          <w:rFonts w:ascii="Calibri Light" w:hAnsi="Calibri Light" w:cs="Calibri Light"/>
          <w:sz w:val="28"/>
          <w:szCs w:val="28"/>
        </w:rPr>
        <w:t>st</w:t>
      </w:r>
      <w:r w:rsidR="008963D7">
        <w:rPr>
          <w:rFonts w:ascii="Calibri Light" w:hAnsi="Calibri Light" w:cs="Calibri Light"/>
          <w:sz w:val="28"/>
          <w:szCs w:val="28"/>
        </w:rPr>
        <w:t xml:space="preserve"> numbers of UK offshore students </w:t>
      </w:r>
      <w:r w:rsidR="007B5005">
        <w:rPr>
          <w:rFonts w:ascii="Calibri Light" w:hAnsi="Calibri Light" w:cs="Calibri Light"/>
          <w:sz w:val="28"/>
          <w:szCs w:val="28"/>
        </w:rPr>
        <w:t xml:space="preserve">have </w:t>
      </w:r>
      <w:r w:rsidR="00464E8E">
        <w:rPr>
          <w:rFonts w:ascii="Calibri Light" w:hAnsi="Calibri Light" w:cs="Calibri Light"/>
          <w:sz w:val="28"/>
          <w:szCs w:val="28"/>
        </w:rPr>
        <w:t xml:space="preserve">adopted </w:t>
      </w:r>
      <w:r w:rsidR="00786423">
        <w:rPr>
          <w:rFonts w:ascii="Calibri Light" w:hAnsi="Calibri Light" w:cs="Calibri Light"/>
          <w:sz w:val="28"/>
          <w:szCs w:val="28"/>
        </w:rPr>
        <w:t>ambitious human resource-</w:t>
      </w:r>
      <w:r w:rsidR="007B5005">
        <w:rPr>
          <w:rFonts w:ascii="Calibri Light" w:hAnsi="Calibri Light" w:cs="Calibri Light"/>
          <w:sz w:val="28"/>
          <w:szCs w:val="28"/>
        </w:rPr>
        <w:t xml:space="preserve">led development strategies. </w:t>
      </w:r>
      <w:r w:rsidR="00953B91">
        <w:rPr>
          <w:rFonts w:ascii="Calibri Light" w:hAnsi="Calibri Light" w:cs="Calibri Light"/>
          <w:sz w:val="28"/>
          <w:szCs w:val="28"/>
        </w:rPr>
        <w:t>T</w:t>
      </w:r>
      <w:r w:rsidR="007B5005">
        <w:rPr>
          <w:rFonts w:ascii="Calibri Light" w:hAnsi="Calibri Light" w:cs="Calibri Light"/>
          <w:sz w:val="28"/>
          <w:szCs w:val="28"/>
        </w:rPr>
        <w:t xml:space="preserve">hey are generally small countries both in terms of size and land area and so have looked to develop their human resources as the principle driver of economic growth. The development of their higher education sector has been central to this strategy both as source of highly skilled labour </w:t>
      </w:r>
      <w:r w:rsidR="00AF2FF2">
        <w:rPr>
          <w:rFonts w:ascii="Calibri Light" w:hAnsi="Calibri Light" w:cs="Calibri Light"/>
          <w:sz w:val="28"/>
          <w:szCs w:val="28"/>
        </w:rPr>
        <w:t>(</w:t>
      </w:r>
      <w:r w:rsidR="008963D7">
        <w:rPr>
          <w:rFonts w:ascii="Calibri Light" w:hAnsi="Calibri Light" w:cs="Calibri Light"/>
          <w:sz w:val="28"/>
          <w:szCs w:val="28"/>
        </w:rPr>
        <w:t xml:space="preserve">especially </w:t>
      </w:r>
      <w:r w:rsidR="007B5005">
        <w:rPr>
          <w:rFonts w:ascii="Calibri Light" w:hAnsi="Calibri Light" w:cs="Calibri Light"/>
          <w:sz w:val="28"/>
          <w:szCs w:val="28"/>
        </w:rPr>
        <w:t>for inward foreign inves</w:t>
      </w:r>
      <w:r w:rsidR="003660D0">
        <w:rPr>
          <w:rFonts w:ascii="Calibri Light" w:hAnsi="Calibri Light" w:cs="Calibri Light"/>
          <w:sz w:val="28"/>
          <w:szCs w:val="28"/>
        </w:rPr>
        <w:t>tment</w:t>
      </w:r>
      <w:r w:rsidR="00AF2FF2">
        <w:rPr>
          <w:rFonts w:ascii="Calibri Light" w:hAnsi="Calibri Light" w:cs="Calibri Light"/>
          <w:sz w:val="28"/>
          <w:szCs w:val="28"/>
        </w:rPr>
        <w:t>)</w:t>
      </w:r>
      <w:r w:rsidR="003660D0">
        <w:rPr>
          <w:rFonts w:ascii="Calibri Light" w:hAnsi="Calibri Light" w:cs="Calibri Light"/>
          <w:sz w:val="28"/>
          <w:szCs w:val="28"/>
        </w:rPr>
        <w:t xml:space="preserve"> and </w:t>
      </w:r>
      <w:r w:rsidR="008963D7">
        <w:rPr>
          <w:rFonts w:ascii="Calibri Light" w:hAnsi="Calibri Light" w:cs="Calibri Light"/>
          <w:sz w:val="28"/>
          <w:szCs w:val="28"/>
        </w:rPr>
        <w:t xml:space="preserve">export </w:t>
      </w:r>
      <w:r w:rsidR="003660D0">
        <w:rPr>
          <w:rFonts w:ascii="Calibri Light" w:hAnsi="Calibri Light" w:cs="Calibri Light"/>
          <w:sz w:val="28"/>
          <w:szCs w:val="28"/>
        </w:rPr>
        <w:t>in</w:t>
      </w:r>
      <w:r w:rsidR="008963D7">
        <w:rPr>
          <w:rFonts w:ascii="Calibri Light" w:hAnsi="Calibri Light" w:cs="Calibri Light"/>
          <w:sz w:val="28"/>
          <w:szCs w:val="28"/>
        </w:rPr>
        <w:t xml:space="preserve">come by </w:t>
      </w:r>
      <w:r w:rsidR="003660D0">
        <w:rPr>
          <w:rFonts w:ascii="Calibri Light" w:hAnsi="Calibri Light" w:cs="Calibri Light"/>
          <w:sz w:val="28"/>
          <w:szCs w:val="28"/>
        </w:rPr>
        <w:t>attract</w:t>
      </w:r>
      <w:r w:rsidR="008963D7">
        <w:rPr>
          <w:rFonts w:ascii="Calibri Light" w:hAnsi="Calibri Light" w:cs="Calibri Light"/>
          <w:sz w:val="28"/>
          <w:szCs w:val="28"/>
        </w:rPr>
        <w:t>ing sizeable inflows of</w:t>
      </w:r>
      <w:r w:rsidR="003660D0">
        <w:rPr>
          <w:rFonts w:ascii="Calibri Light" w:hAnsi="Calibri Light" w:cs="Calibri Light"/>
          <w:sz w:val="28"/>
          <w:szCs w:val="28"/>
        </w:rPr>
        <w:t xml:space="preserve"> overseas students. </w:t>
      </w:r>
    </w:p>
    <w:p w14:paraId="07A0E4CB" w14:textId="5F38D5E3" w:rsidR="007B5005" w:rsidRDefault="003660D0" w:rsidP="00464E8E">
      <w:pPr>
        <w:jc w:val="both"/>
        <w:rPr>
          <w:rFonts w:ascii="Calibri Light" w:hAnsi="Calibri Light" w:cs="Calibri Light"/>
          <w:sz w:val="28"/>
          <w:szCs w:val="28"/>
        </w:rPr>
      </w:pPr>
      <w:r>
        <w:rPr>
          <w:rFonts w:ascii="Calibri Light" w:hAnsi="Calibri Light" w:cs="Calibri Light"/>
          <w:sz w:val="28"/>
          <w:szCs w:val="28"/>
        </w:rPr>
        <w:t xml:space="preserve">Reducing dependence on overseas training has often been closely linked with this HRD strategy especially in countries such as Malaysia where the numbers of </w:t>
      </w:r>
      <w:r w:rsidR="00786423">
        <w:rPr>
          <w:rFonts w:ascii="Calibri Light" w:hAnsi="Calibri Light" w:cs="Calibri Light"/>
          <w:sz w:val="28"/>
          <w:szCs w:val="28"/>
        </w:rPr>
        <w:t xml:space="preserve">government-funded </w:t>
      </w:r>
      <w:r>
        <w:rPr>
          <w:rFonts w:ascii="Calibri Light" w:hAnsi="Calibri Light" w:cs="Calibri Light"/>
          <w:sz w:val="28"/>
          <w:szCs w:val="28"/>
        </w:rPr>
        <w:t xml:space="preserve">students going overseas </w:t>
      </w:r>
      <w:r w:rsidR="00AF2FF2">
        <w:rPr>
          <w:rFonts w:ascii="Calibri Light" w:hAnsi="Calibri Light" w:cs="Calibri Light"/>
          <w:sz w:val="28"/>
          <w:szCs w:val="28"/>
        </w:rPr>
        <w:t xml:space="preserve">had become </w:t>
      </w:r>
      <w:r>
        <w:rPr>
          <w:rFonts w:ascii="Calibri Light" w:hAnsi="Calibri Light" w:cs="Calibri Light"/>
          <w:sz w:val="28"/>
          <w:szCs w:val="28"/>
        </w:rPr>
        <w:t xml:space="preserve">very sizeable and thus costly. Another important element has been the government objective of ensuring equitable access to higher education in multi-ethnic societies. In Malaysia and, to lesser extent, Singapore, </w:t>
      </w:r>
      <w:r w:rsidR="008963D7">
        <w:rPr>
          <w:rFonts w:ascii="Calibri Light" w:hAnsi="Calibri Light" w:cs="Calibri Light"/>
          <w:sz w:val="28"/>
          <w:szCs w:val="28"/>
        </w:rPr>
        <w:t>t</w:t>
      </w:r>
      <w:r>
        <w:rPr>
          <w:rFonts w:ascii="Calibri Light" w:hAnsi="Calibri Light" w:cs="Calibri Light"/>
          <w:sz w:val="28"/>
          <w:szCs w:val="28"/>
        </w:rPr>
        <w:t xml:space="preserve">he promotion of private sector higher education provision enabled the considerable excess demand among the relatively privileged ethnic Chinese population to be met while allowing preferential access to public universities among the less advantaged indigenous population groups. A similar policy </w:t>
      </w:r>
      <w:r w:rsidR="008963D7">
        <w:rPr>
          <w:rFonts w:ascii="Calibri Light" w:hAnsi="Calibri Light" w:cs="Calibri Light"/>
          <w:sz w:val="28"/>
          <w:szCs w:val="28"/>
        </w:rPr>
        <w:t>is evident in the Gulf States</w:t>
      </w:r>
      <w:r w:rsidR="00546336">
        <w:rPr>
          <w:rFonts w:ascii="Calibri Light" w:hAnsi="Calibri Light" w:cs="Calibri Light"/>
          <w:sz w:val="28"/>
          <w:szCs w:val="28"/>
        </w:rPr>
        <w:t xml:space="preserve"> with respect to the indigenous Arab population and the much larger expatriate worker community</w:t>
      </w:r>
      <w:r w:rsidR="008963D7">
        <w:rPr>
          <w:rFonts w:ascii="Calibri Light" w:hAnsi="Calibri Light" w:cs="Calibri Light"/>
          <w:sz w:val="28"/>
          <w:szCs w:val="28"/>
        </w:rPr>
        <w:t xml:space="preserve">. </w:t>
      </w:r>
      <w:r>
        <w:rPr>
          <w:rFonts w:ascii="Calibri Light" w:hAnsi="Calibri Light" w:cs="Calibri Light"/>
          <w:sz w:val="28"/>
          <w:szCs w:val="28"/>
        </w:rPr>
        <w:t xml:space="preserve"> </w:t>
      </w:r>
    </w:p>
    <w:p w14:paraId="505E7E86" w14:textId="1F5A3819" w:rsidR="00546336" w:rsidRDefault="008963D7" w:rsidP="00E114E2">
      <w:pPr>
        <w:jc w:val="both"/>
        <w:rPr>
          <w:rFonts w:ascii="Calibri Light" w:hAnsi="Calibri Light" w:cs="Calibri Light"/>
          <w:sz w:val="28"/>
          <w:szCs w:val="28"/>
        </w:rPr>
      </w:pPr>
      <w:r>
        <w:rPr>
          <w:rFonts w:ascii="Calibri Light" w:hAnsi="Calibri Light" w:cs="Calibri Light"/>
          <w:sz w:val="28"/>
          <w:szCs w:val="28"/>
        </w:rPr>
        <w:lastRenderedPageBreak/>
        <w:t xml:space="preserve">Implementation of this HRD strategy was based on a combination of </w:t>
      </w:r>
      <w:r w:rsidR="004C0B53">
        <w:rPr>
          <w:rFonts w:ascii="Calibri Light" w:hAnsi="Calibri Light" w:cs="Calibri Light"/>
          <w:sz w:val="28"/>
          <w:szCs w:val="28"/>
        </w:rPr>
        <w:t xml:space="preserve">liberalisation of higher education provision with strong and sustained support for the development of both the public and private sectors. Encouraging usually private universities to partner with foreign universities through various collaborative arrangements (principally degree validation and franchising) </w:t>
      </w:r>
      <w:r w:rsidR="009E2B7A">
        <w:rPr>
          <w:rFonts w:ascii="Calibri Light" w:hAnsi="Calibri Light" w:cs="Calibri Light"/>
          <w:sz w:val="28"/>
          <w:szCs w:val="28"/>
        </w:rPr>
        <w:t xml:space="preserve">is </w:t>
      </w:r>
      <w:r w:rsidR="00AF2FF2">
        <w:rPr>
          <w:rFonts w:ascii="Calibri Light" w:hAnsi="Calibri Light" w:cs="Calibri Light"/>
          <w:sz w:val="28"/>
          <w:szCs w:val="28"/>
        </w:rPr>
        <w:t>a key strategic component. T</w:t>
      </w:r>
      <w:r w:rsidR="004C0B53">
        <w:rPr>
          <w:rFonts w:ascii="Calibri Light" w:hAnsi="Calibri Light" w:cs="Calibri Light"/>
          <w:sz w:val="28"/>
          <w:szCs w:val="28"/>
        </w:rPr>
        <w:t xml:space="preserve">he relationship between local and foreign universities </w:t>
      </w:r>
      <w:r w:rsidR="009E2B7A">
        <w:rPr>
          <w:rFonts w:ascii="Calibri Light" w:hAnsi="Calibri Light" w:cs="Calibri Light"/>
          <w:sz w:val="28"/>
          <w:szCs w:val="28"/>
        </w:rPr>
        <w:t xml:space="preserve">has </w:t>
      </w:r>
      <w:r w:rsidR="00AF2FF2">
        <w:rPr>
          <w:rFonts w:ascii="Calibri Light" w:hAnsi="Calibri Light" w:cs="Calibri Light"/>
          <w:sz w:val="28"/>
          <w:szCs w:val="28"/>
        </w:rPr>
        <w:t xml:space="preserve">generally </w:t>
      </w:r>
      <w:r w:rsidR="009E2B7A">
        <w:rPr>
          <w:rFonts w:ascii="Calibri Light" w:hAnsi="Calibri Light" w:cs="Calibri Light"/>
          <w:sz w:val="28"/>
          <w:szCs w:val="28"/>
        </w:rPr>
        <w:t>been</w:t>
      </w:r>
      <w:r w:rsidR="00546336">
        <w:rPr>
          <w:rFonts w:ascii="Calibri Light" w:hAnsi="Calibri Light" w:cs="Calibri Light"/>
          <w:sz w:val="28"/>
          <w:szCs w:val="28"/>
        </w:rPr>
        <w:t>, certainly until fairly recently,</w:t>
      </w:r>
      <w:r w:rsidR="009E2B7A">
        <w:rPr>
          <w:rFonts w:ascii="Calibri Light" w:hAnsi="Calibri Light" w:cs="Calibri Light"/>
          <w:sz w:val="28"/>
          <w:szCs w:val="28"/>
        </w:rPr>
        <w:t xml:space="preserve"> </w:t>
      </w:r>
      <w:r w:rsidR="004C0B53">
        <w:rPr>
          <w:rFonts w:ascii="Calibri Light" w:hAnsi="Calibri Light" w:cs="Calibri Light"/>
          <w:sz w:val="28"/>
          <w:szCs w:val="28"/>
        </w:rPr>
        <w:t xml:space="preserve">strongly symbiotic; for the foreign university, TNE partnerships were </w:t>
      </w:r>
      <w:r w:rsidR="00546336">
        <w:rPr>
          <w:rFonts w:ascii="Calibri Light" w:hAnsi="Calibri Light" w:cs="Calibri Light"/>
          <w:sz w:val="28"/>
          <w:szCs w:val="28"/>
        </w:rPr>
        <w:t xml:space="preserve">an </w:t>
      </w:r>
      <w:r w:rsidR="004C0B53">
        <w:rPr>
          <w:rFonts w:ascii="Calibri Light" w:hAnsi="Calibri Light" w:cs="Calibri Light"/>
          <w:sz w:val="28"/>
          <w:szCs w:val="28"/>
        </w:rPr>
        <w:t>important source of income especially where students from that country were no longer coming to the UK to study. And, for the local partner institutions, most of wh</w:t>
      </w:r>
      <w:r w:rsidR="009E2B7A">
        <w:rPr>
          <w:rFonts w:ascii="Calibri Light" w:hAnsi="Calibri Light" w:cs="Calibri Light"/>
          <w:sz w:val="28"/>
          <w:szCs w:val="28"/>
        </w:rPr>
        <w:t xml:space="preserve">ich </w:t>
      </w:r>
      <w:r w:rsidR="004C0B53">
        <w:rPr>
          <w:rFonts w:ascii="Calibri Light" w:hAnsi="Calibri Light" w:cs="Calibri Light"/>
          <w:sz w:val="28"/>
          <w:szCs w:val="28"/>
        </w:rPr>
        <w:t xml:space="preserve">had only very recently </w:t>
      </w:r>
      <w:r w:rsidR="009E2B7A">
        <w:rPr>
          <w:rFonts w:ascii="Calibri Light" w:hAnsi="Calibri Light" w:cs="Calibri Light"/>
          <w:sz w:val="28"/>
          <w:szCs w:val="28"/>
        </w:rPr>
        <w:t xml:space="preserve">been </w:t>
      </w:r>
      <w:r w:rsidR="004C0B53">
        <w:rPr>
          <w:rFonts w:ascii="Calibri Light" w:hAnsi="Calibri Light" w:cs="Calibri Light"/>
          <w:sz w:val="28"/>
          <w:szCs w:val="28"/>
        </w:rPr>
        <w:t xml:space="preserve">established, it enabled them to offer </w:t>
      </w:r>
      <w:r w:rsidR="009E2B7A">
        <w:rPr>
          <w:rFonts w:ascii="Calibri Light" w:hAnsi="Calibri Light" w:cs="Calibri Light"/>
          <w:sz w:val="28"/>
          <w:szCs w:val="28"/>
        </w:rPr>
        <w:t xml:space="preserve">almost immediately </w:t>
      </w:r>
      <w:r w:rsidR="004C0B53">
        <w:rPr>
          <w:rFonts w:ascii="Calibri Light" w:hAnsi="Calibri Light" w:cs="Calibri Light"/>
          <w:sz w:val="28"/>
          <w:szCs w:val="28"/>
        </w:rPr>
        <w:t xml:space="preserve">both undergraduate and post graduate validated/franchised degrees from relatively high status overseas universities </w:t>
      </w:r>
      <w:r w:rsidR="00F33BB1">
        <w:rPr>
          <w:rFonts w:ascii="Calibri Light" w:hAnsi="Calibri Light" w:cs="Calibri Light"/>
          <w:sz w:val="28"/>
          <w:szCs w:val="28"/>
        </w:rPr>
        <w:t>while</w:t>
      </w:r>
      <w:r w:rsidR="009E2B7A">
        <w:rPr>
          <w:rFonts w:ascii="Calibri Light" w:hAnsi="Calibri Light" w:cs="Calibri Light"/>
          <w:sz w:val="28"/>
          <w:szCs w:val="28"/>
        </w:rPr>
        <w:t>,</w:t>
      </w:r>
      <w:r w:rsidR="00F33BB1">
        <w:rPr>
          <w:rFonts w:ascii="Calibri Light" w:hAnsi="Calibri Light" w:cs="Calibri Light"/>
          <w:sz w:val="28"/>
          <w:szCs w:val="28"/>
        </w:rPr>
        <w:t xml:space="preserve"> at the same time</w:t>
      </w:r>
      <w:r w:rsidR="009E2B7A">
        <w:rPr>
          <w:rFonts w:ascii="Calibri Light" w:hAnsi="Calibri Light" w:cs="Calibri Light"/>
          <w:sz w:val="28"/>
          <w:szCs w:val="28"/>
        </w:rPr>
        <w:t>,</w:t>
      </w:r>
      <w:r w:rsidR="00F33BB1">
        <w:rPr>
          <w:rFonts w:ascii="Calibri Light" w:hAnsi="Calibri Light" w:cs="Calibri Light"/>
          <w:sz w:val="28"/>
          <w:szCs w:val="28"/>
        </w:rPr>
        <w:t xml:space="preserve"> </w:t>
      </w:r>
      <w:r w:rsidR="004C0B53">
        <w:rPr>
          <w:rFonts w:ascii="Calibri Light" w:hAnsi="Calibri Light" w:cs="Calibri Light"/>
          <w:sz w:val="28"/>
          <w:szCs w:val="28"/>
        </w:rPr>
        <w:t>build</w:t>
      </w:r>
      <w:r w:rsidR="00F33BB1">
        <w:rPr>
          <w:rFonts w:ascii="Calibri Light" w:hAnsi="Calibri Light" w:cs="Calibri Light"/>
          <w:sz w:val="28"/>
          <w:szCs w:val="28"/>
        </w:rPr>
        <w:t>ing</w:t>
      </w:r>
      <w:r w:rsidR="004C0B53">
        <w:rPr>
          <w:rFonts w:ascii="Calibri Light" w:hAnsi="Calibri Light" w:cs="Calibri Light"/>
          <w:sz w:val="28"/>
          <w:szCs w:val="28"/>
        </w:rPr>
        <w:t xml:space="preserve"> up their institutional capacity to become a fully</w:t>
      </w:r>
      <w:r w:rsidR="00F33BB1">
        <w:rPr>
          <w:rFonts w:ascii="Calibri Light" w:hAnsi="Calibri Light" w:cs="Calibri Light"/>
          <w:sz w:val="28"/>
          <w:szCs w:val="28"/>
        </w:rPr>
        <w:t xml:space="preserve"> accredited national higher education provider.  </w:t>
      </w:r>
    </w:p>
    <w:p w14:paraId="772F3F91" w14:textId="6754D532" w:rsidR="00637649" w:rsidRDefault="00F33BB1" w:rsidP="00E114E2">
      <w:pPr>
        <w:jc w:val="both"/>
        <w:rPr>
          <w:rFonts w:ascii="Calibri Light" w:hAnsi="Calibri Light" w:cs="Calibri Light"/>
          <w:sz w:val="28"/>
          <w:szCs w:val="28"/>
        </w:rPr>
      </w:pPr>
      <w:r>
        <w:rPr>
          <w:rFonts w:ascii="Calibri Light" w:hAnsi="Calibri Light" w:cs="Calibri Light"/>
          <w:sz w:val="28"/>
          <w:szCs w:val="28"/>
        </w:rPr>
        <w:t>The success of this strategy</w:t>
      </w:r>
      <w:r w:rsidR="00546336">
        <w:rPr>
          <w:rFonts w:ascii="Calibri Light" w:hAnsi="Calibri Light" w:cs="Calibri Light"/>
          <w:sz w:val="28"/>
          <w:szCs w:val="28"/>
        </w:rPr>
        <w:t>,</w:t>
      </w:r>
      <w:r>
        <w:rPr>
          <w:rFonts w:ascii="Calibri Light" w:hAnsi="Calibri Light" w:cs="Calibri Light"/>
          <w:sz w:val="28"/>
          <w:szCs w:val="28"/>
        </w:rPr>
        <w:t xml:space="preserve"> </w:t>
      </w:r>
      <w:r w:rsidR="00546336">
        <w:rPr>
          <w:rFonts w:ascii="Calibri Light" w:hAnsi="Calibri Light" w:cs="Calibri Light"/>
          <w:sz w:val="28"/>
          <w:szCs w:val="28"/>
        </w:rPr>
        <w:t xml:space="preserve">especially in Hong Kong, Malaysia and Singapore, </w:t>
      </w:r>
      <w:r>
        <w:rPr>
          <w:rFonts w:ascii="Calibri Light" w:hAnsi="Calibri Light" w:cs="Calibri Light"/>
          <w:sz w:val="28"/>
          <w:szCs w:val="28"/>
        </w:rPr>
        <w:t>meant a core group of private colleges expand</w:t>
      </w:r>
      <w:r w:rsidR="00546336">
        <w:rPr>
          <w:rFonts w:ascii="Calibri Light" w:hAnsi="Calibri Light" w:cs="Calibri Light"/>
          <w:sz w:val="28"/>
          <w:szCs w:val="28"/>
        </w:rPr>
        <w:t xml:space="preserve">ed rapidly while </w:t>
      </w:r>
      <w:r>
        <w:rPr>
          <w:rFonts w:ascii="Calibri Light" w:hAnsi="Calibri Light" w:cs="Calibri Light"/>
          <w:sz w:val="28"/>
          <w:szCs w:val="28"/>
        </w:rPr>
        <w:t>continu</w:t>
      </w:r>
      <w:r w:rsidR="00546336">
        <w:rPr>
          <w:rFonts w:ascii="Calibri Light" w:hAnsi="Calibri Light" w:cs="Calibri Light"/>
          <w:sz w:val="28"/>
          <w:szCs w:val="28"/>
        </w:rPr>
        <w:t>ing</w:t>
      </w:r>
      <w:r>
        <w:rPr>
          <w:rFonts w:ascii="Calibri Light" w:hAnsi="Calibri Light" w:cs="Calibri Light"/>
          <w:sz w:val="28"/>
          <w:szCs w:val="28"/>
        </w:rPr>
        <w:t xml:space="preserve"> to </w:t>
      </w:r>
      <w:r w:rsidR="00AF7CF1" w:rsidRPr="00B84A66">
        <w:rPr>
          <w:rFonts w:ascii="Calibri Light" w:hAnsi="Calibri Light" w:cs="Calibri Light"/>
          <w:sz w:val="28"/>
          <w:szCs w:val="28"/>
        </w:rPr>
        <w:t xml:space="preserve">meet the minimum acceptable </w:t>
      </w:r>
      <w:r w:rsidR="00546336">
        <w:rPr>
          <w:rFonts w:ascii="Calibri Light" w:hAnsi="Calibri Light" w:cs="Calibri Light"/>
          <w:sz w:val="28"/>
          <w:szCs w:val="28"/>
        </w:rPr>
        <w:t xml:space="preserve">academic </w:t>
      </w:r>
      <w:r w:rsidR="00AF7CF1" w:rsidRPr="00B84A66">
        <w:rPr>
          <w:rFonts w:ascii="Calibri Light" w:hAnsi="Calibri Light" w:cs="Calibri Light"/>
          <w:sz w:val="28"/>
          <w:szCs w:val="28"/>
        </w:rPr>
        <w:t xml:space="preserve">standards for international collaborative partnerships. This is in striking contrast with other regions, and especially Sub-Saharan Africa, </w:t>
      </w:r>
      <w:r w:rsidR="00AF2FF2">
        <w:rPr>
          <w:rFonts w:ascii="Calibri Light" w:hAnsi="Calibri Light" w:cs="Calibri Light"/>
          <w:sz w:val="28"/>
          <w:szCs w:val="28"/>
        </w:rPr>
        <w:t xml:space="preserve">the Caribbean and the South Pacific </w:t>
      </w:r>
      <w:r w:rsidR="00AF7CF1" w:rsidRPr="00B84A66">
        <w:rPr>
          <w:rFonts w:ascii="Calibri Light" w:hAnsi="Calibri Light" w:cs="Calibri Light"/>
          <w:sz w:val="28"/>
          <w:szCs w:val="28"/>
        </w:rPr>
        <w:t xml:space="preserve">where the </w:t>
      </w:r>
      <w:r w:rsidR="00786423">
        <w:rPr>
          <w:rFonts w:ascii="Calibri Light" w:hAnsi="Calibri Light" w:cs="Calibri Light"/>
          <w:sz w:val="28"/>
          <w:szCs w:val="28"/>
        </w:rPr>
        <w:t>limited number of</w:t>
      </w:r>
      <w:r w:rsidR="00AF7CF1" w:rsidRPr="00B84A66">
        <w:rPr>
          <w:rFonts w:ascii="Calibri Light" w:hAnsi="Calibri Light" w:cs="Calibri Light"/>
          <w:sz w:val="28"/>
          <w:szCs w:val="28"/>
        </w:rPr>
        <w:t xml:space="preserve"> good quality private universities cont</w:t>
      </w:r>
      <w:r w:rsidR="00546336">
        <w:rPr>
          <w:rFonts w:ascii="Calibri Light" w:hAnsi="Calibri Light" w:cs="Calibri Light"/>
          <w:sz w:val="28"/>
          <w:szCs w:val="28"/>
        </w:rPr>
        <w:t>inues to be a major barrier to</w:t>
      </w:r>
      <w:r w:rsidR="00AF7CF1" w:rsidRPr="00B84A66">
        <w:rPr>
          <w:rFonts w:ascii="Calibri Light" w:hAnsi="Calibri Light" w:cs="Calibri Light"/>
          <w:sz w:val="28"/>
          <w:szCs w:val="28"/>
        </w:rPr>
        <w:t xml:space="preserve"> establishing TNE partnerships.</w:t>
      </w:r>
      <w:r w:rsidR="00AF7CF1" w:rsidRPr="00B84A66">
        <w:rPr>
          <w:rStyle w:val="FootnoteReference"/>
          <w:rFonts w:ascii="Calibri Light" w:hAnsi="Calibri Light" w:cs="Calibri Light"/>
          <w:sz w:val="28"/>
          <w:szCs w:val="28"/>
        </w:rPr>
        <w:footnoteReference w:id="8"/>
      </w:r>
      <w:r w:rsidR="00AF7CF1" w:rsidRPr="00B84A66">
        <w:rPr>
          <w:rFonts w:ascii="Calibri Light" w:hAnsi="Calibri Light" w:cs="Calibri Light"/>
          <w:sz w:val="28"/>
          <w:szCs w:val="28"/>
        </w:rPr>
        <w:t xml:space="preserve"> </w:t>
      </w:r>
    </w:p>
    <w:p w14:paraId="66F4D74B" w14:textId="6C958F8B" w:rsidR="00953B91" w:rsidRPr="005A4EAA" w:rsidRDefault="00B51AB6" w:rsidP="00B51AB6">
      <w:pPr>
        <w:pStyle w:val="FILHeader1"/>
        <w:numPr>
          <w:ilvl w:val="0"/>
          <w:numId w:val="0"/>
        </w:numPr>
        <w:rPr>
          <w:rFonts w:ascii="Calibri Light" w:hAnsi="Calibri Light" w:cs="Calibri Light"/>
          <w:b w:val="0"/>
          <w:i/>
          <w:sz w:val="28"/>
          <w:szCs w:val="28"/>
        </w:rPr>
      </w:pPr>
      <w:r w:rsidRPr="005A4EAA">
        <w:rPr>
          <w:rFonts w:ascii="Calibri Light" w:hAnsi="Calibri Light" w:cs="Calibri Light"/>
          <w:b w:val="0"/>
          <w:i/>
          <w:sz w:val="28"/>
          <w:szCs w:val="28"/>
        </w:rPr>
        <w:t>3.2 The c</w:t>
      </w:r>
      <w:r w:rsidR="00953B91" w:rsidRPr="005A4EAA">
        <w:rPr>
          <w:rFonts w:ascii="Calibri Light" w:hAnsi="Calibri Light" w:cs="Calibri Light"/>
          <w:b w:val="0"/>
          <w:i/>
          <w:sz w:val="28"/>
          <w:szCs w:val="28"/>
        </w:rPr>
        <w:t xml:space="preserve">urrent </w:t>
      </w:r>
      <w:r w:rsidRPr="005A4EAA">
        <w:rPr>
          <w:rFonts w:ascii="Calibri Light" w:hAnsi="Calibri Light" w:cs="Calibri Light"/>
          <w:b w:val="0"/>
          <w:i/>
          <w:sz w:val="28"/>
          <w:szCs w:val="28"/>
        </w:rPr>
        <w:t xml:space="preserve">context </w:t>
      </w:r>
      <w:r w:rsidR="00953B91" w:rsidRPr="005A4EAA">
        <w:rPr>
          <w:rFonts w:ascii="Calibri Light" w:hAnsi="Calibri Light" w:cs="Calibri Light"/>
          <w:b w:val="0"/>
          <w:i/>
          <w:sz w:val="28"/>
          <w:szCs w:val="28"/>
        </w:rPr>
        <w:t xml:space="preserve"> </w:t>
      </w:r>
    </w:p>
    <w:p w14:paraId="59F43FDF" w14:textId="7AB83EDC" w:rsidR="00953B91" w:rsidRDefault="00953B91" w:rsidP="00953B91">
      <w:pPr>
        <w:jc w:val="both"/>
        <w:rPr>
          <w:rFonts w:ascii="Calibri Light" w:hAnsi="Calibri Light" w:cs="Calibri Light"/>
          <w:sz w:val="28"/>
          <w:szCs w:val="28"/>
        </w:rPr>
      </w:pPr>
      <w:r>
        <w:rPr>
          <w:rFonts w:ascii="Calibri Light" w:hAnsi="Calibri Light" w:cs="Calibri Light"/>
          <w:sz w:val="28"/>
          <w:szCs w:val="28"/>
        </w:rPr>
        <w:t>I</w:t>
      </w:r>
      <w:r w:rsidRPr="00B84A66">
        <w:rPr>
          <w:rFonts w:ascii="Calibri Light" w:hAnsi="Calibri Light" w:cs="Calibri Light"/>
          <w:sz w:val="28"/>
          <w:szCs w:val="28"/>
        </w:rPr>
        <w:t xml:space="preserve">n order to </w:t>
      </w:r>
      <w:r>
        <w:rPr>
          <w:rFonts w:ascii="Calibri Light" w:hAnsi="Calibri Light" w:cs="Calibri Light"/>
          <w:sz w:val="28"/>
          <w:szCs w:val="28"/>
        </w:rPr>
        <w:t xml:space="preserve">be able to </w:t>
      </w:r>
      <w:r w:rsidRPr="00B84A66">
        <w:rPr>
          <w:rFonts w:ascii="Calibri Light" w:hAnsi="Calibri Light" w:cs="Calibri Light"/>
          <w:sz w:val="28"/>
          <w:szCs w:val="28"/>
        </w:rPr>
        <w:t xml:space="preserve">analyse </w:t>
      </w:r>
      <w:r>
        <w:rPr>
          <w:rFonts w:ascii="Calibri Light" w:hAnsi="Calibri Light" w:cs="Calibri Light"/>
          <w:sz w:val="28"/>
          <w:szCs w:val="28"/>
        </w:rPr>
        <w:t xml:space="preserve">properly </w:t>
      </w:r>
      <w:r w:rsidRPr="00B84A66">
        <w:rPr>
          <w:rFonts w:ascii="Calibri Light" w:hAnsi="Calibri Light" w:cs="Calibri Light"/>
          <w:sz w:val="28"/>
          <w:szCs w:val="28"/>
        </w:rPr>
        <w:t xml:space="preserve">the </w:t>
      </w:r>
      <w:r>
        <w:rPr>
          <w:rFonts w:ascii="Calibri Light" w:hAnsi="Calibri Light" w:cs="Calibri Light"/>
          <w:sz w:val="28"/>
          <w:szCs w:val="28"/>
        </w:rPr>
        <w:t xml:space="preserve">extent of the </w:t>
      </w:r>
      <w:r w:rsidRPr="00B84A66">
        <w:rPr>
          <w:rFonts w:ascii="Calibri Light" w:hAnsi="Calibri Light" w:cs="Calibri Light"/>
          <w:sz w:val="28"/>
          <w:szCs w:val="28"/>
        </w:rPr>
        <w:t>B</w:t>
      </w:r>
      <w:r w:rsidR="00AF2FF2">
        <w:rPr>
          <w:rFonts w:ascii="Calibri Light" w:hAnsi="Calibri Light" w:cs="Calibri Light"/>
          <w:sz w:val="28"/>
          <w:szCs w:val="28"/>
        </w:rPr>
        <w:t>C</w:t>
      </w:r>
      <w:r w:rsidRPr="00B84A66">
        <w:rPr>
          <w:rFonts w:ascii="Calibri Light" w:hAnsi="Calibri Light" w:cs="Calibri Light"/>
          <w:sz w:val="28"/>
          <w:szCs w:val="28"/>
        </w:rPr>
        <w:t xml:space="preserve"> shocks</w:t>
      </w:r>
      <w:r>
        <w:rPr>
          <w:rFonts w:ascii="Calibri Light" w:hAnsi="Calibri Light" w:cs="Calibri Light"/>
          <w:sz w:val="28"/>
          <w:szCs w:val="28"/>
        </w:rPr>
        <w:t xml:space="preserve">, it is </w:t>
      </w:r>
      <w:r w:rsidR="00AF2FF2">
        <w:rPr>
          <w:rFonts w:ascii="Calibri Light" w:hAnsi="Calibri Light" w:cs="Calibri Light"/>
          <w:sz w:val="28"/>
          <w:szCs w:val="28"/>
        </w:rPr>
        <w:t xml:space="preserve">important </w:t>
      </w:r>
      <w:r w:rsidRPr="00B84A66">
        <w:rPr>
          <w:rFonts w:ascii="Calibri Light" w:hAnsi="Calibri Light" w:cs="Calibri Light"/>
          <w:sz w:val="28"/>
          <w:szCs w:val="28"/>
        </w:rPr>
        <w:t xml:space="preserve">to understand </w:t>
      </w:r>
      <w:r>
        <w:rPr>
          <w:rFonts w:ascii="Calibri Light" w:hAnsi="Calibri Light" w:cs="Calibri Light"/>
          <w:sz w:val="28"/>
          <w:szCs w:val="28"/>
        </w:rPr>
        <w:t xml:space="preserve">the overall </w:t>
      </w:r>
      <w:r w:rsidRPr="00B84A66">
        <w:rPr>
          <w:rFonts w:ascii="Calibri Light" w:hAnsi="Calibri Light" w:cs="Calibri Light"/>
          <w:sz w:val="28"/>
          <w:szCs w:val="28"/>
        </w:rPr>
        <w:t xml:space="preserve">context </w:t>
      </w:r>
      <w:r>
        <w:rPr>
          <w:rFonts w:ascii="Calibri Light" w:hAnsi="Calibri Light" w:cs="Calibri Light"/>
          <w:sz w:val="28"/>
          <w:szCs w:val="28"/>
        </w:rPr>
        <w:t>of UK TNE provision particularly during the last five years or so. Two contextual features are particularly importa</w:t>
      </w:r>
      <w:r w:rsidR="00546336">
        <w:rPr>
          <w:rFonts w:ascii="Calibri Light" w:hAnsi="Calibri Light" w:cs="Calibri Light"/>
          <w:sz w:val="28"/>
          <w:szCs w:val="28"/>
        </w:rPr>
        <w:t xml:space="preserve">nt; </w:t>
      </w:r>
      <w:r>
        <w:rPr>
          <w:rFonts w:ascii="Calibri Light" w:hAnsi="Calibri Light" w:cs="Calibri Light"/>
          <w:sz w:val="28"/>
          <w:szCs w:val="28"/>
        </w:rPr>
        <w:t>(i) the still quite limited global geographical reach</w:t>
      </w:r>
      <w:r w:rsidR="00CB40CB">
        <w:rPr>
          <w:rFonts w:ascii="Calibri Light" w:hAnsi="Calibri Light" w:cs="Calibri Light"/>
          <w:sz w:val="28"/>
          <w:szCs w:val="28"/>
        </w:rPr>
        <w:t xml:space="preserve"> of </w:t>
      </w:r>
      <w:r w:rsidR="00786423">
        <w:rPr>
          <w:rFonts w:ascii="Calibri Light" w:hAnsi="Calibri Light" w:cs="Calibri Light"/>
          <w:sz w:val="28"/>
          <w:szCs w:val="28"/>
        </w:rPr>
        <w:t xml:space="preserve">UK </w:t>
      </w:r>
      <w:r w:rsidR="00CB40CB">
        <w:rPr>
          <w:rFonts w:ascii="Calibri Light" w:hAnsi="Calibri Light" w:cs="Calibri Light"/>
          <w:sz w:val="28"/>
          <w:szCs w:val="28"/>
        </w:rPr>
        <w:t>offshore overseas provision</w:t>
      </w:r>
      <w:r>
        <w:rPr>
          <w:rFonts w:ascii="Calibri Light" w:hAnsi="Calibri Light" w:cs="Calibri Light"/>
          <w:sz w:val="28"/>
          <w:szCs w:val="28"/>
        </w:rPr>
        <w:t>; and (ii) the marked slowdown in e</w:t>
      </w:r>
      <w:r w:rsidR="00786423">
        <w:rPr>
          <w:rFonts w:ascii="Calibri Light" w:hAnsi="Calibri Light" w:cs="Calibri Light"/>
          <w:sz w:val="28"/>
          <w:szCs w:val="28"/>
        </w:rPr>
        <w:t>nrolment growth in recent years</w:t>
      </w:r>
      <w:r>
        <w:rPr>
          <w:rFonts w:ascii="Calibri Light" w:hAnsi="Calibri Light" w:cs="Calibri Light"/>
          <w:sz w:val="28"/>
          <w:szCs w:val="28"/>
        </w:rPr>
        <w:t xml:space="preserve">.  </w:t>
      </w:r>
    </w:p>
    <w:p w14:paraId="0A432FDF" w14:textId="49800D19" w:rsidR="00953B91" w:rsidRPr="001F0FB0" w:rsidRDefault="004C03AF" w:rsidP="00953B91">
      <w:pPr>
        <w:jc w:val="both"/>
        <w:rPr>
          <w:rFonts w:ascii="Calibri Light" w:hAnsi="Calibri Light" w:cs="Calibri Light"/>
          <w:i/>
          <w:sz w:val="28"/>
          <w:szCs w:val="28"/>
        </w:rPr>
      </w:pPr>
      <w:r>
        <w:rPr>
          <w:rFonts w:ascii="Calibri Light" w:hAnsi="Calibri Light" w:cs="Calibri Light"/>
          <w:i/>
          <w:sz w:val="28"/>
          <w:szCs w:val="28"/>
        </w:rPr>
        <w:t xml:space="preserve">Limited </w:t>
      </w:r>
      <w:r w:rsidR="00953B91" w:rsidRPr="001F0FB0">
        <w:rPr>
          <w:rFonts w:ascii="Calibri Light" w:hAnsi="Calibri Light" w:cs="Calibri Light"/>
          <w:i/>
          <w:sz w:val="28"/>
          <w:szCs w:val="28"/>
        </w:rPr>
        <w:t>TNE global reach</w:t>
      </w:r>
    </w:p>
    <w:p w14:paraId="4E903A07" w14:textId="5E70B744" w:rsidR="00953B91" w:rsidRDefault="00CB40CB" w:rsidP="00953B91">
      <w:pPr>
        <w:jc w:val="both"/>
        <w:rPr>
          <w:rFonts w:ascii="Calibri Light" w:hAnsi="Calibri Light" w:cs="Calibri Light"/>
          <w:sz w:val="28"/>
          <w:szCs w:val="28"/>
        </w:rPr>
      </w:pPr>
      <w:r>
        <w:rPr>
          <w:rFonts w:ascii="Calibri Light" w:hAnsi="Calibri Light" w:cs="Calibri Light"/>
          <w:sz w:val="28"/>
          <w:szCs w:val="28"/>
        </w:rPr>
        <w:t>W</w:t>
      </w:r>
      <w:r w:rsidR="00953B91">
        <w:rPr>
          <w:rFonts w:ascii="Calibri Light" w:hAnsi="Calibri Light" w:cs="Calibri Light"/>
          <w:sz w:val="28"/>
          <w:szCs w:val="28"/>
        </w:rPr>
        <w:t xml:space="preserve">hile the rapid growth of TNE higher education provision from the mid-late 1990s onwards generated </w:t>
      </w:r>
      <w:r w:rsidR="006C3412">
        <w:rPr>
          <w:rFonts w:ascii="Calibri Light" w:hAnsi="Calibri Light" w:cs="Calibri Light"/>
          <w:sz w:val="28"/>
          <w:szCs w:val="28"/>
        </w:rPr>
        <w:t xml:space="preserve">very </w:t>
      </w:r>
      <w:r w:rsidR="00953B91">
        <w:rPr>
          <w:rFonts w:ascii="Calibri Light" w:hAnsi="Calibri Light" w:cs="Calibri Light"/>
          <w:sz w:val="28"/>
          <w:szCs w:val="28"/>
        </w:rPr>
        <w:t xml:space="preserve">considerable academic and wider public interest, </w:t>
      </w:r>
      <w:r w:rsidR="00953B91">
        <w:rPr>
          <w:rFonts w:ascii="Calibri Light" w:hAnsi="Calibri Light" w:cs="Calibri Light"/>
          <w:sz w:val="28"/>
          <w:szCs w:val="28"/>
        </w:rPr>
        <w:lastRenderedPageBreak/>
        <w:t>the fact remains that</w:t>
      </w:r>
      <w:r w:rsidR="00052B5F">
        <w:rPr>
          <w:rFonts w:ascii="Calibri Light" w:hAnsi="Calibri Light" w:cs="Calibri Light"/>
          <w:sz w:val="28"/>
          <w:szCs w:val="28"/>
        </w:rPr>
        <w:t xml:space="preserve">, geographically, </w:t>
      </w:r>
      <w:r w:rsidR="00953B91">
        <w:rPr>
          <w:rFonts w:ascii="Calibri Light" w:hAnsi="Calibri Light" w:cs="Calibri Light"/>
          <w:sz w:val="28"/>
          <w:szCs w:val="28"/>
        </w:rPr>
        <w:t xml:space="preserve">the overall extent of TNE </w:t>
      </w:r>
      <w:r>
        <w:rPr>
          <w:rFonts w:ascii="Calibri Light" w:hAnsi="Calibri Light" w:cs="Calibri Light"/>
          <w:sz w:val="28"/>
          <w:szCs w:val="28"/>
        </w:rPr>
        <w:t xml:space="preserve">enrolments </w:t>
      </w:r>
      <w:r w:rsidR="00953B91">
        <w:rPr>
          <w:rFonts w:ascii="Calibri Light" w:hAnsi="Calibri Light" w:cs="Calibri Light"/>
          <w:sz w:val="28"/>
          <w:szCs w:val="28"/>
        </w:rPr>
        <w:t>remains quite limited. Only two countries, Australia and the UK, have become heavily involved in the core type of TNE provision, namely collaborative institutional partnerships and UK universities still account for the lion’s share of overseas distance learning enrolments</w:t>
      </w:r>
      <w:r>
        <w:rPr>
          <w:rStyle w:val="FootnoteReference"/>
          <w:rFonts w:ascii="Calibri Light" w:hAnsi="Calibri Light" w:cs="Calibri Light"/>
          <w:sz w:val="28"/>
          <w:szCs w:val="28"/>
        </w:rPr>
        <w:footnoteReference w:id="9"/>
      </w:r>
      <w:r w:rsidR="00953B91">
        <w:rPr>
          <w:rFonts w:ascii="Calibri Light" w:hAnsi="Calibri Light" w:cs="Calibri Light"/>
          <w:sz w:val="28"/>
          <w:szCs w:val="28"/>
        </w:rPr>
        <w:t xml:space="preserve">. Geographically, three-quarters of UK offshore enrolments are heavily concentrated in </w:t>
      </w:r>
      <w:r>
        <w:rPr>
          <w:rFonts w:ascii="Calibri Light" w:hAnsi="Calibri Light" w:cs="Calibri Light"/>
          <w:sz w:val="28"/>
          <w:szCs w:val="28"/>
        </w:rPr>
        <w:t>just 20 countries (see table 1</w:t>
      </w:r>
      <w:r w:rsidR="00953B91">
        <w:rPr>
          <w:rFonts w:ascii="Calibri Light" w:hAnsi="Calibri Light" w:cs="Calibri Light"/>
          <w:sz w:val="28"/>
          <w:szCs w:val="28"/>
        </w:rPr>
        <w:t xml:space="preserve">). Nine of these </w:t>
      </w:r>
      <w:r w:rsidR="00953B91" w:rsidRPr="004B0293">
        <w:rPr>
          <w:rFonts w:ascii="Calibri Light" w:hAnsi="Calibri Light" w:cs="Calibri Light"/>
          <w:sz w:val="28"/>
          <w:szCs w:val="28"/>
        </w:rPr>
        <w:t>countr</w:t>
      </w:r>
      <w:r w:rsidR="00953B91">
        <w:rPr>
          <w:rFonts w:ascii="Calibri Light" w:hAnsi="Calibri Light" w:cs="Calibri Light"/>
          <w:sz w:val="28"/>
          <w:szCs w:val="28"/>
        </w:rPr>
        <w:t xml:space="preserve">ies are in the Middle East and South and </w:t>
      </w:r>
      <w:r w:rsidR="00953B91" w:rsidRPr="004B0293">
        <w:rPr>
          <w:rFonts w:ascii="Calibri Light" w:hAnsi="Calibri Light" w:cs="Calibri Light"/>
          <w:sz w:val="28"/>
          <w:szCs w:val="28"/>
        </w:rPr>
        <w:t xml:space="preserve">South-East Asia and </w:t>
      </w:r>
      <w:r>
        <w:rPr>
          <w:rFonts w:ascii="Calibri Light" w:hAnsi="Calibri Light" w:cs="Calibri Light"/>
          <w:sz w:val="28"/>
          <w:szCs w:val="28"/>
        </w:rPr>
        <w:t xml:space="preserve">just </w:t>
      </w:r>
      <w:r w:rsidR="00953B91">
        <w:rPr>
          <w:rFonts w:ascii="Calibri Light" w:hAnsi="Calibri Light" w:cs="Calibri Light"/>
          <w:sz w:val="28"/>
          <w:szCs w:val="28"/>
        </w:rPr>
        <w:t xml:space="preserve">four are mature industrial economies. Only two of the 70 countries in </w:t>
      </w:r>
      <w:r w:rsidR="00953B91" w:rsidRPr="004B0293">
        <w:rPr>
          <w:rFonts w:ascii="Calibri Light" w:hAnsi="Calibri Light" w:cs="Calibri Light"/>
          <w:sz w:val="28"/>
          <w:szCs w:val="28"/>
        </w:rPr>
        <w:t xml:space="preserve">the Caribbean and </w:t>
      </w:r>
      <w:r w:rsidR="00953B91">
        <w:rPr>
          <w:rFonts w:ascii="Calibri Light" w:hAnsi="Calibri Light" w:cs="Calibri Light"/>
          <w:sz w:val="28"/>
          <w:szCs w:val="28"/>
        </w:rPr>
        <w:t>S</w:t>
      </w:r>
      <w:r w:rsidR="00953B91" w:rsidRPr="004B0293">
        <w:rPr>
          <w:rFonts w:ascii="Calibri Light" w:hAnsi="Calibri Light" w:cs="Calibri Light"/>
          <w:sz w:val="28"/>
          <w:szCs w:val="28"/>
        </w:rPr>
        <w:t>ub-Saharan Africa</w:t>
      </w:r>
      <w:r w:rsidR="00953B91">
        <w:rPr>
          <w:rFonts w:ascii="Calibri Light" w:hAnsi="Calibri Light" w:cs="Calibri Light"/>
          <w:sz w:val="28"/>
          <w:szCs w:val="28"/>
        </w:rPr>
        <w:t xml:space="preserve"> are in this group</w:t>
      </w:r>
      <w:r w:rsidR="006C3412">
        <w:rPr>
          <w:rFonts w:ascii="Calibri Light" w:hAnsi="Calibri Light" w:cs="Calibri Light"/>
          <w:sz w:val="28"/>
          <w:szCs w:val="28"/>
        </w:rPr>
        <w:t xml:space="preserve"> (Nigeria and Trinidad and Tobago)</w:t>
      </w:r>
      <w:r w:rsidR="00953B91">
        <w:rPr>
          <w:rFonts w:ascii="Calibri Light" w:hAnsi="Calibri Light" w:cs="Calibri Light"/>
          <w:sz w:val="28"/>
          <w:szCs w:val="28"/>
        </w:rPr>
        <w:t xml:space="preserve">. Almost all </w:t>
      </w:r>
      <w:r w:rsidR="00786423">
        <w:rPr>
          <w:rFonts w:ascii="Calibri Light" w:hAnsi="Calibri Light" w:cs="Calibri Light"/>
          <w:sz w:val="28"/>
          <w:szCs w:val="28"/>
        </w:rPr>
        <w:t xml:space="preserve">of these 20 countries </w:t>
      </w:r>
      <w:r w:rsidR="00953B91">
        <w:rPr>
          <w:rFonts w:ascii="Calibri Light" w:hAnsi="Calibri Light" w:cs="Calibri Light"/>
          <w:sz w:val="28"/>
          <w:szCs w:val="28"/>
        </w:rPr>
        <w:t xml:space="preserve">were at one time or another part of the British Empire and continue to rely heavily on English for </w:t>
      </w:r>
      <w:r w:rsidR="00786423">
        <w:rPr>
          <w:rFonts w:ascii="Calibri Light" w:hAnsi="Calibri Light" w:cs="Calibri Light"/>
          <w:sz w:val="28"/>
          <w:szCs w:val="28"/>
        </w:rPr>
        <w:t>education</w:t>
      </w:r>
      <w:r w:rsidR="00953B91">
        <w:rPr>
          <w:rFonts w:ascii="Calibri Light" w:hAnsi="Calibri Light" w:cs="Calibri Light"/>
          <w:sz w:val="28"/>
          <w:szCs w:val="28"/>
        </w:rPr>
        <w:t>, business and government/</w:t>
      </w:r>
      <w:r w:rsidR="006C3412">
        <w:rPr>
          <w:rFonts w:ascii="Calibri Light" w:hAnsi="Calibri Light" w:cs="Calibri Light"/>
          <w:sz w:val="28"/>
          <w:szCs w:val="28"/>
        </w:rPr>
        <w:t xml:space="preserve"> </w:t>
      </w:r>
      <w:r w:rsidR="00953B91">
        <w:rPr>
          <w:rFonts w:ascii="Calibri Light" w:hAnsi="Calibri Light" w:cs="Calibri Light"/>
          <w:sz w:val="28"/>
          <w:szCs w:val="28"/>
        </w:rPr>
        <w:t>administration</w:t>
      </w:r>
      <w:r w:rsidR="00953B91" w:rsidRPr="004B0293">
        <w:rPr>
          <w:rFonts w:ascii="Calibri Light" w:hAnsi="Calibri Light" w:cs="Calibri Light"/>
          <w:sz w:val="28"/>
          <w:szCs w:val="28"/>
        </w:rPr>
        <w:t>.</w:t>
      </w:r>
    </w:p>
    <w:tbl>
      <w:tblPr>
        <w:tblW w:w="6402" w:type="dxa"/>
        <w:tblLook w:val="04A0" w:firstRow="1" w:lastRow="0" w:firstColumn="1" w:lastColumn="0" w:noHBand="0" w:noVBand="1"/>
      </w:tblPr>
      <w:tblGrid>
        <w:gridCol w:w="2108"/>
        <w:gridCol w:w="1116"/>
        <w:gridCol w:w="551"/>
        <w:gridCol w:w="1116"/>
        <w:gridCol w:w="551"/>
        <w:gridCol w:w="960"/>
      </w:tblGrid>
      <w:tr w:rsidR="0040017D" w:rsidRPr="00C52A9D" w14:paraId="1BB345A6" w14:textId="77777777" w:rsidTr="0040017D">
        <w:trPr>
          <w:trHeight w:val="288"/>
        </w:trPr>
        <w:tc>
          <w:tcPr>
            <w:tcW w:w="5442" w:type="dxa"/>
            <w:gridSpan w:val="5"/>
            <w:tcBorders>
              <w:top w:val="nil"/>
              <w:left w:val="nil"/>
              <w:bottom w:val="nil"/>
              <w:right w:val="nil"/>
            </w:tcBorders>
            <w:shd w:val="clear" w:color="auto" w:fill="auto"/>
            <w:noWrap/>
            <w:vAlign w:val="bottom"/>
            <w:hideMark/>
          </w:tcPr>
          <w:p w14:paraId="43F0A74A" w14:textId="10FF4B1E" w:rsidR="0040017D" w:rsidRPr="00C52A9D" w:rsidRDefault="0040017D" w:rsidP="00231A6F">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xml:space="preserve">Table 1: UK TNE </w:t>
            </w:r>
            <w:r w:rsidR="00231A6F">
              <w:rPr>
                <w:rFonts w:ascii="Calibri Light" w:eastAsia="Times New Roman" w:hAnsi="Calibri Light" w:cs="Calibri Light"/>
                <w:color w:val="000000"/>
                <w:lang w:eastAsia="en-GB"/>
              </w:rPr>
              <w:t xml:space="preserve">students </w:t>
            </w:r>
            <w:r w:rsidRPr="00C52A9D">
              <w:rPr>
                <w:rFonts w:ascii="Calibri Light" w:eastAsia="Times New Roman" w:hAnsi="Calibri Light" w:cs="Calibri Light"/>
                <w:color w:val="000000"/>
                <w:lang w:eastAsia="en-GB"/>
              </w:rPr>
              <w:t>by region, 2014/15 and 2019/20</w:t>
            </w:r>
            <w:r>
              <w:rPr>
                <w:rFonts w:ascii="Calibri Light" w:eastAsia="Times New Roman" w:hAnsi="Calibri Light" w:cs="Calibri Light"/>
                <w:color w:val="000000"/>
                <w:lang w:eastAsia="en-GB"/>
              </w:rPr>
              <w:t xml:space="preserve"> </w:t>
            </w:r>
          </w:p>
        </w:tc>
        <w:tc>
          <w:tcPr>
            <w:tcW w:w="960" w:type="dxa"/>
            <w:tcBorders>
              <w:top w:val="nil"/>
              <w:left w:val="nil"/>
              <w:bottom w:val="nil"/>
              <w:right w:val="nil"/>
            </w:tcBorders>
            <w:shd w:val="clear" w:color="auto" w:fill="auto"/>
            <w:noWrap/>
            <w:vAlign w:val="bottom"/>
            <w:hideMark/>
          </w:tcPr>
          <w:p w14:paraId="024E94E8" w14:textId="77777777" w:rsidR="0040017D" w:rsidRPr="00C52A9D" w:rsidRDefault="0040017D" w:rsidP="0040017D">
            <w:pPr>
              <w:spacing w:after="0" w:line="240" w:lineRule="auto"/>
              <w:rPr>
                <w:rFonts w:ascii="Calibri Light" w:eastAsia="Times New Roman" w:hAnsi="Calibri Light" w:cs="Calibri Light"/>
                <w:color w:val="000000"/>
                <w:lang w:eastAsia="en-GB"/>
              </w:rPr>
            </w:pPr>
          </w:p>
        </w:tc>
      </w:tr>
      <w:tr w:rsidR="0040017D" w:rsidRPr="00C52A9D" w14:paraId="4B476DA8" w14:textId="77777777" w:rsidTr="0040017D">
        <w:trPr>
          <w:trHeight w:val="300"/>
        </w:trPr>
        <w:tc>
          <w:tcPr>
            <w:tcW w:w="3775" w:type="dxa"/>
            <w:gridSpan w:val="3"/>
            <w:tcBorders>
              <w:top w:val="nil"/>
              <w:left w:val="nil"/>
              <w:bottom w:val="nil"/>
              <w:right w:val="nil"/>
            </w:tcBorders>
            <w:shd w:val="clear" w:color="auto" w:fill="auto"/>
            <w:noWrap/>
            <w:vAlign w:val="bottom"/>
            <w:hideMark/>
          </w:tcPr>
          <w:p w14:paraId="4783C214"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(rounded '000 and percentages)</w:t>
            </w:r>
          </w:p>
        </w:tc>
        <w:tc>
          <w:tcPr>
            <w:tcW w:w="1116" w:type="dxa"/>
            <w:tcBorders>
              <w:top w:val="nil"/>
              <w:left w:val="nil"/>
              <w:bottom w:val="nil"/>
              <w:right w:val="nil"/>
            </w:tcBorders>
            <w:shd w:val="clear" w:color="auto" w:fill="auto"/>
            <w:noWrap/>
            <w:vAlign w:val="bottom"/>
            <w:hideMark/>
          </w:tcPr>
          <w:p w14:paraId="24B962C4" w14:textId="77777777" w:rsidR="0040017D" w:rsidRPr="00C52A9D" w:rsidRDefault="0040017D" w:rsidP="0040017D">
            <w:pPr>
              <w:spacing w:after="0" w:line="240" w:lineRule="auto"/>
              <w:rPr>
                <w:rFonts w:ascii="Calibri Light" w:eastAsia="Times New Roman" w:hAnsi="Calibri Light" w:cs="Calibri Light"/>
                <w:color w:val="000000"/>
                <w:lang w:eastAsia="en-GB"/>
              </w:rPr>
            </w:pPr>
          </w:p>
        </w:tc>
        <w:tc>
          <w:tcPr>
            <w:tcW w:w="551" w:type="dxa"/>
            <w:tcBorders>
              <w:top w:val="nil"/>
              <w:left w:val="nil"/>
              <w:bottom w:val="nil"/>
              <w:right w:val="nil"/>
            </w:tcBorders>
            <w:shd w:val="clear" w:color="auto" w:fill="auto"/>
            <w:noWrap/>
            <w:vAlign w:val="bottom"/>
            <w:hideMark/>
          </w:tcPr>
          <w:p w14:paraId="770EC973"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c>
          <w:tcPr>
            <w:tcW w:w="960" w:type="dxa"/>
            <w:tcBorders>
              <w:top w:val="nil"/>
              <w:left w:val="nil"/>
              <w:bottom w:val="nil"/>
              <w:right w:val="nil"/>
            </w:tcBorders>
            <w:shd w:val="clear" w:color="auto" w:fill="auto"/>
            <w:noWrap/>
            <w:vAlign w:val="bottom"/>
            <w:hideMark/>
          </w:tcPr>
          <w:p w14:paraId="0D532F3A"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r>
      <w:tr w:rsidR="0040017D" w:rsidRPr="00C52A9D" w14:paraId="129C060C" w14:textId="77777777" w:rsidTr="0040017D">
        <w:trPr>
          <w:trHeight w:val="288"/>
        </w:trPr>
        <w:tc>
          <w:tcPr>
            <w:tcW w:w="2108" w:type="dxa"/>
            <w:tcBorders>
              <w:top w:val="single" w:sz="8" w:space="0" w:color="auto"/>
              <w:left w:val="single" w:sz="8" w:space="0" w:color="auto"/>
              <w:bottom w:val="nil"/>
              <w:right w:val="nil"/>
            </w:tcBorders>
            <w:shd w:val="clear" w:color="000000" w:fill="BDD7EE"/>
            <w:noWrap/>
            <w:vAlign w:val="bottom"/>
            <w:hideMark/>
          </w:tcPr>
          <w:p w14:paraId="0E46989B"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Region</w:t>
            </w:r>
          </w:p>
        </w:tc>
        <w:tc>
          <w:tcPr>
            <w:tcW w:w="1116" w:type="dxa"/>
            <w:tcBorders>
              <w:top w:val="single" w:sz="8" w:space="0" w:color="auto"/>
              <w:left w:val="nil"/>
              <w:bottom w:val="nil"/>
              <w:right w:val="nil"/>
            </w:tcBorders>
            <w:shd w:val="clear" w:color="000000" w:fill="BDD7EE"/>
            <w:noWrap/>
            <w:vAlign w:val="bottom"/>
            <w:hideMark/>
          </w:tcPr>
          <w:p w14:paraId="45592C3A"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2014/15</w:t>
            </w:r>
          </w:p>
        </w:tc>
        <w:tc>
          <w:tcPr>
            <w:tcW w:w="551" w:type="dxa"/>
            <w:tcBorders>
              <w:top w:val="single" w:sz="8" w:space="0" w:color="auto"/>
              <w:left w:val="nil"/>
              <w:bottom w:val="nil"/>
              <w:right w:val="nil"/>
            </w:tcBorders>
            <w:shd w:val="clear" w:color="000000" w:fill="BDD7EE"/>
            <w:noWrap/>
            <w:vAlign w:val="bottom"/>
            <w:hideMark/>
          </w:tcPr>
          <w:p w14:paraId="09029693"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w:t>
            </w:r>
          </w:p>
        </w:tc>
        <w:tc>
          <w:tcPr>
            <w:tcW w:w="1116" w:type="dxa"/>
            <w:tcBorders>
              <w:top w:val="single" w:sz="8" w:space="0" w:color="auto"/>
              <w:left w:val="single" w:sz="4" w:space="0" w:color="auto"/>
              <w:bottom w:val="nil"/>
              <w:right w:val="nil"/>
            </w:tcBorders>
            <w:shd w:val="clear" w:color="000000" w:fill="BDD7EE"/>
            <w:noWrap/>
            <w:vAlign w:val="bottom"/>
            <w:hideMark/>
          </w:tcPr>
          <w:p w14:paraId="43572F4A"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2019/20</w:t>
            </w:r>
          </w:p>
        </w:tc>
        <w:tc>
          <w:tcPr>
            <w:tcW w:w="551" w:type="dxa"/>
            <w:tcBorders>
              <w:top w:val="single" w:sz="8" w:space="0" w:color="auto"/>
              <w:left w:val="nil"/>
              <w:bottom w:val="nil"/>
              <w:right w:val="single" w:sz="8" w:space="0" w:color="auto"/>
            </w:tcBorders>
            <w:shd w:val="clear" w:color="000000" w:fill="BDD7EE"/>
            <w:noWrap/>
            <w:vAlign w:val="bottom"/>
            <w:hideMark/>
          </w:tcPr>
          <w:p w14:paraId="02BDF1F8"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w:t>
            </w:r>
          </w:p>
        </w:tc>
        <w:tc>
          <w:tcPr>
            <w:tcW w:w="960" w:type="dxa"/>
            <w:tcBorders>
              <w:top w:val="nil"/>
              <w:left w:val="nil"/>
              <w:bottom w:val="nil"/>
              <w:right w:val="nil"/>
            </w:tcBorders>
            <w:shd w:val="clear" w:color="auto" w:fill="auto"/>
            <w:noWrap/>
            <w:vAlign w:val="bottom"/>
            <w:hideMark/>
          </w:tcPr>
          <w:p w14:paraId="4BF86087"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p>
        </w:tc>
      </w:tr>
      <w:tr w:rsidR="0040017D" w:rsidRPr="00C52A9D" w14:paraId="633520C1" w14:textId="77777777" w:rsidTr="0040017D">
        <w:trPr>
          <w:trHeight w:val="288"/>
        </w:trPr>
        <w:tc>
          <w:tcPr>
            <w:tcW w:w="2108" w:type="dxa"/>
            <w:tcBorders>
              <w:top w:val="single" w:sz="4" w:space="0" w:color="auto"/>
              <w:left w:val="single" w:sz="8" w:space="0" w:color="auto"/>
              <w:bottom w:val="nil"/>
              <w:right w:val="nil"/>
            </w:tcBorders>
            <w:shd w:val="clear" w:color="000000" w:fill="F2F2F2"/>
            <w:noWrap/>
            <w:vAlign w:val="bottom"/>
            <w:hideMark/>
          </w:tcPr>
          <w:p w14:paraId="06A0AD2A"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European Union</w:t>
            </w:r>
          </w:p>
        </w:tc>
        <w:tc>
          <w:tcPr>
            <w:tcW w:w="1116" w:type="dxa"/>
            <w:tcBorders>
              <w:top w:val="single" w:sz="4" w:space="0" w:color="auto"/>
              <w:left w:val="nil"/>
              <w:bottom w:val="nil"/>
              <w:right w:val="nil"/>
            </w:tcBorders>
            <w:shd w:val="clear" w:color="000000" w:fill="F2F2F2"/>
            <w:noWrap/>
            <w:vAlign w:val="bottom"/>
            <w:hideMark/>
          </w:tcPr>
          <w:p w14:paraId="5D1FDD94"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53</w:t>
            </w:r>
          </w:p>
        </w:tc>
        <w:tc>
          <w:tcPr>
            <w:tcW w:w="551" w:type="dxa"/>
            <w:tcBorders>
              <w:top w:val="single" w:sz="4" w:space="0" w:color="auto"/>
              <w:left w:val="nil"/>
              <w:bottom w:val="nil"/>
              <w:right w:val="nil"/>
            </w:tcBorders>
            <w:shd w:val="clear" w:color="000000" w:fill="F2F2F2"/>
            <w:noWrap/>
            <w:vAlign w:val="bottom"/>
            <w:hideMark/>
          </w:tcPr>
          <w:p w14:paraId="2A844EE2"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14</w:t>
            </w:r>
          </w:p>
        </w:tc>
        <w:tc>
          <w:tcPr>
            <w:tcW w:w="1116" w:type="dxa"/>
            <w:tcBorders>
              <w:top w:val="single" w:sz="4" w:space="0" w:color="auto"/>
              <w:left w:val="single" w:sz="4" w:space="0" w:color="auto"/>
              <w:bottom w:val="nil"/>
              <w:right w:val="nil"/>
            </w:tcBorders>
            <w:shd w:val="clear" w:color="000000" w:fill="F2F2F2"/>
            <w:noWrap/>
            <w:vAlign w:val="bottom"/>
            <w:hideMark/>
          </w:tcPr>
          <w:p w14:paraId="30D2FEF5"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71</w:t>
            </w:r>
          </w:p>
        </w:tc>
        <w:tc>
          <w:tcPr>
            <w:tcW w:w="551" w:type="dxa"/>
            <w:tcBorders>
              <w:top w:val="single" w:sz="4" w:space="0" w:color="auto"/>
              <w:left w:val="nil"/>
              <w:bottom w:val="nil"/>
              <w:right w:val="single" w:sz="8" w:space="0" w:color="auto"/>
            </w:tcBorders>
            <w:shd w:val="clear" w:color="000000" w:fill="F2F2F2"/>
            <w:noWrap/>
            <w:vAlign w:val="bottom"/>
            <w:hideMark/>
          </w:tcPr>
          <w:p w14:paraId="298BC217"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17</w:t>
            </w:r>
          </w:p>
        </w:tc>
        <w:tc>
          <w:tcPr>
            <w:tcW w:w="960" w:type="dxa"/>
            <w:tcBorders>
              <w:top w:val="nil"/>
              <w:left w:val="nil"/>
              <w:bottom w:val="nil"/>
              <w:right w:val="nil"/>
            </w:tcBorders>
            <w:shd w:val="clear" w:color="auto" w:fill="auto"/>
            <w:noWrap/>
            <w:vAlign w:val="bottom"/>
            <w:hideMark/>
          </w:tcPr>
          <w:p w14:paraId="71A1B1F6"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p>
        </w:tc>
      </w:tr>
      <w:tr w:rsidR="0040017D" w:rsidRPr="00C52A9D" w14:paraId="276A3C75" w14:textId="77777777" w:rsidTr="0040017D">
        <w:trPr>
          <w:trHeight w:val="288"/>
        </w:trPr>
        <w:tc>
          <w:tcPr>
            <w:tcW w:w="2108" w:type="dxa"/>
            <w:tcBorders>
              <w:top w:val="nil"/>
              <w:left w:val="single" w:sz="8" w:space="0" w:color="auto"/>
              <w:bottom w:val="nil"/>
              <w:right w:val="nil"/>
            </w:tcBorders>
            <w:shd w:val="clear" w:color="000000" w:fill="F2F2F2"/>
            <w:noWrap/>
            <w:vAlign w:val="bottom"/>
            <w:hideMark/>
          </w:tcPr>
          <w:p w14:paraId="083665A8"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Other Europe</w:t>
            </w:r>
          </w:p>
        </w:tc>
        <w:tc>
          <w:tcPr>
            <w:tcW w:w="1116" w:type="dxa"/>
            <w:tcBorders>
              <w:top w:val="nil"/>
              <w:left w:val="nil"/>
              <w:bottom w:val="nil"/>
              <w:right w:val="nil"/>
            </w:tcBorders>
            <w:shd w:val="clear" w:color="000000" w:fill="F2F2F2"/>
            <w:noWrap/>
            <w:vAlign w:val="bottom"/>
            <w:hideMark/>
          </w:tcPr>
          <w:p w14:paraId="29E693D5"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13</w:t>
            </w:r>
          </w:p>
        </w:tc>
        <w:tc>
          <w:tcPr>
            <w:tcW w:w="551" w:type="dxa"/>
            <w:tcBorders>
              <w:top w:val="nil"/>
              <w:left w:val="nil"/>
              <w:bottom w:val="nil"/>
              <w:right w:val="nil"/>
            </w:tcBorders>
            <w:shd w:val="clear" w:color="000000" w:fill="F2F2F2"/>
            <w:noWrap/>
            <w:vAlign w:val="bottom"/>
            <w:hideMark/>
          </w:tcPr>
          <w:p w14:paraId="0DC215E5"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w:t>
            </w:r>
          </w:p>
        </w:tc>
        <w:tc>
          <w:tcPr>
            <w:tcW w:w="1116" w:type="dxa"/>
            <w:tcBorders>
              <w:top w:val="nil"/>
              <w:left w:val="single" w:sz="4" w:space="0" w:color="auto"/>
              <w:bottom w:val="nil"/>
              <w:right w:val="nil"/>
            </w:tcBorders>
            <w:shd w:val="clear" w:color="000000" w:fill="F2F2F2"/>
            <w:noWrap/>
            <w:vAlign w:val="bottom"/>
            <w:hideMark/>
          </w:tcPr>
          <w:p w14:paraId="69CE988D"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13</w:t>
            </w:r>
          </w:p>
        </w:tc>
        <w:tc>
          <w:tcPr>
            <w:tcW w:w="551" w:type="dxa"/>
            <w:tcBorders>
              <w:top w:val="nil"/>
              <w:left w:val="nil"/>
              <w:bottom w:val="nil"/>
              <w:right w:val="single" w:sz="8" w:space="0" w:color="auto"/>
            </w:tcBorders>
            <w:shd w:val="clear" w:color="000000" w:fill="F2F2F2"/>
            <w:noWrap/>
            <w:vAlign w:val="bottom"/>
            <w:hideMark/>
          </w:tcPr>
          <w:p w14:paraId="35BF596D"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w:t>
            </w:r>
          </w:p>
        </w:tc>
        <w:tc>
          <w:tcPr>
            <w:tcW w:w="960" w:type="dxa"/>
            <w:tcBorders>
              <w:top w:val="nil"/>
              <w:left w:val="nil"/>
              <w:bottom w:val="nil"/>
              <w:right w:val="nil"/>
            </w:tcBorders>
            <w:shd w:val="clear" w:color="auto" w:fill="auto"/>
            <w:noWrap/>
            <w:vAlign w:val="bottom"/>
            <w:hideMark/>
          </w:tcPr>
          <w:p w14:paraId="08D67C46"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p>
        </w:tc>
      </w:tr>
      <w:tr w:rsidR="0040017D" w:rsidRPr="00C52A9D" w14:paraId="3814B6F9" w14:textId="77777777" w:rsidTr="0040017D">
        <w:trPr>
          <w:trHeight w:val="288"/>
        </w:trPr>
        <w:tc>
          <w:tcPr>
            <w:tcW w:w="2108" w:type="dxa"/>
            <w:tcBorders>
              <w:top w:val="nil"/>
              <w:left w:val="single" w:sz="8" w:space="0" w:color="auto"/>
              <w:bottom w:val="nil"/>
              <w:right w:val="nil"/>
            </w:tcBorders>
            <w:shd w:val="clear" w:color="000000" w:fill="F2F2F2"/>
            <w:noWrap/>
            <w:vAlign w:val="bottom"/>
            <w:hideMark/>
          </w:tcPr>
          <w:p w14:paraId="319E22BB"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Asia</w:t>
            </w:r>
          </w:p>
        </w:tc>
        <w:tc>
          <w:tcPr>
            <w:tcW w:w="1116" w:type="dxa"/>
            <w:tcBorders>
              <w:top w:val="nil"/>
              <w:left w:val="nil"/>
              <w:bottom w:val="nil"/>
              <w:right w:val="nil"/>
            </w:tcBorders>
            <w:shd w:val="clear" w:color="000000" w:fill="F2F2F2"/>
            <w:noWrap/>
            <w:vAlign w:val="bottom"/>
            <w:hideMark/>
          </w:tcPr>
          <w:p w14:paraId="1AA72BB0"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186</w:t>
            </w:r>
          </w:p>
        </w:tc>
        <w:tc>
          <w:tcPr>
            <w:tcW w:w="551" w:type="dxa"/>
            <w:tcBorders>
              <w:top w:val="nil"/>
              <w:left w:val="nil"/>
              <w:bottom w:val="nil"/>
              <w:right w:val="nil"/>
            </w:tcBorders>
            <w:shd w:val="clear" w:color="000000" w:fill="F2F2F2"/>
            <w:noWrap/>
            <w:vAlign w:val="bottom"/>
            <w:hideMark/>
          </w:tcPr>
          <w:p w14:paraId="1A43CAEB"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49</w:t>
            </w:r>
          </w:p>
        </w:tc>
        <w:tc>
          <w:tcPr>
            <w:tcW w:w="1116" w:type="dxa"/>
            <w:tcBorders>
              <w:top w:val="nil"/>
              <w:left w:val="single" w:sz="4" w:space="0" w:color="auto"/>
              <w:bottom w:val="nil"/>
              <w:right w:val="nil"/>
            </w:tcBorders>
            <w:shd w:val="clear" w:color="000000" w:fill="F2F2F2"/>
            <w:noWrap/>
            <w:vAlign w:val="bottom"/>
            <w:hideMark/>
          </w:tcPr>
          <w:p w14:paraId="35CC53E4"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214</w:t>
            </w:r>
          </w:p>
        </w:tc>
        <w:tc>
          <w:tcPr>
            <w:tcW w:w="551" w:type="dxa"/>
            <w:tcBorders>
              <w:top w:val="nil"/>
              <w:left w:val="nil"/>
              <w:bottom w:val="nil"/>
              <w:right w:val="single" w:sz="8" w:space="0" w:color="auto"/>
            </w:tcBorders>
            <w:shd w:val="clear" w:color="000000" w:fill="F2F2F2"/>
            <w:noWrap/>
            <w:vAlign w:val="bottom"/>
            <w:hideMark/>
          </w:tcPr>
          <w:p w14:paraId="7ABB2658"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51</w:t>
            </w:r>
          </w:p>
        </w:tc>
        <w:tc>
          <w:tcPr>
            <w:tcW w:w="960" w:type="dxa"/>
            <w:tcBorders>
              <w:top w:val="nil"/>
              <w:left w:val="nil"/>
              <w:bottom w:val="nil"/>
              <w:right w:val="nil"/>
            </w:tcBorders>
            <w:shd w:val="clear" w:color="auto" w:fill="auto"/>
            <w:noWrap/>
            <w:vAlign w:val="bottom"/>
            <w:hideMark/>
          </w:tcPr>
          <w:p w14:paraId="78BAF9F9"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p>
        </w:tc>
      </w:tr>
      <w:tr w:rsidR="0040017D" w:rsidRPr="00C52A9D" w14:paraId="4537E67F" w14:textId="77777777" w:rsidTr="0040017D">
        <w:trPr>
          <w:trHeight w:val="288"/>
        </w:trPr>
        <w:tc>
          <w:tcPr>
            <w:tcW w:w="2108" w:type="dxa"/>
            <w:tcBorders>
              <w:top w:val="nil"/>
              <w:left w:val="single" w:sz="8" w:space="0" w:color="auto"/>
              <w:bottom w:val="nil"/>
              <w:right w:val="nil"/>
            </w:tcBorders>
            <w:shd w:val="clear" w:color="000000" w:fill="F2F2F2"/>
            <w:noWrap/>
            <w:vAlign w:val="bottom"/>
            <w:hideMark/>
          </w:tcPr>
          <w:p w14:paraId="0DBC4F7E"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Middle East</w:t>
            </w:r>
          </w:p>
        </w:tc>
        <w:tc>
          <w:tcPr>
            <w:tcW w:w="1116" w:type="dxa"/>
            <w:tcBorders>
              <w:top w:val="nil"/>
              <w:left w:val="nil"/>
              <w:bottom w:val="nil"/>
              <w:right w:val="nil"/>
            </w:tcBorders>
            <w:shd w:val="clear" w:color="000000" w:fill="F2F2F2"/>
            <w:noWrap/>
            <w:vAlign w:val="bottom"/>
            <w:hideMark/>
          </w:tcPr>
          <w:p w14:paraId="0C4250DF"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52</w:t>
            </w:r>
          </w:p>
        </w:tc>
        <w:tc>
          <w:tcPr>
            <w:tcW w:w="551" w:type="dxa"/>
            <w:tcBorders>
              <w:top w:val="nil"/>
              <w:left w:val="nil"/>
              <w:bottom w:val="nil"/>
              <w:right w:val="nil"/>
            </w:tcBorders>
            <w:shd w:val="clear" w:color="000000" w:fill="F2F2F2"/>
            <w:noWrap/>
            <w:vAlign w:val="bottom"/>
            <w:hideMark/>
          </w:tcPr>
          <w:p w14:paraId="6725220C"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14</w:t>
            </w:r>
          </w:p>
        </w:tc>
        <w:tc>
          <w:tcPr>
            <w:tcW w:w="1116" w:type="dxa"/>
            <w:tcBorders>
              <w:top w:val="nil"/>
              <w:left w:val="single" w:sz="4" w:space="0" w:color="auto"/>
              <w:bottom w:val="nil"/>
              <w:right w:val="nil"/>
            </w:tcBorders>
            <w:shd w:val="clear" w:color="000000" w:fill="F2F2F2"/>
            <w:noWrap/>
            <w:vAlign w:val="bottom"/>
            <w:hideMark/>
          </w:tcPr>
          <w:p w14:paraId="1698188E"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56</w:t>
            </w:r>
          </w:p>
        </w:tc>
        <w:tc>
          <w:tcPr>
            <w:tcW w:w="551" w:type="dxa"/>
            <w:tcBorders>
              <w:top w:val="nil"/>
              <w:left w:val="nil"/>
              <w:bottom w:val="nil"/>
              <w:right w:val="single" w:sz="8" w:space="0" w:color="auto"/>
            </w:tcBorders>
            <w:shd w:val="clear" w:color="000000" w:fill="F2F2F2"/>
            <w:noWrap/>
            <w:vAlign w:val="bottom"/>
            <w:hideMark/>
          </w:tcPr>
          <w:p w14:paraId="63F2AC2B"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13</w:t>
            </w:r>
          </w:p>
        </w:tc>
        <w:tc>
          <w:tcPr>
            <w:tcW w:w="960" w:type="dxa"/>
            <w:tcBorders>
              <w:top w:val="nil"/>
              <w:left w:val="nil"/>
              <w:bottom w:val="nil"/>
              <w:right w:val="nil"/>
            </w:tcBorders>
            <w:shd w:val="clear" w:color="auto" w:fill="auto"/>
            <w:noWrap/>
            <w:vAlign w:val="bottom"/>
            <w:hideMark/>
          </w:tcPr>
          <w:p w14:paraId="6FC3CA6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p>
        </w:tc>
      </w:tr>
      <w:tr w:rsidR="0040017D" w:rsidRPr="00C52A9D" w14:paraId="3BB887E8" w14:textId="77777777" w:rsidTr="0040017D">
        <w:trPr>
          <w:trHeight w:val="288"/>
        </w:trPr>
        <w:tc>
          <w:tcPr>
            <w:tcW w:w="2108" w:type="dxa"/>
            <w:tcBorders>
              <w:top w:val="nil"/>
              <w:left w:val="single" w:sz="8" w:space="0" w:color="auto"/>
              <w:bottom w:val="nil"/>
              <w:right w:val="nil"/>
            </w:tcBorders>
            <w:shd w:val="clear" w:color="000000" w:fill="F2F2F2"/>
            <w:noWrap/>
            <w:vAlign w:val="bottom"/>
            <w:hideMark/>
          </w:tcPr>
          <w:p w14:paraId="0C926856"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Africa</w:t>
            </w:r>
          </w:p>
        </w:tc>
        <w:tc>
          <w:tcPr>
            <w:tcW w:w="1116" w:type="dxa"/>
            <w:tcBorders>
              <w:top w:val="nil"/>
              <w:left w:val="nil"/>
              <w:bottom w:val="nil"/>
              <w:right w:val="nil"/>
            </w:tcBorders>
            <w:shd w:val="clear" w:color="000000" w:fill="F2F2F2"/>
            <w:noWrap/>
            <w:vAlign w:val="bottom"/>
            <w:hideMark/>
          </w:tcPr>
          <w:p w14:paraId="67B968AE"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50</w:t>
            </w:r>
          </w:p>
        </w:tc>
        <w:tc>
          <w:tcPr>
            <w:tcW w:w="551" w:type="dxa"/>
            <w:tcBorders>
              <w:top w:val="nil"/>
              <w:left w:val="nil"/>
              <w:bottom w:val="nil"/>
              <w:right w:val="nil"/>
            </w:tcBorders>
            <w:shd w:val="clear" w:color="000000" w:fill="F2F2F2"/>
            <w:noWrap/>
            <w:vAlign w:val="bottom"/>
            <w:hideMark/>
          </w:tcPr>
          <w:p w14:paraId="4EF1D95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13</w:t>
            </w:r>
          </w:p>
        </w:tc>
        <w:tc>
          <w:tcPr>
            <w:tcW w:w="1116" w:type="dxa"/>
            <w:tcBorders>
              <w:top w:val="nil"/>
              <w:left w:val="single" w:sz="4" w:space="0" w:color="auto"/>
              <w:bottom w:val="nil"/>
              <w:right w:val="nil"/>
            </w:tcBorders>
            <w:shd w:val="clear" w:color="000000" w:fill="F2F2F2"/>
            <w:noWrap/>
            <w:vAlign w:val="bottom"/>
            <w:hideMark/>
          </w:tcPr>
          <w:p w14:paraId="2F2AC6CD"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45</w:t>
            </w:r>
          </w:p>
        </w:tc>
        <w:tc>
          <w:tcPr>
            <w:tcW w:w="551" w:type="dxa"/>
            <w:tcBorders>
              <w:top w:val="nil"/>
              <w:left w:val="nil"/>
              <w:bottom w:val="nil"/>
              <w:right w:val="single" w:sz="8" w:space="0" w:color="auto"/>
            </w:tcBorders>
            <w:shd w:val="clear" w:color="000000" w:fill="F2F2F2"/>
            <w:noWrap/>
            <w:vAlign w:val="bottom"/>
            <w:hideMark/>
          </w:tcPr>
          <w:p w14:paraId="1719802A"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11</w:t>
            </w:r>
          </w:p>
        </w:tc>
        <w:tc>
          <w:tcPr>
            <w:tcW w:w="960" w:type="dxa"/>
            <w:tcBorders>
              <w:top w:val="nil"/>
              <w:left w:val="nil"/>
              <w:bottom w:val="nil"/>
              <w:right w:val="nil"/>
            </w:tcBorders>
            <w:shd w:val="clear" w:color="auto" w:fill="auto"/>
            <w:noWrap/>
            <w:vAlign w:val="bottom"/>
            <w:hideMark/>
          </w:tcPr>
          <w:p w14:paraId="48568EFE"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p>
        </w:tc>
      </w:tr>
      <w:tr w:rsidR="0040017D" w:rsidRPr="00C52A9D" w14:paraId="4FC04CD4" w14:textId="77777777" w:rsidTr="0040017D">
        <w:trPr>
          <w:trHeight w:val="288"/>
        </w:trPr>
        <w:tc>
          <w:tcPr>
            <w:tcW w:w="2108" w:type="dxa"/>
            <w:tcBorders>
              <w:top w:val="nil"/>
              <w:left w:val="single" w:sz="8" w:space="0" w:color="auto"/>
              <w:bottom w:val="nil"/>
              <w:right w:val="nil"/>
            </w:tcBorders>
            <w:shd w:val="clear" w:color="000000" w:fill="F2F2F2"/>
            <w:noWrap/>
            <w:vAlign w:val="bottom"/>
            <w:hideMark/>
          </w:tcPr>
          <w:p w14:paraId="31429CC2"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Australasia</w:t>
            </w:r>
          </w:p>
        </w:tc>
        <w:tc>
          <w:tcPr>
            <w:tcW w:w="1116" w:type="dxa"/>
            <w:tcBorders>
              <w:top w:val="nil"/>
              <w:left w:val="nil"/>
              <w:bottom w:val="nil"/>
              <w:right w:val="nil"/>
            </w:tcBorders>
            <w:shd w:val="clear" w:color="000000" w:fill="F2F2F2"/>
            <w:noWrap/>
            <w:vAlign w:val="bottom"/>
            <w:hideMark/>
          </w:tcPr>
          <w:p w14:paraId="63849145"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w:t>
            </w:r>
          </w:p>
        </w:tc>
        <w:tc>
          <w:tcPr>
            <w:tcW w:w="551" w:type="dxa"/>
            <w:tcBorders>
              <w:top w:val="nil"/>
              <w:left w:val="nil"/>
              <w:bottom w:val="nil"/>
              <w:right w:val="nil"/>
            </w:tcBorders>
            <w:shd w:val="clear" w:color="000000" w:fill="F2F2F2"/>
            <w:noWrap/>
            <w:vAlign w:val="bottom"/>
            <w:hideMark/>
          </w:tcPr>
          <w:p w14:paraId="6FC5F940"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w:t>
            </w:r>
          </w:p>
        </w:tc>
        <w:tc>
          <w:tcPr>
            <w:tcW w:w="1116" w:type="dxa"/>
            <w:tcBorders>
              <w:top w:val="nil"/>
              <w:left w:val="single" w:sz="4" w:space="0" w:color="auto"/>
              <w:bottom w:val="nil"/>
              <w:right w:val="nil"/>
            </w:tcBorders>
            <w:shd w:val="clear" w:color="000000" w:fill="F2F2F2"/>
            <w:noWrap/>
            <w:vAlign w:val="bottom"/>
            <w:hideMark/>
          </w:tcPr>
          <w:p w14:paraId="18F80FC0"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w:t>
            </w:r>
          </w:p>
        </w:tc>
        <w:tc>
          <w:tcPr>
            <w:tcW w:w="551" w:type="dxa"/>
            <w:tcBorders>
              <w:top w:val="nil"/>
              <w:left w:val="nil"/>
              <w:bottom w:val="nil"/>
              <w:right w:val="single" w:sz="8" w:space="0" w:color="auto"/>
            </w:tcBorders>
            <w:shd w:val="clear" w:color="000000" w:fill="F2F2F2"/>
            <w:noWrap/>
            <w:vAlign w:val="bottom"/>
            <w:hideMark/>
          </w:tcPr>
          <w:p w14:paraId="7F810A32"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960" w:type="dxa"/>
            <w:tcBorders>
              <w:top w:val="nil"/>
              <w:left w:val="nil"/>
              <w:bottom w:val="nil"/>
              <w:right w:val="nil"/>
            </w:tcBorders>
            <w:shd w:val="clear" w:color="auto" w:fill="auto"/>
            <w:noWrap/>
            <w:vAlign w:val="bottom"/>
            <w:hideMark/>
          </w:tcPr>
          <w:p w14:paraId="14710B04"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p>
        </w:tc>
      </w:tr>
      <w:tr w:rsidR="0040017D" w:rsidRPr="00C52A9D" w14:paraId="55E0F501" w14:textId="77777777" w:rsidTr="0040017D">
        <w:trPr>
          <w:trHeight w:val="288"/>
        </w:trPr>
        <w:tc>
          <w:tcPr>
            <w:tcW w:w="2108" w:type="dxa"/>
            <w:tcBorders>
              <w:top w:val="nil"/>
              <w:left w:val="single" w:sz="8" w:space="0" w:color="auto"/>
              <w:bottom w:val="nil"/>
              <w:right w:val="nil"/>
            </w:tcBorders>
            <w:shd w:val="clear" w:color="000000" w:fill="F2F2F2"/>
            <w:noWrap/>
            <w:vAlign w:val="bottom"/>
            <w:hideMark/>
          </w:tcPr>
          <w:p w14:paraId="1F503995"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North America</w:t>
            </w:r>
          </w:p>
        </w:tc>
        <w:tc>
          <w:tcPr>
            <w:tcW w:w="1116" w:type="dxa"/>
            <w:tcBorders>
              <w:top w:val="nil"/>
              <w:left w:val="nil"/>
              <w:bottom w:val="nil"/>
              <w:right w:val="nil"/>
            </w:tcBorders>
            <w:shd w:val="clear" w:color="000000" w:fill="F2F2F2"/>
            <w:noWrap/>
            <w:vAlign w:val="bottom"/>
            <w:hideMark/>
          </w:tcPr>
          <w:p w14:paraId="63BDD76D"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22</w:t>
            </w:r>
          </w:p>
        </w:tc>
        <w:tc>
          <w:tcPr>
            <w:tcW w:w="551" w:type="dxa"/>
            <w:tcBorders>
              <w:top w:val="nil"/>
              <w:left w:val="nil"/>
              <w:bottom w:val="nil"/>
              <w:right w:val="nil"/>
            </w:tcBorders>
            <w:shd w:val="clear" w:color="000000" w:fill="F2F2F2"/>
            <w:noWrap/>
            <w:vAlign w:val="bottom"/>
            <w:hideMark/>
          </w:tcPr>
          <w:p w14:paraId="04FE69B0"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6</w:t>
            </w:r>
          </w:p>
        </w:tc>
        <w:tc>
          <w:tcPr>
            <w:tcW w:w="1116" w:type="dxa"/>
            <w:tcBorders>
              <w:top w:val="nil"/>
              <w:left w:val="single" w:sz="4" w:space="0" w:color="auto"/>
              <w:bottom w:val="nil"/>
              <w:right w:val="nil"/>
            </w:tcBorders>
            <w:shd w:val="clear" w:color="000000" w:fill="F2F2F2"/>
            <w:noWrap/>
            <w:vAlign w:val="bottom"/>
            <w:hideMark/>
          </w:tcPr>
          <w:p w14:paraId="2F29266F"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w:t>
            </w:r>
          </w:p>
        </w:tc>
        <w:tc>
          <w:tcPr>
            <w:tcW w:w="551" w:type="dxa"/>
            <w:tcBorders>
              <w:top w:val="nil"/>
              <w:left w:val="nil"/>
              <w:bottom w:val="nil"/>
              <w:right w:val="single" w:sz="8" w:space="0" w:color="auto"/>
            </w:tcBorders>
            <w:shd w:val="clear" w:color="000000" w:fill="F2F2F2"/>
            <w:noWrap/>
            <w:vAlign w:val="bottom"/>
            <w:hideMark/>
          </w:tcPr>
          <w:p w14:paraId="58B42B37"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w:t>
            </w:r>
          </w:p>
        </w:tc>
        <w:tc>
          <w:tcPr>
            <w:tcW w:w="960" w:type="dxa"/>
            <w:tcBorders>
              <w:top w:val="nil"/>
              <w:left w:val="nil"/>
              <w:bottom w:val="nil"/>
              <w:right w:val="nil"/>
            </w:tcBorders>
            <w:shd w:val="clear" w:color="auto" w:fill="auto"/>
            <w:noWrap/>
            <w:vAlign w:val="bottom"/>
            <w:hideMark/>
          </w:tcPr>
          <w:p w14:paraId="12EAD458"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p>
        </w:tc>
      </w:tr>
      <w:tr w:rsidR="0040017D" w:rsidRPr="00C52A9D" w14:paraId="59E49AFD" w14:textId="77777777" w:rsidTr="0040017D">
        <w:trPr>
          <w:trHeight w:val="288"/>
        </w:trPr>
        <w:tc>
          <w:tcPr>
            <w:tcW w:w="2108" w:type="dxa"/>
            <w:tcBorders>
              <w:top w:val="nil"/>
              <w:left w:val="single" w:sz="8" w:space="0" w:color="auto"/>
              <w:bottom w:val="nil"/>
              <w:right w:val="nil"/>
            </w:tcBorders>
            <w:shd w:val="clear" w:color="000000" w:fill="F2F2F2"/>
            <w:noWrap/>
            <w:vAlign w:val="bottom"/>
            <w:hideMark/>
          </w:tcPr>
          <w:p w14:paraId="32241AAE"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South America</w:t>
            </w:r>
          </w:p>
        </w:tc>
        <w:tc>
          <w:tcPr>
            <w:tcW w:w="1116" w:type="dxa"/>
            <w:tcBorders>
              <w:top w:val="nil"/>
              <w:left w:val="nil"/>
              <w:bottom w:val="nil"/>
              <w:right w:val="nil"/>
            </w:tcBorders>
            <w:shd w:val="clear" w:color="000000" w:fill="F2F2F2"/>
            <w:noWrap/>
            <w:vAlign w:val="bottom"/>
            <w:hideMark/>
          </w:tcPr>
          <w:p w14:paraId="2E204D98"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w:t>
            </w:r>
          </w:p>
        </w:tc>
        <w:tc>
          <w:tcPr>
            <w:tcW w:w="551" w:type="dxa"/>
            <w:tcBorders>
              <w:top w:val="nil"/>
              <w:left w:val="nil"/>
              <w:bottom w:val="nil"/>
              <w:right w:val="nil"/>
            </w:tcBorders>
            <w:shd w:val="clear" w:color="000000" w:fill="F2F2F2"/>
            <w:noWrap/>
            <w:vAlign w:val="bottom"/>
            <w:hideMark/>
          </w:tcPr>
          <w:p w14:paraId="284D8587"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1116" w:type="dxa"/>
            <w:tcBorders>
              <w:top w:val="nil"/>
              <w:left w:val="single" w:sz="4" w:space="0" w:color="auto"/>
              <w:bottom w:val="nil"/>
              <w:right w:val="nil"/>
            </w:tcBorders>
            <w:shd w:val="clear" w:color="000000" w:fill="F2F2F2"/>
            <w:noWrap/>
            <w:vAlign w:val="bottom"/>
            <w:hideMark/>
          </w:tcPr>
          <w:p w14:paraId="4108668E"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w:t>
            </w:r>
          </w:p>
        </w:tc>
        <w:tc>
          <w:tcPr>
            <w:tcW w:w="551" w:type="dxa"/>
            <w:tcBorders>
              <w:top w:val="nil"/>
              <w:left w:val="nil"/>
              <w:bottom w:val="nil"/>
              <w:right w:val="single" w:sz="8" w:space="0" w:color="auto"/>
            </w:tcBorders>
            <w:shd w:val="clear" w:color="000000" w:fill="F2F2F2"/>
            <w:noWrap/>
            <w:vAlign w:val="bottom"/>
            <w:hideMark/>
          </w:tcPr>
          <w:p w14:paraId="7A533F9B"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960" w:type="dxa"/>
            <w:tcBorders>
              <w:top w:val="nil"/>
              <w:left w:val="nil"/>
              <w:bottom w:val="nil"/>
              <w:right w:val="nil"/>
            </w:tcBorders>
            <w:shd w:val="clear" w:color="auto" w:fill="auto"/>
            <w:noWrap/>
            <w:vAlign w:val="bottom"/>
            <w:hideMark/>
          </w:tcPr>
          <w:p w14:paraId="66BC1E55"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p>
        </w:tc>
      </w:tr>
      <w:tr w:rsidR="0040017D" w:rsidRPr="00C52A9D" w14:paraId="04E81570" w14:textId="77777777" w:rsidTr="0040017D">
        <w:trPr>
          <w:trHeight w:val="300"/>
        </w:trPr>
        <w:tc>
          <w:tcPr>
            <w:tcW w:w="2108" w:type="dxa"/>
            <w:tcBorders>
              <w:top w:val="single" w:sz="4" w:space="0" w:color="auto"/>
              <w:left w:val="single" w:sz="8" w:space="0" w:color="auto"/>
              <w:bottom w:val="single" w:sz="8" w:space="0" w:color="auto"/>
              <w:right w:val="nil"/>
            </w:tcBorders>
            <w:shd w:val="clear" w:color="000000" w:fill="F2F2F2"/>
            <w:noWrap/>
            <w:vAlign w:val="bottom"/>
            <w:hideMark/>
          </w:tcPr>
          <w:p w14:paraId="321ABC45"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Total</w:t>
            </w:r>
          </w:p>
        </w:tc>
        <w:tc>
          <w:tcPr>
            <w:tcW w:w="1116" w:type="dxa"/>
            <w:tcBorders>
              <w:top w:val="single" w:sz="4" w:space="0" w:color="auto"/>
              <w:left w:val="nil"/>
              <w:bottom w:val="single" w:sz="8" w:space="0" w:color="auto"/>
              <w:right w:val="nil"/>
            </w:tcBorders>
            <w:shd w:val="clear" w:color="000000" w:fill="F2F2F2"/>
            <w:noWrap/>
            <w:vAlign w:val="bottom"/>
            <w:hideMark/>
          </w:tcPr>
          <w:p w14:paraId="46B56D2C"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381</w:t>
            </w:r>
          </w:p>
        </w:tc>
        <w:tc>
          <w:tcPr>
            <w:tcW w:w="551" w:type="dxa"/>
            <w:tcBorders>
              <w:top w:val="single" w:sz="4" w:space="0" w:color="auto"/>
              <w:left w:val="nil"/>
              <w:bottom w:val="single" w:sz="8" w:space="0" w:color="auto"/>
              <w:right w:val="nil"/>
            </w:tcBorders>
            <w:shd w:val="clear" w:color="000000" w:fill="F2F2F2"/>
            <w:noWrap/>
            <w:vAlign w:val="bottom"/>
            <w:hideMark/>
          </w:tcPr>
          <w:p w14:paraId="3929FD1D"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100</w:t>
            </w:r>
          </w:p>
        </w:tc>
        <w:tc>
          <w:tcPr>
            <w:tcW w:w="1116" w:type="dxa"/>
            <w:tcBorders>
              <w:top w:val="single" w:sz="4" w:space="0" w:color="auto"/>
              <w:left w:val="single" w:sz="4" w:space="0" w:color="auto"/>
              <w:bottom w:val="single" w:sz="8" w:space="0" w:color="auto"/>
              <w:right w:val="nil"/>
            </w:tcBorders>
            <w:shd w:val="clear" w:color="000000" w:fill="F2F2F2"/>
            <w:noWrap/>
            <w:vAlign w:val="bottom"/>
            <w:hideMark/>
          </w:tcPr>
          <w:p w14:paraId="1AE009FE"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423</w:t>
            </w:r>
          </w:p>
        </w:tc>
        <w:tc>
          <w:tcPr>
            <w:tcW w:w="551" w:type="dxa"/>
            <w:tcBorders>
              <w:top w:val="single" w:sz="4" w:space="0" w:color="auto"/>
              <w:left w:val="nil"/>
              <w:bottom w:val="single" w:sz="8" w:space="0" w:color="auto"/>
              <w:right w:val="single" w:sz="8" w:space="0" w:color="auto"/>
            </w:tcBorders>
            <w:shd w:val="clear" w:color="000000" w:fill="F2F2F2"/>
            <w:noWrap/>
            <w:vAlign w:val="bottom"/>
            <w:hideMark/>
          </w:tcPr>
          <w:p w14:paraId="1FEC218D"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100</w:t>
            </w:r>
          </w:p>
        </w:tc>
        <w:tc>
          <w:tcPr>
            <w:tcW w:w="960" w:type="dxa"/>
            <w:tcBorders>
              <w:top w:val="nil"/>
              <w:left w:val="nil"/>
              <w:bottom w:val="nil"/>
              <w:right w:val="nil"/>
            </w:tcBorders>
            <w:shd w:val="clear" w:color="auto" w:fill="auto"/>
            <w:noWrap/>
            <w:vAlign w:val="bottom"/>
            <w:hideMark/>
          </w:tcPr>
          <w:p w14:paraId="40CFF49E"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p>
        </w:tc>
      </w:tr>
      <w:tr w:rsidR="0040017D" w:rsidRPr="00C52A9D" w14:paraId="31832A96" w14:textId="77777777" w:rsidTr="0040017D">
        <w:trPr>
          <w:trHeight w:val="288"/>
        </w:trPr>
        <w:tc>
          <w:tcPr>
            <w:tcW w:w="6402" w:type="dxa"/>
            <w:gridSpan w:val="6"/>
            <w:tcBorders>
              <w:top w:val="nil"/>
              <w:left w:val="nil"/>
              <w:bottom w:val="nil"/>
              <w:right w:val="nil"/>
            </w:tcBorders>
            <w:shd w:val="clear" w:color="auto" w:fill="auto"/>
            <w:noWrap/>
            <w:vAlign w:val="bottom"/>
            <w:hideMark/>
          </w:tcPr>
          <w:p w14:paraId="568B1A77"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xml:space="preserve">Note: All undergraduate students at Oxford Brookes University </w:t>
            </w:r>
          </w:p>
        </w:tc>
      </w:tr>
      <w:tr w:rsidR="0040017D" w:rsidRPr="00C52A9D" w14:paraId="4090561F" w14:textId="77777777" w:rsidTr="0040017D">
        <w:trPr>
          <w:trHeight w:val="288"/>
        </w:trPr>
        <w:tc>
          <w:tcPr>
            <w:tcW w:w="6402" w:type="dxa"/>
            <w:gridSpan w:val="6"/>
            <w:tcBorders>
              <w:top w:val="nil"/>
              <w:left w:val="nil"/>
              <w:bottom w:val="nil"/>
              <w:right w:val="nil"/>
            </w:tcBorders>
            <w:shd w:val="clear" w:color="auto" w:fill="auto"/>
            <w:noWrap/>
            <w:vAlign w:val="bottom"/>
            <w:hideMark/>
          </w:tcPr>
          <w:p w14:paraId="100590CA" w14:textId="6D449264" w:rsidR="0040017D" w:rsidRPr="00C52A9D" w:rsidRDefault="0040017D" w:rsidP="00231A6F">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have been excluded (s</w:t>
            </w:r>
            <w:r>
              <w:rPr>
                <w:rFonts w:ascii="Calibri Light" w:eastAsia="Times New Roman" w:hAnsi="Calibri Light" w:cs="Calibri Light"/>
                <w:color w:val="000000"/>
                <w:lang w:eastAsia="en-GB"/>
              </w:rPr>
              <w:t xml:space="preserve">ee </w:t>
            </w:r>
            <w:r w:rsidR="00231A6F">
              <w:rPr>
                <w:rFonts w:ascii="Calibri Light" w:eastAsia="Times New Roman" w:hAnsi="Calibri Light" w:cs="Calibri Light"/>
                <w:color w:val="000000"/>
                <w:lang w:eastAsia="en-GB"/>
              </w:rPr>
              <w:t>Bennell</w:t>
            </w:r>
            <w:r w:rsidR="00156AAE">
              <w:rPr>
                <w:rFonts w:ascii="Calibri Light" w:eastAsia="Times New Roman" w:hAnsi="Calibri Light" w:cs="Calibri Light"/>
                <w:color w:val="000000"/>
                <w:lang w:eastAsia="en-GB"/>
              </w:rPr>
              <w:t xml:space="preserve"> 2019</w:t>
            </w:r>
            <w:r>
              <w:rPr>
                <w:rFonts w:ascii="Calibri Light" w:eastAsia="Times New Roman" w:hAnsi="Calibri Light" w:cs="Calibri Light"/>
                <w:color w:val="000000"/>
                <w:lang w:eastAsia="en-GB"/>
              </w:rPr>
              <w:t>a) and newly inc</w:t>
            </w:r>
            <w:r w:rsidRPr="00C52A9D">
              <w:rPr>
                <w:rFonts w:ascii="Calibri Light" w:eastAsia="Times New Roman" w:hAnsi="Calibri Light" w:cs="Calibri Light"/>
                <w:color w:val="000000"/>
                <w:lang w:eastAsia="en-GB"/>
              </w:rPr>
              <w:t>l</w:t>
            </w:r>
            <w:r>
              <w:rPr>
                <w:rFonts w:ascii="Calibri Light" w:eastAsia="Times New Roman" w:hAnsi="Calibri Light" w:cs="Calibri Light"/>
                <w:color w:val="000000"/>
                <w:lang w:eastAsia="en-GB"/>
              </w:rPr>
              <w:t>u</w:t>
            </w:r>
            <w:r w:rsidRPr="00C52A9D">
              <w:rPr>
                <w:rFonts w:ascii="Calibri Light" w:eastAsia="Times New Roman" w:hAnsi="Calibri Light" w:cs="Calibri Light"/>
                <w:color w:val="000000"/>
                <w:lang w:eastAsia="en-GB"/>
              </w:rPr>
              <w:t>ded private</w:t>
            </w:r>
          </w:p>
        </w:tc>
      </w:tr>
      <w:tr w:rsidR="0040017D" w:rsidRPr="00C52A9D" w14:paraId="6DA3AB3C" w14:textId="77777777" w:rsidTr="0040017D">
        <w:trPr>
          <w:trHeight w:val="288"/>
        </w:trPr>
        <w:tc>
          <w:tcPr>
            <w:tcW w:w="3224" w:type="dxa"/>
            <w:gridSpan w:val="2"/>
            <w:tcBorders>
              <w:top w:val="nil"/>
              <w:left w:val="nil"/>
              <w:bottom w:val="nil"/>
              <w:right w:val="nil"/>
            </w:tcBorders>
            <w:shd w:val="clear" w:color="auto" w:fill="auto"/>
            <w:noWrap/>
            <w:vAlign w:val="bottom"/>
            <w:hideMark/>
          </w:tcPr>
          <w:p w14:paraId="7C44BAB3"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providers in 2019/20.</w:t>
            </w:r>
          </w:p>
        </w:tc>
        <w:tc>
          <w:tcPr>
            <w:tcW w:w="551" w:type="dxa"/>
            <w:tcBorders>
              <w:top w:val="nil"/>
              <w:left w:val="nil"/>
              <w:bottom w:val="nil"/>
              <w:right w:val="nil"/>
            </w:tcBorders>
            <w:shd w:val="clear" w:color="auto" w:fill="auto"/>
            <w:noWrap/>
            <w:vAlign w:val="bottom"/>
            <w:hideMark/>
          </w:tcPr>
          <w:p w14:paraId="73BB6441" w14:textId="77777777" w:rsidR="0040017D" w:rsidRPr="00C52A9D" w:rsidRDefault="0040017D" w:rsidP="0040017D">
            <w:pPr>
              <w:spacing w:after="0" w:line="240" w:lineRule="auto"/>
              <w:rPr>
                <w:rFonts w:ascii="Calibri Light" w:eastAsia="Times New Roman" w:hAnsi="Calibri Light" w:cs="Calibri Light"/>
                <w:color w:val="000000"/>
                <w:lang w:eastAsia="en-GB"/>
              </w:rPr>
            </w:pPr>
          </w:p>
        </w:tc>
        <w:tc>
          <w:tcPr>
            <w:tcW w:w="1116" w:type="dxa"/>
            <w:tcBorders>
              <w:top w:val="nil"/>
              <w:left w:val="nil"/>
              <w:bottom w:val="nil"/>
              <w:right w:val="nil"/>
            </w:tcBorders>
            <w:shd w:val="clear" w:color="auto" w:fill="auto"/>
            <w:noWrap/>
            <w:vAlign w:val="bottom"/>
            <w:hideMark/>
          </w:tcPr>
          <w:p w14:paraId="7701FBEF" w14:textId="77777777" w:rsidR="0040017D" w:rsidRPr="00C52A9D" w:rsidRDefault="0040017D" w:rsidP="0040017D">
            <w:pPr>
              <w:spacing w:after="0" w:line="240" w:lineRule="auto"/>
              <w:jc w:val="center"/>
              <w:rPr>
                <w:rFonts w:ascii="Calibri Light" w:eastAsia="Times New Roman" w:hAnsi="Calibri Light" w:cs="Calibri Light"/>
                <w:sz w:val="20"/>
                <w:szCs w:val="20"/>
                <w:lang w:eastAsia="en-GB"/>
              </w:rPr>
            </w:pPr>
          </w:p>
        </w:tc>
        <w:tc>
          <w:tcPr>
            <w:tcW w:w="551" w:type="dxa"/>
            <w:tcBorders>
              <w:top w:val="nil"/>
              <w:left w:val="nil"/>
              <w:bottom w:val="nil"/>
              <w:right w:val="nil"/>
            </w:tcBorders>
            <w:shd w:val="clear" w:color="auto" w:fill="auto"/>
            <w:noWrap/>
            <w:vAlign w:val="bottom"/>
            <w:hideMark/>
          </w:tcPr>
          <w:p w14:paraId="222AF670" w14:textId="77777777" w:rsidR="0040017D" w:rsidRPr="00C52A9D" w:rsidRDefault="0040017D" w:rsidP="0040017D">
            <w:pPr>
              <w:spacing w:after="0" w:line="240" w:lineRule="auto"/>
              <w:jc w:val="center"/>
              <w:rPr>
                <w:rFonts w:ascii="Calibri Light" w:eastAsia="Times New Roman" w:hAnsi="Calibri Light" w:cs="Calibri Light"/>
                <w:sz w:val="20"/>
                <w:szCs w:val="20"/>
                <w:lang w:eastAsia="en-GB"/>
              </w:rPr>
            </w:pPr>
          </w:p>
        </w:tc>
        <w:tc>
          <w:tcPr>
            <w:tcW w:w="960" w:type="dxa"/>
            <w:tcBorders>
              <w:top w:val="nil"/>
              <w:left w:val="nil"/>
              <w:bottom w:val="nil"/>
              <w:right w:val="nil"/>
            </w:tcBorders>
            <w:shd w:val="clear" w:color="auto" w:fill="auto"/>
            <w:noWrap/>
            <w:vAlign w:val="bottom"/>
            <w:hideMark/>
          </w:tcPr>
          <w:p w14:paraId="653CEED7" w14:textId="77777777" w:rsidR="0040017D" w:rsidRPr="00C52A9D" w:rsidRDefault="0040017D" w:rsidP="0040017D">
            <w:pPr>
              <w:spacing w:after="0" w:line="240" w:lineRule="auto"/>
              <w:jc w:val="center"/>
              <w:rPr>
                <w:rFonts w:ascii="Calibri Light" w:eastAsia="Times New Roman" w:hAnsi="Calibri Light" w:cs="Calibri Light"/>
                <w:sz w:val="20"/>
                <w:szCs w:val="20"/>
                <w:lang w:eastAsia="en-GB"/>
              </w:rPr>
            </w:pPr>
          </w:p>
        </w:tc>
      </w:tr>
      <w:tr w:rsidR="0040017D" w:rsidRPr="00C52A9D" w14:paraId="6C8B6BF1" w14:textId="77777777" w:rsidTr="0040017D">
        <w:trPr>
          <w:trHeight w:val="288"/>
        </w:trPr>
        <w:tc>
          <w:tcPr>
            <w:tcW w:w="2108" w:type="dxa"/>
            <w:tcBorders>
              <w:top w:val="nil"/>
              <w:left w:val="nil"/>
              <w:bottom w:val="nil"/>
              <w:right w:val="nil"/>
            </w:tcBorders>
            <w:shd w:val="clear" w:color="auto" w:fill="auto"/>
            <w:noWrap/>
            <w:vAlign w:val="bottom"/>
            <w:hideMark/>
          </w:tcPr>
          <w:p w14:paraId="3AED03AD"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Source: HESA</w:t>
            </w:r>
          </w:p>
        </w:tc>
        <w:tc>
          <w:tcPr>
            <w:tcW w:w="1116" w:type="dxa"/>
            <w:tcBorders>
              <w:top w:val="nil"/>
              <w:left w:val="nil"/>
              <w:bottom w:val="nil"/>
              <w:right w:val="nil"/>
            </w:tcBorders>
            <w:shd w:val="clear" w:color="auto" w:fill="auto"/>
            <w:noWrap/>
            <w:vAlign w:val="bottom"/>
            <w:hideMark/>
          </w:tcPr>
          <w:p w14:paraId="31B2C676" w14:textId="77777777" w:rsidR="0040017D" w:rsidRPr="00C52A9D" w:rsidRDefault="0040017D" w:rsidP="0040017D">
            <w:pPr>
              <w:spacing w:after="0" w:line="240" w:lineRule="auto"/>
              <w:rPr>
                <w:rFonts w:ascii="Calibri Light" w:eastAsia="Times New Roman" w:hAnsi="Calibri Light" w:cs="Calibri Light"/>
                <w:color w:val="000000"/>
                <w:lang w:eastAsia="en-GB"/>
              </w:rPr>
            </w:pPr>
          </w:p>
        </w:tc>
        <w:tc>
          <w:tcPr>
            <w:tcW w:w="551" w:type="dxa"/>
            <w:tcBorders>
              <w:top w:val="nil"/>
              <w:left w:val="nil"/>
              <w:bottom w:val="nil"/>
              <w:right w:val="nil"/>
            </w:tcBorders>
            <w:shd w:val="clear" w:color="auto" w:fill="auto"/>
            <w:noWrap/>
            <w:vAlign w:val="bottom"/>
            <w:hideMark/>
          </w:tcPr>
          <w:p w14:paraId="327462B4" w14:textId="77777777" w:rsidR="0040017D" w:rsidRPr="00C52A9D" w:rsidRDefault="0040017D" w:rsidP="0040017D">
            <w:pPr>
              <w:spacing w:after="0" w:line="240" w:lineRule="auto"/>
              <w:jc w:val="center"/>
              <w:rPr>
                <w:rFonts w:ascii="Calibri Light" w:eastAsia="Times New Roman" w:hAnsi="Calibri Light" w:cs="Calibri Light"/>
                <w:sz w:val="20"/>
                <w:szCs w:val="20"/>
                <w:lang w:eastAsia="en-GB"/>
              </w:rPr>
            </w:pPr>
          </w:p>
        </w:tc>
        <w:tc>
          <w:tcPr>
            <w:tcW w:w="1116" w:type="dxa"/>
            <w:tcBorders>
              <w:top w:val="nil"/>
              <w:left w:val="nil"/>
              <w:bottom w:val="nil"/>
              <w:right w:val="nil"/>
            </w:tcBorders>
            <w:shd w:val="clear" w:color="auto" w:fill="auto"/>
            <w:noWrap/>
            <w:vAlign w:val="bottom"/>
            <w:hideMark/>
          </w:tcPr>
          <w:p w14:paraId="35FB51F5" w14:textId="77777777" w:rsidR="0040017D" w:rsidRPr="00C52A9D" w:rsidRDefault="0040017D" w:rsidP="0040017D">
            <w:pPr>
              <w:spacing w:after="0" w:line="240" w:lineRule="auto"/>
              <w:jc w:val="center"/>
              <w:rPr>
                <w:rFonts w:ascii="Calibri Light" w:eastAsia="Times New Roman" w:hAnsi="Calibri Light" w:cs="Calibri Light"/>
                <w:sz w:val="20"/>
                <w:szCs w:val="20"/>
                <w:lang w:eastAsia="en-GB"/>
              </w:rPr>
            </w:pPr>
          </w:p>
        </w:tc>
        <w:tc>
          <w:tcPr>
            <w:tcW w:w="551" w:type="dxa"/>
            <w:tcBorders>
              <w:top w:val="nil"/>
              <w:left w:val="nil"/>
              <w:bottom w:val="nil"/>
              <w:right w:val="nil"/>
            </w:tcBorders>
            <w:shd w:val="clear" w:color="auto" w:fill="auto"/>
            <w:noWrap/>
            <w:vAlign w:val="bottom"/>
            <w:hideMark/>
          </w:tcPr>
          <w:p w14:paraId="0583F12F" w14:textId="77777777" w:rsidR="0040017D" w:rsidRPr="00C52A9D" w:rsidRDefault="0040017D" w:rsidP="0040017D">
            <w:pPr>
              <w:spacing w:after="0" w:line="240" w:lineRule="auto"/>
              <w:jc w:val="center"/>
              <w:rPr>
                <w:rFonts w:ascii="Calibri Light" w:eastAsia="Times New Roman" w:hAnsi="Calibri Light" w:cs="Calibri Light"/>
                <w:sz w:val="20"/>
                <w:szCs w:val="20"/>
                <w:lang w:eastAsia="en-GB"/>
              </w:rPr>
            </w:pPr>
          </w:p>
        </w:tc>
        <w:tc>
          <w:tcPr>
            <w:tcW w:w="960" w:type="dxa"/>
            <w:tcBorders>
              <w:top w:val="nil"/>
              <w:left w:val="nil"/>
              <w:bottom w:val="nil"/>
              <w:right w:val="nil"/>
            </w:tcBorders>
            <w:shd w:val="clear" w:color="auto" w:fill="auto"/>
            <w:noWrap/>
            <w:vAlign w:val="bottom"/>
            <w:hideMark/>
          </w:tcPr>
          <w:p w14:paraId="31C84EFF" w14:textId="77777777" w:rsidR="0040017D" w:rsidRPr="00C52A9D" w:rsidRDefault="0040017D" w:rsidP="0040017D">
            <w:pPr>
              <w:spacing w:after="0" w:line="240" w:lineRule="auto"/>
              <w:jc w:val="center"/>
              <w:rPr>
                <w:rFonts w:ascii="Calibri Light" w:eastAsia="Times New Roman" w:hAnsi="Calibri Light" w:cs="Calibri Light"/>
                <w:sz w:val="20"/>
                <w:szCs w:val="20"/>
                <w:lang w:eastAsia="en-GB"/>
              </w:rPr>
            </w:pPr>
          </w:p>
        </w:tc>
      </w:tr>
    </w:tbl>
    <w:p w14:paraId="0E0F0B58" w14:textId="77777777" w:rsidR="00953B91" w:rsidRPr="001F0FB0" w:rsidRDefault="00953B91" w:rsidP="00953B91">
      <w:pPr>
        <w:jc w:val="both"/>
        <w:rPr>
          <w:rFonts w:ascii="Calibri Light" w:hAnsi="Calibri Light" w:cs="Calibri Light"/>
          <w:i/>
          <w:sz w:val="28"/>
          <w:szCs w:val="28"/>
        </w:rPr>
      </w:pPr>
      <w:r w:rsidRPr="001F0FB0">
        <w:rPr>
          <w:rFonts w:ascii="Calibri Light" w:hAnsi="Calibri Light" w:cs="Calibri Light"/>
          <w:i/>
          <w:sz w:val="28"/>
          <w:szCs w:val="28"/>
        </w:rPr>
        <w:t xml:space="preserve">Marked enrolment slowdown </w:t>
      </w:r>
    </w:p>
    <w:p w14:paraId="7232D88D" w14:textId="2533907C" w:rsidR="00953B91" w:rsidRPr="00C52A9D" w:rsidRDefault="00953B91" w:rsidP="00953B91">
      <w:pPr>
        <w:jc w:val="both"/>
        <w:rPr>
          <w:rFonts w:ascii="Calibri Light" w:hAnsi="Calibri Light" w:cs="Calibri Light"/>
          <w:sz w:val="28"/>
          <w:szCs w:val="28"/>
        </w:rPr>
      </w:pPr>
      <w:r>
        <w:rPr>
          <w:rFonts w:ascii="Calibri Light" w:hAnsi="Calibri Light" w:cs="Calibri Light"/>
          <w:sz w:val="28"/>
          <w:szCs w:val="28"/>
        </w:rPr>
        <w:t xml:space="preserve">The second </w:t>
      </w:r>
      <w:r w:rsidR="00CB40CB">
        <w:rPr>
          <w:rFonts w:ascii="Calibri Light" w:hAnsi="Calibri Light" w:cs="Calibri Light"/>
          <w:sz w:val="28"/>
          <w:szCs w:val="28"/>
        </w:rPr>
        <w:t xml:space="preserve">important </w:t>
      </w:r>
      <w:r>
        <w:rPr>
          <w:rFonts w:ascii="Calibri Light" w:hAnsi="Calibri Light" w:cs="Calibri Light"/>
          <w:sz w:val="28"/>
          <w:szCs w:val="28"/>
        </w:rPr>
        <w:t xml:space="preserve">contextual issue is the </w:t>
      </w:r>
      <w:r w:rsidR="00CB40CB">
        <w:rPr>
          <w:rFonts w:ascii="Calibri Light" w:hAnsi="Calibri Light" w:cs="Calibri Light"/>
          <w:sz w:val="28"/>
          <w:szCs w:val="28"/>
        </w:rPr>
        <w:t xml:space="preserve">recent </w:t>
      </w:r>
      <w:r>
        <w:rPr>
          <w:rFonts w:ascii="Calibri Light" w:hAnsi="Calibri Light" w:cs="Calibri Light"/>
          <w:sz w:val="28"/>
          <w:szCs w:val="28"/>
        </w:rPr>
        <w:t>marked slowdown in UK TNE enrolment</w:t>
      </w:r>
      <w:r w:rsidR="006C3412">
        <w:rPr>
          <w:rFonts w:ascii="Calibri Light" w:hAnsi="Calibri Light" w:cs="Calibri Light"/>
          <w:sz w:val="28"/>
          <w:szCs w:val="28"/>
        </w:rPr>
        <w:t>s</w:t>
      </w:r>
      <w:r w:rsidR="00CB40CB">
        <w:rPr>
          <w:rFonts w:ascii="Calibri Light" w:hAnsi="Calibri Light" w:cs="Calibri Light"/>
          <w:sz w:val="28"/>
          <w:szCs w:val="28"/>
        </w:rPr>
        <w:t xml:space="preserve">; between 2014/15 and 2019/20, </w:t>
      </w:r>
      <w:r>
        <w:rPr>
          <w:rFonts w:ascii="Calibri Light" w:hAnsi="Calibri Light" w:cs="Calibri Light"/>
          <w:sz w:val="28"/>
          <w:szCs w:val="28"/>
        </w:rPr>
        <w:t>total enrolments increas</w:t>
      </w:r>
      <w:r w:rsidR="00CB40CB">
        <w:rPr>
          <w:rFonts w:ascii="Calibri Light" w:hAnsi="Calibri Light" w:cs="Calibri Light"/>
          <w:sz w:val="28"/>
          <w:szCs w:val="28"/>
        </w:rPr>
        <w:t>ed</w:t>
      </w:r>
      <w:r w:rsidR="00D25D33">
        <w:rPr>
          <w:rFonts w:ascii="Calibri Light" w:hAnsi="Calibri Light" w:cs="Calibri Light"/>
          <w:sz w:val="28"/>
          <w:szCs w:val="28"/>
        </w:rPr>
        <w:t xml:space="preserve"> by only 11% (see table 2</w:t>
      </w:r>
      <w:r>
        <w:rPr>
          <w:rFonts w:ascii="Calibri Light" w:hAnsi="Calibri Light" w:cs="Calibri Light"/>
          <w:sz w:val="28"/>
          <w:szCs w:val="28"/>
        </w:rPr>
        <w:t>)</w:t>
      </w:r>
      <w:r w:rsidR="00F73E94">
        <w:rPr>
          <w:rFonts w:ascii="Calibri Light" w:hAnsi="Calibri Light" w:cs="Calibri Light"/>
          <w:sz w:val="28"/>
          <w:szCs w:val="28"/>
        </w:rPr>
        <w:t>.</w:t>
      </w:r>
      <w:r>
        <w:rPr>
          <w:rFonts w:ascii="Calibri Light" w:hAnsi="Calibri Light" w:cs="Calibri Light"/>
          <w:sz w:val="28"/>
          <w:szCs w:val="28"/>
        </w:rPr>
        <w:t xml:space="preserve"> During the period from 2008-</w:t>
      </w:r>
      <w:r w:rsidR="00786423">
        <w:rPr>
          <w:rFonts w:ascii="Calibri Light" w:hAnsi="Calibri Light" w:cs="Calibri Light"/>
          <w:sz w:val="28"/>
          <w:szCs w:val="28"/>
        </w:rPr>
        <w:t>20</w:t>
      </w:r>
      <w:r>
        <w:rPr>
          <w:rFonts w:ascii="Calibri Light" w:hAnsi="Calibri Light" w:cs="Calibri Light"/>
          <w:sz w:val="28"/>
          <w:szCs w:val="28"/>
        </w:rPr>
        <w:t xml:space="preserve">15, offshore overseas student enrolments increased in almost 90% of UK universities and declined or were stagnant in the remaining 10% of universities. Total additional enrolments amounted to 194,000 and total losses 39,000 yielding a gain-loss ratio of 5.0. The </w:t>
      </w:r>
      <w:r>
        <w:rPr>
          <w:rFonts w:ascii="Calibri Light" w:hAnsi="Calibri Light" w:cs="Calibri Light"/>
          <w:sz w:val="28"/>
          <w:szCs w:val="28"/>
        </w:rPr>
        <w:lastRenderedPageBreak/>
        <w:t>extent of the enrolment slow</w:t>
      </w:r>
      <w:r w:rsidR="001F1364">
        <w:rPr>
          <w:rFonts w:ascii="Calibri Light" w:hAnsi="Calibri Light" w:cs="Calibri Light"/>
          <w:sz w:val="28"/>
          <w:szCs w:val="28"/>
        </w:rPr>
        <w:t>down</w:t>
      </w:r>
      <w:r>
        <w:rPr>
          <w:rFonts w:ascii="Calibri Light" w:hAnsi="Calibri Light" w:cs="Calibri Light"/>
          <w:sz w:val="28"/>
          <w:szCs w:val="28"/>
        </w:rPr>
        <w:t xml:space="preserve"> is such that, between 2015</w:t>
      </w:r>
      <w:r w:rsidR="006C3412">
        <w:rPr>
          <w:rFonts w:ascii="Calibri Light" w:hAnsi="Calibri Light" w:cs="Calibri Light"/>
          <w:sz w:val="28"/>
          <w:szCs w:val="28"/>
        </w:rPr>
        <w:t xml:space="preserve"> </w:t>
      </w:r>
      <w:r>
        <w:rPr>
          <w:rFonts w:ascii="Calibri Light" w:hAnsi="Calibri Light" w:cs="Calibri Light"/>
          <w:sz w:val="28"/>
          <w:szCs w:val="28"/>
        </w:rPr>
        <w:t>and 2019, offshore enrolments d</w:t>
      </w:r>
      <w:r w:rsidR="006C3412">
        <w:rPr>
          <w:rFonts w:ascii="Calibri Light" w:hAnsi="Calibri Light" w:cs="Calibri Light"/>
          <w:sz w:val="28"/>
          <w:szCs w:val="28"/>
        </w:rPr>
        <w:t xml:space="preserve">eclined in 40% of universities </w:t>
      </w:r>
      <w:r>
        <w:rPr>
          <w:rFonts w:ascii="Calibri Light" w:hAnsi="Calibri Light" w:cs="Calibri Light"/>
          <w:sz w:val="28"/>
          <w:szCs w:val="28"/>
        </w:rPr>
        <w:t xml:space="preserve">and the gain-loss enrolment ratio fell to 1.6 (see table </w:t>
      </w:r>
      <w:r w:rsidR="00D25D33">
        <w:rPr>
          <w:rFonts w:ascii="Calibri Light" w:hAnsi="Calibri Light" w:cs="Calibri Light"/>
          <w:sz w:val="28"/>
          <w:szCs w:val="28"/>
        </w:rPr>
        <w:t>3</w:t>
      </w:r>
      <w:r>
        <w:rPr>
          <w:rFonts w:ascii="Calibri Light" w:hAnsi="Calibri Light" w:cs="Calibri Light"/>
          <w:sz w:val="28"/>
          <w:szCs w:val="28"/>
        </w:rPr>
        <w:t xml:space="preserve">). </w:t>
      </w:r>
      <w:r w:rsidR="003E46D2">
        <w:rPr>
          <w:rFonts w:ascii="Calibri Light" w:hAnsi="Calibri Light" w:cs="Calibri Light"/>
          <w:sz w:val="28"/>
          <w:szCs w:val="28"/>
        </w:rPr>
        <w:t>Apart from the European Union, th</w:t>
      </w:r>
      <w:r>
        <w:rPr>
          <w:rFonts w:ascii="Calibri Light" w:hAnsi="Calibri Light" w:cs="Calibri Light"/>
          <w:sz w:val="28"/>
          <w:szCs w:val="28"/>
        </w:rPr>
        <w:t xml:space="preserve">e slowdown in enrolment growth has been </w:t>
      </w:r>
      <w:r w:rsidRPr="00C52A9D">
        <w:rPr>
          <w:rFonts w:ascii="Calibri Light" w:hAnsi="Calibri Light" w:cs="Calibri Light"/>
          <w:sz w:val="28"/>
          <w:szCs w:val="28"/>
        </w:rPr>
        <w:t xml:space="preserve">pronounced in all </w:t>
      </w:r>
      <w:r w:rsidR="003E46D2">
        <w:rPr>
          <w:rFonts w:ascii="Calibri Light" w:hAnsi="Calibri Light" w:cs="Calibri Light"/>
          <w:sz w:val="28"/>
          <w:szCs w:val="28"/>
        </w:rPr>
        <w:t xml:space="preserve">other </w:t>
      </w:r>
      <w:r w:rsidRPr="00C52A9D">
        <w:rPr>
          <w:rFonts w:ascii="Calibri Light" w:hAnsi="Calibri Light" w:cs="Calibri Light"/>
          <w:sz w:val="28"/>
          <w:szCs w:val="28"/>
        </w:rPr>
        <w:t>regions</w:t>
      </w:r>
      <w:r w:rsidR="003E46D2">
        <w:rPr>
          <w:rFonts w:ascii="Calibri Light" w:hAnsi="Calibri Light" w:cs="Calibri Light"/>
          <w:sz w:val="28"/>
          <w:szCs w:val="28"/>
        </w:rPr>
        <w:t>/continents</w:t>
      </w:r>
      <w:r w:rsidR="001F1364" w:rsidRPr="00C52A9D">
        <w:rPr>
          <w:rStyle w:val="FootnoteReference"/>
          <w:rFonts w:ascii="Calibri Light" w:hAnsi="Calibri Light" w:cs="Calibri Light"/>
          <w:sz w:val="28"/>
          <w:szCs w:val="28"/>
        </w:rPr>
        <w:footnoteReference w:id="10"/>
      </w:r>
      <w:r w:rsidRPr="00C52A9D">
        <w:rPr>
          <w:rFonts w:ascii="Calibri Light" w:hAnsi="Calibri Light" w:cs="Calibri Light"/>
          <w:sz w:val="28"/>
          <w:szCs w:val="28"/>
        </w:rPr>
        <w:t xml:space="preserve"> (see table </w:t>
      </w:r>
      <w:r w:rsidR="00D25D33" w:rsidRPr="00C52A9D">
        <w:rPr>
          <w:rFonts w:ascii="Calibri Light" w:hAnsi="Calibri Light" w:cs="Calibri Light"/>
          <w:sz w:val="28"/>
          <w:szCs w:val="28"/>
        </w:rPr>
        <w:t>2</w:t>
      </w:r>
      <w:r w:rsidRPr="00C52A9D">
        <w:rPr>
          <w:rFonts w:ascii="Calibri Light" w:hAnsi="Calibri Light" w:cs="Calibri Light"/>
          <w:sz w:val="28"/>
          <w:szCs w:val="28"/>
        </w:rPr>
        <w:t xml:space="preserve">). </w:t>
      </w:r>
    </w:p>
    <w:tbl>
      <w:tblPr>
        <w:tblW w:w="10036" w:type="dxa"/>
        <w:tblLook w:val="04A0" w:firstRow="1" w:lastRow="0" w:firstColumn="1" w:lastColumn="0" w:noHBand="0" w:noVBand="1"/>
      </w:tblPr>
      <w:tblGrid>
        <w:gridCol w:w="1157"/>
        <w:gridCol w:w="2584"/>
        <w:gridCol w:w="2501"/>
        <w:gridCol w:w="1303"/>
        <w:gridCol w:w="1215"/>
        <w:gridCol w:w="1276"/>
      </w:tblGrid>
      <w:tr w:rsidR="0040017D" w:rsidRPr="00C52A9D" w14:paraId="7CBFA3DB" w14:textId="77777777" w:rsidTr="0040017D">
        <w:trPr>
          <w:trHeight w:val="288"/>
        </w:trPr>
        <w:tc>
          <w:tcPr>
            <w:tcW w:w="10036" w:type="dxa"/>
            <w:gridSpan w:val="6"/>
            <w:tcBorders>
              <w:top w:val="nil"/>
              <w:left w:val="nil"/>
              <w:bottom w:val="nil"/>
              <w:right w:val="nil"/>
            </w:tcBorders>
            <w:shd w:val="clear" w:color="auto" w:fill="auto"/>
            <w:noWrap/>
            <w:vAlign w:val="bottom"/>
            <w:hideMark/>
          </w:tcPr>
          <w:tbl>
            <w:tblPr>
              <w:tblW w:w="9819" w:type="dxa"/>
              <w:tblLook w:val="04A0" w:firstRow="1" w:lastRow="0" w:firstColumn="1" w:lastColumn="0" w:noHBand="0" w:noVBand="1"/>
            </w:tblPr>
            <w:tblGrid>
              <w:gridCol w:w="1107"/>
              <w:gridCol w:w="965"/>
              <w:gridCol w:w="965"/>
              <w:gridCol w:w="958"/>
              <w:gridCol w:w="965"/>
              <w:gridCol w:w="965"/>
              <w:gridCol w:w="1008"/>
              <w:gridCol w:w="965"/>
              <w:gridCol w:w="965"/>
              <w:gridCol w:w="956"/>
            </w:tblGrid>
            <w:tr w:rsidR="0040017D" w:rsidRPr="00C52A9D" w14:paraId="0E78A0DF" w14:textId="77777777" w:rsidTr="0040017D">
              <w:trPr>
                <w:trHeight w:val="288"/>
              </w:trPr>
              <w:tc>
                <w:tcPr>
                  <w:tcW w:w="8863" w:type="dxa"/>
                  <w:gridSpan w:val="9"/>
                  <w:tcBorders>
                    <w:top w:val="nil"/>
                    <w:left w:val="nil"/>
                    <w:bottom w:val="nil"/>
                    <w:right w:val="nil"/>
                  </w:tcBorders>
                  <w:shd w:val="clear" w:color="auto" w:fill="auto"/>
                  <w:noWrap/>
                  <w:vAlign w:val="bottom"/>
                  <w:hideMark/>
                </w:tcPr>
                <w:p w14:paraId="66D48194"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xml:space="preserve">Table 2: UK TNE enrolments by type in the European Union and Rest of World, </w:t>
                  </w:r>
                </w:p>
              </w:tc>
              <w:tc>
                <w:tcPr>
                  <w:tcW w:w="956" w:type="dxa"/>
                  <w:tcBorders>
                    <w:top w:val="nil"/>
                    <w:left w:val="nil"/>
                    <w:bottom w:val="nil"/>
                    <w:right w:val="nil"/>
                  </w:tcBorders>
                  <w:shd w:val="clear" w:color="auto" w:fill="auto"/>
                  <w:noWrap/>
                  <w:vAlign w:val="bottom"/>
                  <w:hideMark/>
                </w:tcPr>
                <w:p w14:paraId="017C092C" w14:textId="77777777" w:rsidR="0040017D" w:rsidRPr="00C52A9D" w:rsidRDefault="0040017D" w:rsidP="0040017D">
                  <w:pPr>
                    <w:spacing w:after="0" w:line="240" w:lineRule="auto"/>
                    <w:rPr>
                      <w:rFonts w:ascii="Calibri Light" w:eastAsia="Times New Roman" w:hAnsi="Calibri Light" w:cs="Calibri Light"/>
                      <w:color w:val="000000"/>
                      <w:lang w:eastAsia="en-GB"/>
                    </w:rPr>
                  </w:pPr>
                </w:p>
              </w:tc>
            </w:tr>
            <w:tr w:rsidR="0040017D" w:rsidRPr="00C52A9D" w14:paraId="22D260A3" w14:textId="77777777" w:rsidTr="0040017D">
              <w:trPr>
                <w:trHeight w:val="300"/>
              </w:trPr>
              <w:tc>
                <w:tcPr>
                  <w:tcW w:w="5925" w:type="dxa"/>
                  <w:gridSpan w:val="6"/>
                  <w:tcBorders>
                    <w:top w:val="nil"/>
                    <w:left w:val="nil"/>
                    <w:bottom w:val="nil"/>
                    <w:right w:val="nil"/>
                  </w:tcBorders>
                  <w:shd w:val="clear" w:color="auto" w:fill="auto"/>
                  <w:noWrap/>
                  <w:vAlign w:val="bottom"/>
                  <w:hideMark/>
                </w:tcPr>
                <w:p w14:paraId="44C05438"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2014/15-2019/20 (rounded '000 and percentages)</w:t>
                  </w:r>
                </w:p>
              </w:tc>
              <w:tc>
                <w:tcPr>
                  <w:tcW w:w="1008" w:type="dxa"/>
                  <w:tcBorders>
                    <w:top w:val="nil"/>
                    <w:left w:val="nil"/>
                    <w:bottom w:val="nil"/>
                    <w:right w:val="nil"/>
                  </w:tcBorders>
                  <w:shd w:val="clear" w:color="auto" w:fill="auto"/>
                  <w:noWrap/>
                  <w:vAlign w:val="bottom"/>
                  <w:hideMark/>
                </w:tcPr>
                <w:p w14:paraId="216BB915" w14:textId="77777777" w:rsidR="0040017D" w:rsidRPr="00C52A9D" w:rsidRDefault="0040017D" w:rsidP="0040017D">
                  <w:pPr>
                    <w:spacing w:after="0" w:line="240" w:lineRule="auto"/>
                    <w:rPr>
                      <w:rFonts w:ascii="Calibri Light" w:eastAsia="Times New Roman" w:hAnsi="Calibri Light" w:cs="Calibri Light"/>
                      <w:color w:val="000000"/>
                      <w:lang w:eastAsia="en-GB"/>
                    </w:rPr>
                  </w:pPr>
                </w:p>
              </w:tc>
              <w:tc>
                <w:tcPr>
                  <w:tcW w:w="965" w:type="dxa"/>
                  <w:tcBorders>
                    <w:top w:val="nil"/>
                    <w:left w:val="nil"/>
                    <w:bottom w:val="nil"/>
                    <w:right w:val="nil"/>
                  </w:tcBorders>
                  <w:shd w:val="clear" w:color="auto" w:fill="auto"/>
                  <w:noWrap/>
                  <w:vAlign w:val="bottom"/>
                  <w:hideMark/>
                </w:tcPr>
                <w:p w14:paraId="3CA8166C"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c>
                <w:tcPr>
                  <w:tcW w:w="965" w:type="dxa"/>
                  <w:tcBorders>
                    <w:top w:val="nil"/>
                    <w:left w:val="nil"/>
                    <w:bottom w:val="nil"/>
                    <w:right w:val="nil"/>
                  </w:tcBorders>
                  <w:shd w:val="clear" w:color="auto" w:fill="auto"/>
                  <w:noWrap/>
                  <w:vAlign w:val="bottom"/>
                  <w:hideMark/>
                </w:tcPr>
                <w:p w14:paraId="17710521"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c>
                <w:tcPr>
                  <w:tcW w:w="956" w:type="dxa"/>
                  <w:tcBorders>
                    <w:top w:val="nil"/>
                    <w:left w:val="nil"/>
                    <w:bottom w:val="nil"/>
                    <w:right w:val="nil"/>
                  </w:tcBorders>
                  <w:shd w:val="clear" w:color="auto" w:fill="auto"/>
                  <w:noWrap/>
                  <w:vAlign w:val="bottom"/>
                  <w:hideMark/>
                </w:tcPr>
                <w:p w14:paraId="65DE78EF"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r>
            <w:tr w:rsidR="0040017D" w:rsidRPr="00C52A9D" w14:paraId="0A9378DC" w14:textId="77777777" w:rsidTr="0040017D">
              <w:trPr>
                <w:trHeight w:val="288"/>
              </w:trPr>
              <w:tc>
                <w:tcPr>
                  <w:tcW w:w="1107" w:type="dxa"/>
                  <w:tcBorders>
                    <w:top w:val="single" w:sz="8" w:space="0" w:color="auto"/>
                    <w:left w:val="single" w:sz="8" w:space="0" w:color="auto"/>
                    <w:bottom w:val="nil"/>
                    <w:right w:val="nil"/>
                  </w:tcBorders>
                  <w:shd w:val="clear" w:color="000000" w:fill="BDD7EE"/>
                  <w:noWrap/>
                  <w:vAlign w:val="bottom"/>
                  <w:hideMark/>
                </w:tcPr>
                <w:p w14:paraId="7BD211B2"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2888" w:type="dxa"/>
                  <w:gridSpan w:val="3"/>
                  <w:tcBorders>
                    <w:top w:val="single" w:sz="8" w:space="0" w:color="auto"/>
                    <w:left w:val="nil"/>
                    <w:bottom w:val="nil"/>
                    <w:right w:val="nil"/>
                  </w:tcBorders>
                  <w:shd w:val="clear" w:color="000000" w:fill="BDD7EE"/>
                  <w:noWrap/>
                  <w:vAlign w:val="bottom"/>
                  <w:hideMark/>
                </w:tcPr>
                <w:p w14:paraId="44FDDA9E" w14:textId="77777777" w:rsidR="0040017D" w:rsidRPr="00C52A9D" w:rsidRDefault="0040017D" w:rsidP="0040017D">
                  <w:pPr>
                    <w:spacing w:after="0" w:line="240" w:lineRule="auto"/>
                    <w:ind w:firstLineChars="300" w:firstLine="660"/>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European Union</w:t>
                  </w:r>
                </w:p>
              </w:tc>
              <w:tc>
                <w:tcPr>
                  <w:tcW w:w="2938" w:type="dxa"/>
                  <w:gridSpan w:val="3"/>
                  <w:tcBorders>
                    <w:top w:val="single" w:sz="8" w:space="0" w:color="auto"/>
                    <w:left w:val="single" w:sz="4" w:space="0" w:color="auto"/>
                    <w:bottom w:val="nil"/>
                    <w:right w:val="single" w:sz="4" w:space="0" w:color="000000"/>
                  </w:tcBorders>
                  <w:shd w:val="clear" w:color="000000" w:fill="BDD7EE"/>
                  <w:noWrap/>
                  <w:vAlign w:val="bottom"/>
                  <w:hideMark/>
                </w:tcPr>
                <w:p w14:paraId="59B8AA1A" w14:textId="77777777" w:rsidR="0040017D" w:rsidRPr="00C52A9D" w:rsidRDefault="0040017D" w:rsidP="0040017D">
                  <w:pPr>
                    <w:spacing w:after="0" w:line="240" w:lineRule="auto"/>
                    <w:ind w:firstLineChars="400" w:firstLine="880"/>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Rest of world</w:t>
                  </w:r>
                </w:p>
              </w:tc>
              <w:tc>
                <w:tcPr>
                  <w:tcW w:w="2886" w:type="dxa"/>
                  <w:gridSpan w:val="3"/>
                  <w:tcBorders>
                    <w:top w:val="single" w:sz="8" w:space="0" w:color="auto"/>
                    <w:left w:val="nil"/>
                    <w:bottom w:val="nil"/>
                    <w:right w:val="single" w:sz="8" w:space="0" w:color="000000"/>
                  </w:tcBorders>
                  <w:shd w:val="clear" w:color="000000" w:fill="BDD7EE"/>
                  <w:noWrap/>
                  <w:vAlign w:val="bottom"/>
                  <w:hideMark/>
                </w:tcPr>
                <w:p w14:paraId="1C6284F5" w14:textId="77777777" w:rsidR="0040017D" w:rsidRPr="00C52A9D" w:rsidRDefault="0040017D" w:rsidP="0040017D">
                  <w:pPr>
                    <w:spacing w:after="0" w:line="240" w:lineRule="auto"/>
                    <w:ind w:firstLineChars="400" w:firstLine="880"/>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Total global</w:t>
                  </w:r>
                </w:p>
              </w:tc>
            </w:tr>
            <w:tr w:rsidR="0040017D" w:rsidRPr="00C52A9D" w14:paraId="2510BBE2" w14:textId="77777777" w:rsidTr="0040017D">
              <w:trPr>
                <w:trHeight w:val="288"/>
              </w:trPr>
              <w:tc>
                <w:tcPr>
                  <w:tcW w:w="1107" w:type="dxa"/>
                  <w:tcBorders>
                    <w:top w:val="nil"/>
                    <w:left w:val="single" w:sz="8" w:space="0" w:color="auto"/>
                    <w:bottom w:val="nil"/>
                    <w:right w:val="nil"/>
                  </w:tcBorders>
                  <w:shd w:val="clear" w:color="000000" w:fill="BDD7EE"/>
                  <w:noWrap/>
                  <w:vAlign w:val="bottom"/>
                  <w:hideMark/>
                </w:tcPr>
                <w:p w14:paraId="569038D5"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Type</w:t>
                  </w:r>
                </w:p>
              </w:tc>
              <w:tc>
                <w:tcPr>
                  <w:tcW w:w="965" w:type="dxa"/>
                  <w:tcBorders>
                    <w:top w:val="nil"/>
                    <w:left w:val="nil"/>
                    <w:bottom w:val="nil"/>
                    <w:right w:val="nil"/>
                  </w:tcBorders>
                  <w:shd w:val="clear" w:color="000000" w:fill="BDD7EE"/>
                  <w:noWrap/>
                  <w:vAlign w:val="bottom"/>
                  <w:hideMark/>
                </w:tcPr>
                <w:p w14:paraId="75E123F5"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2014/15</w:t>
                  </w:r>
                </w:p>
              </w:tc>
              <w:tc>
                <w:tcPr>
                  <w:tcW w:w="965" w:type="dxa"/>
                  <w:tcBorders>
                    <w:top w:val="nil"/>
                    <w:left w:val="nil"/>
                    <w:bottom w:val="nil"/>
                    <w:right w:val="nil"/>
                  </w:tcBorders>
                  <w:shd w:val="clear" w:color="000000" w:fill="BDD7EE"/>
                  <w:noWrap/>
                  <w:vAlign w:val="bottom"/>
                  <w:hideMark/>
                </w:tcPr>
                <w:p w14:paraId="592D7360"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2019/20</w:t>
                  </w:r>
                </w:p>
              </w:tc>
              <w:tc>
                <w:tcPr>
                  <w:tcW w:w="958" w:type="dxa"/>
                  <w:tcBorders>
                    <w:top w:val="nil"/>
                    <w:left w:val="nil"/>
                    <w:bottom w:val="nil"/>
                    <w:right w:val="nil"/>
                  </w:tcBorders>
                  <w:shd w:val="clear" w:color="000000" w:fill="BDD7EE"/>
                  <w:noWrap/>
                  <w:vAlign w:val="bottom"/>
                  <w:hideMark/>
                </w:tcPr>
                <w:p w14:paraId="3FB0100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change</w:t>
                  </w:r>
                </w:p>
              </w:tc>
              <w:tc>
                <w:tcPr>
                  <w:tcW w:w="965" w:type="dxa"/>
                  <w:tcBorders>
                    <w:top w:val="nil"/>
                    <w:left w:val="single" w:sz="4" w:space="0" w:color="auto"/>
                    <w:bottom w:val="nil"/>
                    <w:right w:val="nil"/>
                  </w:tcBorders>
                  <w:shd w:val="clear" w:color="000000" w:fill="BDD7EE"/>
                  <w:noWrap/>
                  <w:vAlign w:val="bottom"/>
                  <w:hideMark/>
                </w:tcPr>
                <w:p w14:paraId="6062BFF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2014/15</w:t>
                  </w:r>
                </w:p>
              </w:tc>
              <w:tc>
                <w:tcPr>
                  <w:tcW w:w="965" w:type="dxa"/>
                  <w:tcBorders>
                    <w:top w:val="nil"/>
                    <w:left w:val="nil"/>
                    <w:bottom w:val="nil"/>
                    <w:right w:val="nil"/>
                  </w:tcBorders>
                  <w:shd w:val="clear" w:color="000000" w:fill="BDD7EE"/>
                  <w:noWrap/>
                  <w:vAlign w:val="bottom"/>
                  <w:hideMark/>
                </w:tcPr>
                <w:p w14:paraId="476A68A0"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2019/20</w:t>
                  </w:r>
                </w:p>
              </w:tc>
              <w:tc>
                <w:tcPr>
                  <w:tcW w:w="1008" w:type="dxa"/>
                  <w:tcBorders>
                    <w:top w:val="nil"/>
                    <w:left w:val="nil"/>
                    <w:bottom w:val="nil"/>
                    <w:right w:val="single" w:sz="4" w:space="0" w:color="auto"/>
                  </w:tcBorders>
                  <w:shd w:val="clear" w:color="000000" w:fill="BDD7EE"/>
                  <w:noWrap/>
                  <w:vAlign w:val="bottom"/>
                  <w:hideMark/>
                </w:tcPr>
                <w:p w14:paraId="583CA76D"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change</w:t>
                  </w:r>
                </w:p>
              </w:tc>
              <w:tc>
                <w:tcPr>
                  <w:tcW w:w="965" w:type="dxa"/>
                  <w:tcBorders>
                    <w:top w:val="nil"/>
                    <w:left w:val="nil"/>
                    <w:bottom w:val="nil"/>
                    <w:right w:val="nil"/>
                  </w:tcBorders>
                  <w:shd w:val="clear" w:color="000000" w:fill="BDD7EE"/>
                  <w:noWrap/>
                  <w:vAlign w:val="bottom"/>
                  <w:hideMark/>
                </w:tcPr>
                <w:p w14:paraId="29EFF09E"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2014/15</w:t>
                  </w:r>
                </w:p>
              </w:tc>
              <w:tc>
                <w:tcPr>
                  <w:tcW w:w="965" w:type="dxa"/>
                  <w:tcBorders>
                    <w:top w:val="nil"/>
                    <w:left w:val="nil"/>
                    <w:bottom w:val="nil"/>
                    <w:right w:val="nil"/>
                  </w:tcBorders>
                  <w:shd w:val="clear" w:color="000000" w:fill="BDD7EE"/>
                  <w:noWrap/>
                  <w:vAlign w:val="bottom"/>
                  <w:hideMark/>
                </w:tcPr>
                <w:p w14:paraId="74EEA613"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2019/20</w:t>
                  </w:r>
                </w:p>
              </w:tc>
              <w:tc>
                <w:tcPr>
                  <w:tcW w:w="956" w:type="dxa"/>
                  <w:tcBorders>
                    <w:top w:val="nil"/>
                    <w:left w:val="nil"/>
                    <w:bottom w:val="nil"/>
                    <w:right w:val="single" w:sz="8" w:space="0" w:color="auto"/>
                  </w:tcBorders>
                  <w:shd w:val="clear" w:color="000000" w:fill="BDD7EE"/>
                  <w:noWrap/>
                  <w:vAlign w:val="bottom"/>
                  <w:hideMark/>
                </w:tcPr>
                <w:p w14:paraId="02662E74"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change</w:t>
                  </w:r>
                </w:p>
              </w:tc>
            </w:tr>
            <w:tr w:rsidR="0040017D" w:rsidRPr="00C52A9D" w14:paraId="67FEFC74" w14:textId="77777777" w:rsidTr="0040017D">
              <w:trPr>
                <w:trHeight w:val="288"/>
              </w:trPr>
              <w:tc>
                <w:tcPr>
                  <w:tcW w:w="1107" w:type="dxa"/>
                  <w:tcBorders>
                    <w:top w:val="single" w:sz="4" w:space="0" w:color="auto"/>
                    <w:left w:val="single" w:sz="8" w:space="0" w:color="auto"/>
                    <w:bottom w:val="nil"/>
                    <w:right w:val="nil"/>
                  </w:tcBorders>
                  <w:shd w:val="clear" w:color="000000" w:fill="F2F2F2"/>
                  <w:noWrap/>
                  <w:vAlign w:val="bottom"/>
                  <w:hideMark/>
                </w:tcPr>
                <w:p w14:paraId="0E04993C"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Franchise</w:t>
                  </w:r>
                </w:p>
              </w:tc>
              <w:tc>
                <w:tcPr>
                  <w:tcW w:w="965" w:type="dxa"/>
                  <w:tcBorders>
                    <w:top w:val="single" w:sz="4" w:space="0" w:color="auto"/>
                    <w:left w:val="nil"/>
                    <w:bottom w:val="nil"/>
                    <w:right w:val="nil"/>
                  </w:tcBorders>
                  <w:shd w:val="clear" w:color="000000" w:fill="F2F2F2"/>
                  <w:noWrap/>
                  <w:vAlign w:val="bottom"/>
                  <w:hideMark/>
                </w:tcPr>
                <w:p w14:paraId="61774BE4"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15</w:t>
                  </w:r>
                </w:p>
              </w:tc>
              <w:tc>
                <w:tcPr>
                  <w:tcW w:w="965" w:type="dxa"/>
                  <w:tcBorders>
                    <w:top w:val="single" w:sz="4" w:space="0" w:color="auto"/>
                    <w:left w:val="nil"/>
                    <w:bottom w:val="nil"/>
                    <w:right w:val="nil"/>
                  </w:tcBorders>
                  <w:shd w:val="clear" w:color="000000" w:fill="F2F2F2"/>
                  <w:noWrap/>
                  <w:vAlign w:val="bottom"/>
                  <w:hideMark/>
                </w:tcPr>
                <w:p w14:paraId="38A75367"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17</w:t>
                  </w:r>
                </w:p>
              </w:tc>
              <w:tc>
                <w:tcPr>
                  <w:tcW w:w="958" w:type="dxa"/>
                  <w:tcBorders>
                    <w:top w:val="single" w:sz="4" w:space="0" w:color="auto"/>
                    <w:left w:val="nil"/>
                    <w:bottom w:val="nil"/>
                    <w:right w:val="nil"/>
                  </w:tcBorders>
                  <w:shd w:val="clear" w:color="000000" w:fill="F2F2F2"/>
                  <w:noWrap/>
                  <w:vAlign w:val="bottom"/>
                  <w:hideMark/>
                </w:tcPr>
                <w:p w14:paraId="06376DA3"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13</w:t>
                  </w:r>
                </w:p>
              </w:tc>
              <w:tc>
                <w:tcPr>
                  <w:tcW w:w="965" w:type="dxa"/>
                  <w:tcBorders>
                    <w:top w:val="single" w:sz="4" w:space="0" w:color="auto"/>
                    <w:left w:val="single" w:sz="4" w:space="0" w:color="auto"/>
                    <w:bottom w:val="nil"/>
                    <w:right w:val="nil"/>
                  </w:tcBorders>
                  <w:shd w:val="clear" w:color="000000" w:fill="F2F2F2"/>
                  <w:noWrap/>
                  <w:vAlign w:val="bottom"/>
                  <w:hideMark/>
                </w:tcPr>
                <w:p w14:paraId="1775CA2D"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113</w:t>
                  </w:r>
                </w:p>
              </w:tc>
              <w:tc>
                <w:tcPr>
                  <w:tcW w:w="965" w:type="dxa"/>
                  <w:tcBorders>
                    <w:top w:val="single" w:sz="4" w:space="0" w:color="auto"/>
                    <w:left w:val="nil"/>
                    <w:bottom w:val="nil"/>
                    <w:right w:val="nil"/>
                  </w:tcBorders>
                  <w:shd w:val="clear" w:color="000000" w:fill="F2F2F2"/>
                  <w:noWrap/>
                  <w:vAlign w:val="bottom"/>
                  <w:hideMark/>
                </w:tcPr>
                <w:p w14:paraId="1CD9F086"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157</w:t>
                  </w:r>
                </w:p>
              </w:tc>
              <w:tc>
                <w:tcPr>
                  <w:tcW w:w="1008" w:type="dxa"/>
                  <w:tcBorders>
                    <w:top w:val="single" w:sz="4" w:space="0" w:color="auto"/>
                    <w:left w:val="nil"/>
                    <w:bottom w:val="nil"/>
                    <w:right w:val="single" w:sz="4" w:space="0" w:color="auto"/>
                  </w:tcBorders>
                  <w:shd w:val="clear" w:color="000000" w:fill="F2F2F2"/>
                  <w:noWrap/>
                  <w:vAlign w:val="bottom"/>
                  <w:hideMark/>
                </w:tcPr>
                <w:p w14:paraId="6FED05CA"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39</w:t>
                  </w:r>
                </w:p>
              </w:tc>
              <w:tc>
                <w:tcPr>
                  <w:tcW w:w="965" w:type="dxa"/>
                  <w:tcBorders>
                    <w:top w:val="single" w:sz="4" w:space="0" w:color="auto"/>
                    <w:left w:val="nil"/>
                    <w:bottom w:val="nil"/>
                    <w:right w:val="nil"/>
                  </w:tcBorders>
                  <w:shd w:val="clear" w:color="000000" w:fill="F2F2F2"/>
                  <w:noWrap/>
                  <w:vAlign w:val="bottom"/>
                  <w:hideMark/>
                </w:tcPr>
                <w:p w14:paraId="730410AA"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128</w:t>
                  </w:r>
                </w:p>
              </w:tc>
              <w:tc>
                <w:tcPr>
                  <w:tcW w:w="965" w:type="dxa"/>
                  <w:tcBorders>
                    <w:top w:val="single" w:sz="4" w:space="0" w:color="auto"/>
                    <w:left w:val="nil"/>
                    <w:bottom w:val="nil"/>
                    <w:right w:val="nil"/>
                  </w:tcBorders>
                  <w:shd w:val="clear" w:color="000000" w:fill="F2F2F2"/>
                  <w:noWrap/>
                  <w:vAlign w:val="bottom"/>
                  <w:hideMark/>
                </w:tcPr>
                <w:p w14:paraId="7E00346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174</w:t>
                  </w:r>
                </w:p>
              </w:tc>
              <w:tc>
                <w:tcPr>
                  <w:tcW w:w="956" w:type="dxa"/>
                  <w:tcBorders>
                    <w:top w:val="single" w:sz="4" w:space="0" w:color="auto"/>
                    <w:left w:val="nil"/>
                    <w:bottom w:val="nil"/>
                    <w:right w:val="single" w:sz="8" w:space="0" w:color="auto"/>
                  </w:tcBorders>
                  <w:shd w:val="clear" w:color="000000" w:fill="F2F2F2"/>
                  <w:noWrap/>
                  <w:vAlign w:val="bottom"/>
                  <w:hideMark/>
                </w:tcPr>
                <w:p w14:paraId="68E6595C"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36</w:t>
                  </w:r>
                </w:p>
              </w:tc>
            </w:tr>
            <w:tr w:rsidR="0040017D" w:rsidRPr="00C52A9D" w14:paraId="182D8E16" w14:textId="77777777" w:rsidTr="0040017D">
              <w:trPr>
                <w:trHeight w:val="288"/>
              </w:trPr>
              <w:tc>
                <w:tcPr>
                  <w:tcW w:w="1107" w:type="dxa"/>
                  <w:tcBorders>
                    <w:top w:val="nil"/>
                    <w:left w:val="single" w:sz="8" w:space="0" w:color="auto"/>
                    <w:bottom w:val="nil"/>
                    <w:right w:val="nil"/>
                  </w:tcBorders>
                  <w:shd w:val="clear" w:color="000000" w:fill="F2F2F2"/>
                  <w:noWrap/>
                  <w:vAlign w:val="bottom"/>
                  <w:hideMark/>
                </w:tcPr>
                <w:p w14:paraId="3C27ECC5"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Validation</w:t>
                  </w:r>
                </w:p>
              </w:tc>
              <w:tc>
                <w:tcPr>
                  <w:tcW w:w="965" w:type="dxa"/>
                  <w:tcBorders>
                    <w:top w:val="nil"/>
                    <w:left w:val="nil"/>
                    <w:bottom w:val="nil"/>
                    <w:right w:val="nil"/>
                  </w:tcBorders>
                  <w:shd w:val="clear" w:color="000000" w:fill="F2F2F2"/>
                  <w:noWrap/>
                  <w:vAlign w:val="bottom"/>
                  <w:hideMark/>
                </w:tcPr>
                <w:p w14:paraId="62B31A5B"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14</w:t>
                  </w:r>
                </w:p>
              </w:tc>
              <w:tc>
                <w:tcPr>
                  <w:tcW w:w="965" w:type="dxa"/>
                  <w:tcBorders>
                    <w:top w:val="nil"/>
                    <w:left w:val="nil"/>
                    <w:bottom w:val="nil"/>
                    <w:right w:val="nil"/>
                  </w:tcBorders>
                  <w:shd w:val="clear" w:color="000000" w:fill="F2F2F2"/>
                  <w:noWrap/>
                  <w:vAlign w:val="bottom"/>
                  <w:hideMark/>
                </w:tcPr>
                <w:p w14:paraId="0C06F844"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23</w:t>
                  </w:r>
                </w:p>
              </w:tc>
              <w:tc>
                <w:tcPr>
                  <w:tcW w:w="958" w:type="dxa"/>
                  <w:tcBorders>
                    <w:top w:val="nil"/>
                    <w:left w:val="nil"/>
                    <w:bottom w:val="nil"/>
                    <w:right w:val="nil"/>
                  </w:tcBorders>
                  <w:shd w:val="clear" w:color="000000" w:fill="F2F2F2"/>
                  <w:noWrap/>
                  <w:vAlign w:val="bottom"/>
                  <w:hideMark/>
                </w:tcPr>
                <w:p w14:paraId="026F0F1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64</w:t>
                  </w:r>
                </w:p>
              </w:tc>
              <w:tc>
                <w:tcPr>
                  <w:tcW w:w="965" w:type="dxa"/>
                  <w:tcBorders>
                    <w:top w:val="nil"/>
                    <w:left w:val="single" w:sz="4" w:space="0" w:color="auto"/>
                    <w:bottom w:val="nil"/>
                    <w:right w:val="nil"/>
                  </w:tcBorders>
                  <w:shd w:val="clear" w:color="000000" w:fill="F2F2F2"/>
                  <w:noWrap/>
                  <w:vAlign w:val="bottom"/>
                  <w:hideMark/>
                </w:tcPr>
                <w:p w14:paraId="79A1A1CA"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88</w:t>
                  </w:r>
                </w:p>
              </w:tc>
              <w:tc>
                <w:tcPr>
                  <w:tcW w:w="965" w:type="dxa"/>
                  <w:tcBorders>
                    <w:top w:val="nil"/>
                    <w:left w:val="nil"/>
                    <w:bottom w:val="nil"/>
                    <w:right w:val="nil"/>
                  </w:tcBorders>
                  <w:shd w:val="clear" w:color="000000" w:fill="F2F2F2"/>
                  <w:noWrap/>
                  <w:vAlign w:val="bottom"/>
                  <w:hideMark/>
                </w:tcPr>
                <w:p w14:paraId="48C8BF7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72</w:t>
                  </w:r>
                </w:p>
              </w:tc>
              <w:tc>
                <w:tcPr>
                  <w:tcW w:w="1008" w:type="dxa"/>
                  <w:tcBorders>
                    <w:top w:val="nil"/>
                    <w:left w:val="nil"/>
                    <w:bottom w:val="nil"/>
                    <w:right w:val="single" w:sz="4" w:space="0" w:color="auto"/>
                  </w:tcBorders>
                  <w:shd w:val="clear" w:color="000000" w:fill="F2F2F2"/>
                  <w:noWrap/>
                  <w:vAlign w:val="bottom"/>
                  <w:hideMark/>
                </w:tcPr>
                <w:p w14:paraId="58652299"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-18</w:t>
                  </w:r>
                </w:p>
              </w:tc>
              <w:tc>
                <w:tcPr>
                  <w:tcW w:w="965" w:type="dxa"/>
                  <w:tcBorders>
                    <w:top w:val="nil"/>
                    <w:left w:val="nil"/>
                    <w:bottom w:val="nil"/>
                    <w:right w:val="nil"/>
                  </w:tcBorders>
                  <w:shd w:val="clear" w:color="000000" w:fill="F2F2F2"/>
                  <w:noWrap/>
                  <w:vAlign w:val="bottom"/>
                  <w:hideMark/>
                </w:tcPr>
                <w:p w14:paraId="3AED2B89"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102</w:t>
                  </w:r>
                </w:p>
              </w:tc>
              <w:tc>
                <w:tcPr>
                  <w:tcW w:w="965" w:type="dxa"/>
                  <w:tcBorders>
                    <w:top w:val="nil"/>
                    <w:left w:val="nil"/>
                    <w:bottom w:val="nil"/>
                    <w:right w:val="nil"/>
                  </w:tcBorders>
                  <w:shd w:val="clear" w:color="000000" w:fill="F2F2F2"/>
                  <w:noWrap/>
                  <w:vAlign w:val="bottom"/>
                  <w:hideMark/>
                </w:tcPr>
                <w:p w14:paraId="37AC0C73"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95</w:t>
                  </w:r>
                </w:p>
              </w:tc>
              <w:tc>
                <w:tcPr>
                  <w:tcW w:w="956" w:type="dxa"/>
                  <w:tcBorders>
                    <w:top w:val="nil"/>
                    <w:left w:val="nil"/>
                    <w:bottom w:val="nil"/>
                    <w:right w:val="single" w:sz="8" w:space="0" w:color="auto"/>
                  </w:tcBorders>
                  <w:shd w:val="clear" w:color="000000" w:fill="F2F2F2"/>
                  <w:noWrap/>
                  <w:vAlign w:val="bottom"/>
                  <w:hideMark/>
                </w:tcPr>
                <w:p w14:paraId="5E665DE9"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-7</w:t>
                  </w:r>
                </w:p>
              </w:tc>
            </w:tr>
            <w:tr w:rsidR="0040017D" w:rsidRPr="00C52A9D" w14:paraId="795847F2" w14:textId="77777777" w:rsidTr="0040017D">
              <w:trPr>
                <w:trHeight w:val="288"/>
              </w:trPr>
              <w:tc>
                <w:tcPr>
                  <w:tcW w:w="1107" w:type="dxa"/>
                  <w:tcBorders>
                    <w:top w:val="nil"/>
                    <w:left w:val="single" w:sz="8" w:space="0" w:color="auto"/>
                    <w:bottom w:val="nil"/>
                    <w:right w:val="nil"/>
                  </w:tcBorders>
                  <w:shd w:val="clear" w:color="000000" w:fill="F2F2F2"/>
                  <w:noWrap/>
                  <w:vAlign w:val="bottom"/>
                  <w:hideMark/>
                </w:tcPr>
                <w:p w14:paraId="26B09EB0"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ODL</w:t>
                  </w:r>
                </w:p>
              </w:tc>
              <w:tc>
                <w:tcPr>
                  <w:tcW w:w="965" w:type="dxa"/>
                  <w:tcBorders>
                    <w:top w:val="nil"/>
                    <w:left w:val="nil"/>
                    <w:bottom w:val="nil"/>
                    <w:right w:val="nil"/>
                  </w:tcBorders>
                  <w:shd w:val="clear" w:color="000000" w:fill="F2F2F2"/>
                  <w:noWrap/>
                  <w:vAlign w:val="bottom"/>
                  <w:hideMark/>
                </w:tcPr>
                <w:p w14:paraId="60C47E5B"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22</w:t>
                  </w:r>
                </w:p>
              </w:tc>
              <w:tc>
                <w:tcPr>
                  <w:tcW w:w="965" w:type="dxa"/>
                  <w:tcBorders>
                    <w:top w:val="nil"/>
                    <w:left w:val="nil"/>
                    <w:bottom w:val="nil"/>
                    <w:right w:val="nil"/>
                  </w:tcBorders>
                  <w:shd w:val="clear" w:color="000000" w:fill="F2F2F2"/>
                  <w:noWrap/>
                  <w:vAlign w:val="bottom"/>
                  <w:hideMark/>
                </w:tcPr>
                <w:p w14:paraId="6D3060A4"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30</w:t>
                  </w:r>
                </w:p>
              </w:tc>
              <w:tc>
                <w:tcPr>
                  <w:tcW w:w="958" w:type="dxa"/>
                  <w:tcBorders>
                    <w:top w:val="nil"/>
                    <w:left w:val="nil"/>
                    <w:bottom w:val="nil"/>
                    <w:right w:val="nil"/>
                  </w:tcBorders>
                  <w:shd w:val="clear" w:color="000000" w:fill="F2F2F2"/>
                  <w:noWrap/>
                  <w:vAlign w:val="bottom"/>
                  <w:hideMark/>
                </w:tcPr>
                <w:p w14:paraId="73F86FE2"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36</w:t>
                  </w:r>
                </w:p>
              </w:tc>
              <w:tc>
                <w:tcPr>
                  <w:tcW w:w="965" w:type="dxa"/>
                  <w:tcBorders>
                    <w:top w:val="nil"/>
                    <w:left w:val="single" w:sz="4" w:space="0" w:color="auto"/>
                    <w:bottom w:val="nil"/>
                    <w:right w:val="nil"/>
                  </w:tcBorders>
                  <w:shd w:val="clear" w:color="000000" w:fill="F2F2F2"/>
                  <w:noWrap/>
                  <w:vAlign w:val="bottom"/>
                  <w:hideMark/>
                </w:tcPr>
                <w:p w14:paraId="1CE9182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97</w:t>
                  </w:r>
                </w:p>
              </w:tc>
              <w:tc>
                <w:tcPr>
                  <w:tcW w:w="965" w:type="dxa"/>
                  <w:tcBorders>
                    <w:top w:val="nil"/>
                    <w:left w:val="nil"/>
                    <w:bottom w:val="nil"/>
                    <w:right w:val="nil"/>
                  </w:tcBorders>
                  <w:shd w:val="clear" w:color="000000" w:fill="F2F2F2"/>
                  <w:noWrap/>
                  <w:vAlign w:val="bottom"/>
                  <w:hideMark/>
                </w:tcPr>
                <w:p w14:paraId="354F7A8A"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88</w:t>
                  </w:r>
                </w:p>
              </w:tc>
              <w:tc>
                <w:tcPr>
                  <w:tcW w:w="1008" w:type="dxa"/>
                  <w:tcBorders>
                    <w:top w:val="nil"/>
                    <w:left w:val="nil"/>
                    <w:bottom w:val="nil"/>
                    <w:right w:val="single" w:sz="4" w:space="0" w:color="auto"/>
                  </w:tcBorders>
                  <w:shd w:val="clear" w:color="000000" w:fill="F2F2F2"/>
                  <w:noWrap/>
                  <w:vAlign w:val="bottom"/>
                  <w:hideMark/>
                </w:tcPr>
                <w:p w14:paraId="451CBDB9"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-11</w:t>
                  </w:r>
                </w:p>
              </w:tc>
              <w:tc>
                <w:tcPr>
                  <w:tcW w:w="965" w:type="dxa"/>
                  <w:tcBorders>
                    <w:top w:val="nil"/>
                    <w:left w:val="nil"/>
                    <w:bottom w:val="nil"/>
                    <w:right w:val="nil"/>
                  </w:tcBorders>
                  <w:shd w:val="clear" w:color="000000" w:fill="F2F2F2"/>
                  <w:noWrap/>
                  <w:vAlign w:val="bottom"/>
                  <w:hideMark/>
                </w:tcPr>
                <w:p w14:paraId="7AA747E2"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119</w:t>
                  </w:r>
                </w:p>
              </w:tc>
              <w:tc>
                <w:tcPr>
                  <w:tcW w:w="965" w:type="dxa"/>
                  <w:tcBorders>
                    <w:top w:val="nil"/>
                    <w:left w:val="nil"/>
                    <w:bottom w:val="nil"/>
                    <w:right w:val="nil"/>
                  </w:tcBorders>
                  <w:shd w:val="clear" w:color="000000" w:fill="F2F2F2"/>
                  <w:noWrap/>
                  <w:vAlign w:val="bottom"/>
                  <w:hideMark/>
                </w:tcPr>
                <w:p w14:paraId="7E7D9598"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118</w:t>
                  </w:r>
                </w:p>
              </w:tc>
              <w:tc>
                <w:tcPr>
                  <w:tcW w:w="956" w:type="dxa"/>
                  <w:tcBorders>
                    <w:top w:val="nil"/>
                    <w:left w:val="nil"/>
                    <w:bottom w:val="nil"/>
                    <w:right w:val="single" w:sz="8" w:space="0" w:color="auto"/>
                  </w:tcBorders>
                  <w:shd w:val="clear" w:color="000000" w:fill="F2F2F2"/>
                  <w:noWrap/>
                  <w:vAlign w:val="bottom"/>
                  <w:hideMark/>
                </w:tcPr>
                <w:p w14:paraId="32E0E906"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w:t>
                  </w:r>
                </w:p>
              </w:tc>
            </w:tr>
            <w:tr w:rsidR="0040017D" w:rsidRPr="00C52A9D" w14:paraId="55D1D5EC" w14:textId="77777777" w:rsidTr="0040017D">
              <w:trPr>
                <w:trHeight w:val="288"/>
              </w:trPr>
              <w:tc>
                <w:tcPr>
                  <w:tcW w:w="1107" w:type="dxa"/>
                  <w:tcBorders>
                    <w:top w:val="nil"/>
                    <w:left w:val="single" w:sz="8" w:space="0" w:color="auto"/>
                    <w:bottom w:val="nil"/>
                    <w:right w:val="nil"/>
                  </w:tcBorders>
                  <w:shd w:val="clear" w:color="000000" w:fill="F2F2F2"/>
                  <w:noWrap/>
                  <w:vAlign w:val="bottom"/>
                  <w:hideMark/>
                </w:tcPr>
                <w:p w14:paraId="4ACCF4AB"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OBC</w:t>
                  </w:r>
                </w:p>
              </w:tc>
              <w:tc>
                <w:tcPr>
                  <w:tcW w:w="965" w:type="dxa"/>
                  <w:tcBorders>
                    <w:top w:val="nil"/>
                    <w:left w:val="nil"/>
                    <w:bottom w:val="nil"/>
                    <w:right w:val="nil"/>
                  </w:tcBorders>
                  <w:shd w:val="clear" w:color="000000" w:fill="F2F2F2"/>
                  <w:noWrap/>
                  <w:vAlign w:val="bottom"/>
                  <w:hideMark/>
                </w:tcPr>
                <w:p w14:paraId="33D31160"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w:t>
                  </w:r>
                </w:p>
              </w:tc>
              <w:tc>
                <w:tcPr>
                  <w:tcW w:w="965" w:type="dxa"/>
                  <w:tcBorders>
                    <w:top w:val="nil"/>
                    <w:left w:val="nil"/>
                    <w:bottom w:val="nil"/>
                    <w:right w:val="nil"/>
                  </w:tcBorders>
                  <w:shd w:val="clear" w:color="000000" w:fill="F2F2F2"/>
                  <w:noWrap/>
                  <w:vAlign w:val="bottom"/>
                  <w:hideMark/>
                </w:tcPr>
                <w:p w14:paraId="434E4DC4"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w:t>
                  </w:r>
                </w:p>
              </w:tc>
              <w:tc>
                <w:tcPr>
                  <w:tcW w:w="958" w:type="dxa"/>
                  <w:tcBorders>
                    <w:top w:val="nil"/>
                    <w:left w:val="nil"/>
                    <w:bottom w:val="nil"/>
                    <w:right w:val="nil"/>
                  </w:tcBorders>
                  <w:shd w:val="clear" w:color="000000" w:fill="F2F2F2"/>
                  <w:noWrap/>
                  <w:vAlign w:val="bottom"/>
                  <w:hideMark/>
                </w:tcPr>
                <w:p w14:paraId="2E0A3364"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965" w:type="dxa"/>
                  <w:tcBorders>
                    <w:top w:val="nil"/>
                    <w:left w:val="single" w:sz="4" w:space="0" w:color="auto"/>
                    <w:bottom w:val="nil"/>
                    <w:right w:val="nil"/>
                  </w:tcBorders>
                  <w:shd w:val="clear" w:color="000000" w:fill="F2F2F2"/>
                  <w:noWrap/>
                  <w:vAlign w:val="bottom"/>
                  <w:hideMark/>
                </w:tcPr>
                <w:p w14:paraId="58625F57"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22</w:t>
                  </w:r>
                </w:p>
              </w:tc>
              <w:tc>
                <w:tcPr>
                  <w:tcW w:w="965" w:type="dxa"/>
                  <w:tcBorders>
                    <w:top w:val="nil"/>
                    <w:left w:val="nil"/>
                    <w:bottom w:val="nil"/>
                    <w:right w:val="nil"/>
                  </w:tcBorders>
                  <w:shd w:val="clear" w:color="000000" w:fill="F2F2F2"/>
                  <w:noWrap/>
                  <w:vAlign w:val="bottom"/>
                  <w:hideMark/>
                </w:tcPr>
                <w:p w14:paraId="50F0688B"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30</w:t>
                  </w:r>
                </w:p>
              </w:tc>
              <w:tc>
                <w:tcPr>
                  <w:tcW w:w="1008" w:type="dxa"/>
                  <w:tcBorders>
                    <w:top w:val="nil"/>
                    <w:left w:val="nil"/>
                    <w:bottom w:val="nil"/>
                    <w:right w:val="single" w:sz="4" w:space="0" w:color="auto"/>
                  </w:tcBorders>
                  <w:shd w:val="clear" w:color="000000" w:fill="F2F2F2"/>
                  <w:noWrap/>
                  <w:vAlign w:val="bottom"/>
                  <w:hideMark/>
                </w:tcPr>
                <w:p w14:paraId="31E77177"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36</w:t>
                  </w:r>
                </w:p>
              </w:tc>
              <w:tc>
                <w:tcPr>
                  <w:tcW w:w="965" w:type="dxa"/>
                  <w:tcBorders>
                    <w:top w:val="nil"/>
                    <w:left w:val="nil"/>
                    <w:bottom w:val="nil"/>
                    <w:right w:val="nil"/>
                  </w:tcBorders>
                  <w:shd w:val="clear" w:color="000000" w:fill="F2F2F2"/>
                  <w:noWrap/>
                  <w:vAlign w:val="bottom"/>
                  <w:hideMark/>
                </w:tcPr>
                <w:p w14:paraId="16F8BB53"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23</w:t>
                  </w:r>
                </w:p>
              </w:tc>
              <w:tc>
                <w:tcPr>
                  <w:tcW w:w="965" w:type="dxa"/>
                  <w:tcBorders>
                    <w:top w:val="nil"/>
                    <w:left w:val="nil"/>
                    <w:bottom w:val="nil"/>
                    <w:right w:val="nil"/>
                  </w:tcBorders>
                  <w:shd w:val="clear" w:color="000000" w:fill="F2F2F2"/>
                  <w:noWrap/>
                  <w:vAlign w:val="bottom"/>
                  <w:hideMark/>
                </w:tcPr>
                <w:p w14:paraId="5F37118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31</w:t>
                  </w:r>
                </w:p>
              </w:tc>
              <w:tc>
                <w:tcPr>
                  <w:tcW w:w="956" w:type="dxa"/>
                  <w:tcBorders>
                    <w:top w:val="nil"/>
                    <w:left w:val="nil"/>
                    <w:bottom w:val="nil"/>
                    <w:right w:val="single" w:sz="8" w:space="0" w:color="auto"/>
                  </w:tcBorders>
                  <w:shd w:val="clear" w:color="000000" w:fill="F2F2F2"/>
                  <w:noWrap/>
                  <w:vAlign w:val="bottom"/>
                  <w:hideMark/>
                </w:tcPr>
                <w:p w14:paraId="5EA75E19"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30</w:t>
                  </w:r>
                </w:p>
              </w:tc>
            </w:tr>
            <w:tr w:rsidR="0040017D" w:rsidRPr="00C52A9D" w14:paraId="4A417682" w14:textId="77777777" w:rsidTr="0040017D">
              <w:trPr>
                <w:trHeight w:val="300"/>
              </w:trPr>
              <w:tc>
                <w:tcPr>
                  <w:tcW w:w="1107" w:type="dxa"/>
                  <w:tcBorders>
                    <w:top w:val="single" w:sz="4" w:space="0" w:color="auto"/>
                    <w:left w:val="single" w:sz="8" w:space="0" w:color="auto"/>
                    <w:bottom w:val="single" w:sz="8" w:space="0" w:color="auto"/>
                    <w:right w:val="nil"/>
                  </w:tcBorders>
                  <w:shd w:val="clear" w:color="000000" w:fill="F2F2F2"/>
                  <w:noWrap/>
                  <w:vAlign w:val="bottom"/>
                  <w:hideMark/>
                </w:tcPr>
                <w:p w14:paraId="6E08ADB3"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Total</w:t>
                  </w:r>
                </w:p>
              </w:tc>
              <w:tc>
                <w:tcPr>
                  <w:tcW w:w="965" w:type="dxa"/>
                  <w:tcBorders>
                    <w:top w:val="single" w:sz="4" w:space="0" w:color="auto"/>
                    <w:left w:val="nil"/>
                    <w:bottom w:val="single" w:sz="8" w:space="0" w:color="auto"/>
                    <w:right w:val="nil"/>
                  </w:tcBorders>
                  <w:shd w:val="clear" w:color="000000" w:fill="F2F2F2"/>
                  <w:noWrap/>
                  <w:vAlign w:val="bottom"/>
                  <w:hideMark/>
                </w:tcPr>
                <w:p w14:paraId="5DFCAC9A"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53</w:t>
                  </w:r>
                </w:p>
              </w:tc>
              <w:tc>
                <w:tcPr>
                  <w:tcW w:w="965" w:type="dxa"/>
                  <w:tcBorders>
                    <w:top w:val="single" w:sz="4" w:space="0" w:color="auto"/>
                    <w:left w:val="nil"/>
                    <w:bottom w:val="single" w:sz="8" w:space="0" w:color="auto"/>
                    <w:right w:val="nil"/>
                  </w:tcBorders>
                  <w:shd w:val="clear" w:color="000000" w:fill="F2F2F2"/>
                  <w:noWrap/>
                  <w:vAlign w:val="bottom"/>
                  <w:hideMark/>
                </w:tcPr>
                <w:p w14:paraId="41768476"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70</w:t>
                  </w:r>
                </w:p>
              </w:tc>
              <w:tc>
                <w:tcPr>
                  <w:tcW w:w="958" w:type="dxa"/>
                  <w:tcBorders>
                    <w:top w:val="single" w:sz="4" w:space="0" w:color="auto"/>
                    <w:left w:val="nil"/>
                    <w:bottom w:val="single" w:sz="8" w:space="0" w:color="auto"/>
                    <w:right w:val="nil"/>
                  </w:tcBorders>
                  <w:shd w:val="clear" w:color="000000" w:fill="F2F2F2"/>
                  <w:noWrap/>
                  <w:vAlign w:val="bottom"/>
                  <w:hideMark/>
                </w:tcPr>
                <w:p w14:paraId="7AC467A6"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32</w:t>
                  </w:r>
                </w:p>
              </w:tc>
              <w:tc>
                <w:tcPr>
                  <w:tcW w:w="965" w:type="dxa"/>
                  <w:tcBorders>
                    <w:top w:val="single" w:sz="4" w:space="0" w:color="auto"/>
                    <w:left w:val="single" w:sz="4" w:space="0" w:color="auto"/>
                    <w:bottom w:val="single" w:sz="8" w:space="0" w:color="auto"/>
                    <w:right w:val="nil"/>
                  </w:tcBorders>
                  <w:shd w:val="clear" w:color="000000" w:fill="F2F2F2"/>
                  <w:noWrap/>
                  <w:vAlign w:val="bottom"/>
                  <w:hideMark/>
                </w:tcPr>
                <w:p w14:paraId="5BC941C4"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329</w:t>
                  </w:r>
                </w:p>
              </w:tc>
              <w:tc>
                <w:tcPr>
                  <w:tcW w:w="965" w:type="dxa"/>
                  <w:tcBorders>
                    <w:top w:val="single" w:sz="4" w:space="0" w:color="auto"/>
                    <w:left w:val="nil"/>
                    <w:bottom w:val="single" w:sz="8" w:space="0" w:color="auto"/>
                    <w:right w:val="nil"/>
                  </w:tcBorders>
                  <w:shd w:val="clear" w:color="000000" w:fill="F2F2F2"/>
                  <w:noWrap/>
                  <w:vAlign w:val="bottom"/>
                  <w:hideMark/>
                </w:tcPr>
                <w:p w14:paraId="52ECDCC9"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353</w:t>
                  </w:r>
                </w:p>
              </w:tc>
              <w:tc>
                <w:tcPr>
                  <w:tcW w:w="1008" w:type="dxa"/>
                  <w:tcBorders>
                    <w:top w:val="single" w:sz="4" w:space="0" w:color="auto"/>
                    <w:left w:val="nil"/>
                    <w:bottom w:val="single" w:sz="8" w:space="0" w:color="auto"/>
                    <w:right w:val="single" w:sz="4" w:space="0" w:color="auto"/>
                  </w:tcBorders>
                  <w:shd w:val="clear" w:color="000000" w:fill="F2F2F2"/>
                  <w:noWrap/>
                  <w:vAlign w:val="bottom"/>
                  <w:hideMark/>
                </w:tcPr>
                <w:p w14:paraId="63DEEA07"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7</w:t>
                  </w:r>
                </w:p>
              </w:tc>
              <w:tc>
                <w:tcPr>
                  <w:tcW w:w="965" w:type="dxa"/>
                  <w:tcBorders>
                    <w:top w:val="single" w:sz="4" w:space="0" w:color="auto"/>
                    <w:left w:val="nil"/>
                    <w:bottom w:val="single" w:sz="8" w:space="0" w:color="auto"/>
                    <w:right w:val="nil"/>
                  </w:tcBorders>
                  <w:shd w:val="clear" w:color="000000" w:fill="F2F2F2"/>
                  <w:noWrap/>
                  <w:vAlign w:val="bottom"/>
                  <w:hideMark/>
                </w:tcPr>
                <w:p w14:paraId="79C4F4AB"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382</w:t>
                  </w:r>
                </w:p>
              </w:tc>
              <w:tc>
                <w:tcPr>
                  <w:tcW w:w="965" w:type="dxa"/>
                  <w:tcBorders>
                    <w:top w:val="single" w:sz="4" w:space="0" w:color="auto"/>
                    <w:left w:val="nil"/>
                    <w:bottom w:val="single" w:sz="8" w:space="0" w:color="auto"/>
                    <w:right w:val="nil"/>
                  </w:tcBorders>
                  <w:shd w:val="clear" w:color="000000" w:fill="F2F2F2"/>
                  <w:noWrap/>
                  <w:vAlign w:val="bottom"/>
                  <w:hideMark/>
                </w:tcPr>
                <w:p w14:paraId="13EB341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423</w:t>
                  </w:r>
                </w:p>
              </w:tc>
              <w:tc>
                <w:tcPr>
                  <w:tcW w:w="956" w:type="dxa"/>
                  <w:tcBorders>
                    <w:top w:val="single" w:sz="4" w:space="0" w:color="auto"/>
                    <w:left w:val="nil"/>
                    <w:bottom w:val="single" w:sz="8" w:space="0" w:color="auto"/>
                    <w:right w:val="single" w:sz="8" w:space="0" w:color="auto"/>
                  </w:tcBorders>
                  <w:shd w:val="clear" w:color="000000" w:fill="F2F2F2"/>
                  <w:noWrap/>
                  <w:vAlign w:val="bottom"/>
                  <w:hideMark/>
                </w:tcPr>
                <w:p w14:paraId="4139320A"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11</w:t>
                  </w:r>
                </w:p>
              </w:tc>
            </w:tr>
            <w:tr w:rsidR="0040017D" w:rsidRPr="00C52A9D" w14:paraId="0D87AC90" w14:textId="77777777" w:rsidTr="0040017D">
              <w:trPr>
                <w:trHeight w:val="288"/>
              </w:trPr>
              <w:tc>
                <w:tcPr>
                  <w:tcW w:w="2072" w:type="dxa"/>
                  <w:gridSpan w:val="2"/>
                  <w:tcBorders>
                    <w:top w:val="nil"/>
                    <w:left w:val="nil"/>
                    <w:bottom w:val="nil"/>
                    <w:right w:val="nil"/>
                  </w:tcBorders>
                  <w:shd w:val="clear" w:color="auto" w:fill="auto"/>
                  <w:noWrap/>
                  <w:vAlign w:val="bottom"/>
                  <w:hideMark/>
                </w:tcPr>
                <w:p w14:paraId="4C6C4100"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Source: HESA</w:t>
                  </w:r>
                </w:p>
              </w:tc>
              <w:tc>
                <w:tcPr>
                  <w:tcW w:w="965" w:type="dxa"/>
                  <w:tcBorders>
                    <w:top w:val="nil"/>
                    <w:left w:val="nil"/>
                    <w:bottom w:val="nil"/>
                    <w:right w:val="nil"/>
                  </w:tcBorders>
                  <w:shd w:val="clear" w:color="auto" w:fill="auto"/>
                  <w:noWrap/>
                  <w:vAlign w:val="bottom"/>
                  <w:hideMark/>
                </w:tcPr>
                <w:p w14:paraId="70068CCA" w14:textId="77777777" w:rsidR="0040017D" w:rsidRPr="00C52A9D" w:rsidRDefault="0040017D" w:rsidP="0040017D">
                  <w:pPr>
                    <w:spacing w:after="0" w:line="240" w:lineRule="auto"/>
                    <w:rPr>
                      <w:rFonts w:ascii="Calibri Light" w:eastAsia="Times New Roman" w:hAnsi="Calibri Light" w:cs="Calibri Light"/>
                      <w:color w:val="000000"/>
                      <w:lang w:eastAsia="en-GB"/>
                    </w:rPr>
                  </w:pPr>
                </w:p>
              </w:tc>
              <w:tc>
                <w:tcPr>
                  <w:tcW w:w="958" w:type="dxa"/>
                  <w:tcBorders>
                    <w:top w:val="nil"/>
                    <w:left w:val="nil"/>
                    <w:bottom w:val="nil"/>
                    <w:right w:val="nil"/>
                  </w:tcBorders>
                  <w:shd w:val="clear" w:color="auto" w:fill="auto"/>
                  <w:noWrap/>
                  <w:vAlign w:val="bottom"/>
                  <w:hideMark/>
                </w:tcPr>
                <w:p w14:paraId="465421E3"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c>
                <w:tcPr>
                  <w:tcW w:w="965" w:type="dxa"/>
                  <w:tcBorders>
                    <w:top w:val="nil"/>
                    <w:left w:val="nil"/>
                    <w:bottom w:val="nil"/>
                    <w:right w:val="nil"/>
                  </w:tcBorders>
                  <w:shd w:val="clear" w:color="auto" w:fill="auto"/>
                  <w:noWrap/>
                  <w:vAlign w:val="bottom"/>
                  <w:hideMark/>
                </w:tcPr>
                <w:p w14:paraId="24A4C8B9"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c>
                <w:tcPr>
                  <w:tcW w:w="965" w:type="dxa"/>
                  <w:tcBorders>
                    <w:top w:val="nil"/>
                    <w:left w:val="nil"/>
                    <w:bottom w:val="nil"/>
                    <w:right w:val="nil"/>
                  </w:tcBorders>
                  <w:shd w:val="clear" w:color="auto" w:fill="auto"/>
                  <w:noWrap/>
                  <w:vAlign w:val="bottom"/>
                  <w:hideMark/>
                </w:tcPr>
                <w:p w14:paraId="60B53114"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c>
                <w:tcPr>
                  <w:tcW w:w="1008" w:type="dxa"/>
                  <w:tcBorders>
                    <w:top w:val="nil"/>
                    <w:left w:val="nil"/>
                    <w:bottom w:val="nil"/>
                    <w:right w:val="nil"/>
                  </w:tcBorders>
                  <w:shd w:val="clear" w:color="auto" w:fill="auto"/>
                  <w:noWrap/>
                  <w:vAlign w:val="bottom"/>
                  <w:hideMark/>
                </w:tcPr>
                <w:p w14:paraId="2228BE3C"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c>
                <w:tcPr>
                  <w:tcW w:w="965" w:type="dxa"/>
                  <w:tcBorders>
                    <w:top w:val="nil"/>
                    <w:left w:val="nil"/>
                    <w:bottom w:val="nil"/>
                    <w:right w:val="nil"/>
                  </w:tcBorders>
                  <w:shd w:val="clear" w:color="auto" w:fill="auto"/>
                  <w:noWrap/>
                  <w:vAlign w:val="bottom"/>
                  <w:hideMark/>
                </w:tcPr>
                <w:p w14:paraId="1016C1D7"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c>
                <w:tcPr>
                  <w:tcW w:w="965" w:type="dxa"/>
                  <w:tcBorders>
                    <w:top w:val="nil"/>
                    <w:left w:val="nil"/>
                    <w:bottom w:val="nil"/>
                    <w:right w:val="nil"/>
                  </w:tcBorders>
                  <w:shd w:val="clear" w:color="auto" w:fill="auto"/>
                  <w:noWrap/>
                  <w:vAlign w:val="bottom"/>
                  <w:hideMark/>
                </w:tcPr>
                <w:p w14:paraId="541717DE"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c>
                <w:tcPr>
                  <w:tcW w:w="956" w:type="dxa"/>
                  <w:tcBorders>
                    <w:top w:val="nil"/>
                    <w:left w:val="nil"/>
                    <w:bottom w:val="nil"/>
                    <w:right w:val="nil"/>
                  </w:tcBorders>
                  <w:shd w:val="clear" w:color="auto" w:fill="auto"/>
                  <w:noWrap/>
                  <w:vAlign w:val="bottom"/>
                  <w:hideMark/>
                </w:tcPr>
                <w:p w14:paraId="14FB736C"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r>
          </w:tbl>
          <w:p w14:paraId="28F3B7E0" w14:textId="77777777" w:rsidR="0040017D" w:rsidRDefault="0040017D" w:rsidP="0040017D">
            <w:pPr>
              <w:spacing w:after="0" w:line="240" w:lineRule="auto"/>
              <w:rPr>
                <w:rFonts w:ascii="Calibri Light" w:hAnsi="Calibri Light" w:cs="Calibri Light"/>
                <w:sz w:val="28"/>
                <w:szCs w:val="28"/>
              </w:rPr>
            </w:pPr>
          </w:p>
          <w:p w14:paraId="28E1E29F"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Table 3: Universities with increasing and stagnant/decreasing offshore overseas student</w:t>
            </w:r>
          </w:p>
        </w:tc>
      </w:tr>
      <w:tr w:rsidR="0040017D" w:rsidRPr="00C52A9D" w14:paraId="670A584D" w14:textId="77777777" w:rsidTr="0040017D">
        <w:trPr>
          <w:trHeight w:val="300"/>
        </w:trPr>
        <w:tc>
          <w:tcPr>
            <w:tcW w:w="7545" w:type="dxa"/>
            <w:gridSpan w:val="4"/>
            <w:tcBorders>
              <w:top w:val="nil"/>
              <w:left w:val="nil"/>
              <w:bottom w:val="nil"/>
              <w:right w:val="nil"/>
            </w:tcBorders>
            <w:shd w:val="clear" w:color="auto" w:fill="auto"/>
            <w:noWrap/>
            <w:vAlign w:val="bottom"/>
            <w:hideMark/>
          </w:tcPr>
          <w:p w14:paraId="5EFE0E4E"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enrolments, 2009-2016 and 2015-19 (rounded % and '0000)</w:t>
            </w:r>
          </w:p>
        </w:tc>
        <w:tc>
          <w:tcPr>
            <w:tcW w:w="1215" w:type="dxa"/>
            <w:tcBorders>
              <w:top w:val="nil"/>
              <w:left w:val="nil"/>
              <w:bottom w:val="nil"/>
              <w:right w:val="nil"/>
            </w:tcBorders>
            <w:shd w:val="clear" w:color="auto" w:fill="auto"/>
            <w:noWrap/>
            <w:vAlign w:val="bottom"/>
            <w:hideMark/>
          </w:tcPr>
          <w:p w14:paraId="5377A904" w14:textId="77777777" w:rsidR="0040017D" w:rsidRPr="00C52A9D" w:rsidRDefault="0040017D" w:rsidP="0040017D">
            <w:pPr>
              <w:spacing w:after="0" w:line="240" w:lineRule="auto"/>
              <w:rPr>
                <w:rFonts w:ascii="Calibri Light" w:eastAsia="Times New Roman" w:hAnsi="Calibri Light" w:cs="Calibri Light"/>
                <w:color w:val="000000"/>
                <w:lang w:eastAsia="en-GB"/>
              </w:rPr>
            </w:pPr>
          </w:p>
        </w:tc>
        <w:tc>
          <w:tcPr>
            <w:tcW w:w="1276" w:type="dxa"/>
            <w:tcBorders>
              <w:top w:val="nil"/>
              <w:left w:val="nil"/>
              <w:bottom w:val="nil"/>
              <w:right w:val="nil"/>
            </w:tcBorders>
            <w:shd w:val="clear" w:color="auto" w:fill="auto"/>
            <w:noWrap/>
            <w:vAlign w:val="bottom"/>
            <w:hideMark/>
          </w:tcPr>
          <w:p w14:paraId="309BE0C3"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r>
      <w:tr w:rsidR="0040017D" w:rsidRPr="00C52A9D" w14:paraId="01E7E907" w14:textId="77777777" w:rsidTr="0040017D">
        <w:trPr>
          <w:trHeight w:val="288"/>
        </w:trPr>
        <w:tc>
          <w:tcPr>
            <w:tcW w:w="1157" w:type="dxa"/>
            <w:tcBorders>
              <w:top w:val="single" w:sz="8" w:space="0" w:color="auto"/>
              <w:left w:val="single" w:sz="8" w:space="0" w:color="auto"/>
              <w:bottom w:val="nil"/>
              <w:right w:val="nil"/>
            </w:tcBorders>
            <w:shd w:val="clear" w:color="000000" w:fill="BDD7EE"/>
            <w:noWrap/>
            <w:vAlign w:val="bottom"/>
            <w:hideMark/>
          </w:tcPr>
          <w:p w14:paraId="12EA7C69"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5085" w:type="dxa"/>
            <w:gridSpan w:val="2"/>
            <w:tcBorders>
              <w:top w:val="single" w:sz="8" w:space="0" w:color="auto"/>
              <w:left w:val="nil"/>
              <w:bottom w:val="nil"/>
              <w:right w:val="nil"/>
            </w:tcBorders>
            <w:shd w:val="clear" w:color="000000" w:fill="BDD7EE"/>
            <w:noWrap/>
            <w:vAlign w:val="bottom"/>
            <w:hideMark/>
          </w:tcPr>
          <w:p w14:paraId="48B373FA" w14:textId="77777777" w:rsidR="0040017D" w:rsidRPr="00C52A9D" w:rsidRDefault="0040017D" w:rsidP="0040017D">
            <w:pPr>
              <w:spacing w:after="0" w:line="240" w:lineRule="auto"/>
              <w:ind w:firstLineChars="800" w:firstLine="1760"/>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universities</w:t>
            </w:r>
          </w:p>
        </w:tc>
        <w:tc>
          <w:tcPr>
            <w:tcW w:w="2518" w:type="dxa"/>
            <w:gridSpan w:val="2"/>
            <w:tcBorders>
              <w:top w:val="single" w:sz="8" w:space="0" w:color="auto"/>
              <w:left w:val="single" w:sz="4" w:space="0" w:color="auto"/>
              <w:bottom w:val="nil"/>
              <w:right w:val="single" w:sz="4" w:space="0" w:color="000000"/>
            </w:tcBorders>
            <w:shd w:val="clear" w:color="000000" w:fill="BDD7EE"/>
            <w:noWrap/>
            <w:vAlign w:val="bottom"/>
            <w:hideMark/>
          </w:tcPr>
          <w:p w14:paraId="277521A0" w14:textId="77777777" w:rsidR="0040017D" w:rsidRPr="00C52A9D" w:rsidRDefault="0040017D" w:rsidP="0040017D">
            <w:pPr>
              <w:spacing w:after="0" w:line="240" w:lineRule="auto"/>
              <w:ind w:firstLineChars="100" w:firstLine="220"/>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xml:space="preserve">Change in enrolments </w:t>
            </w:r>
          </w:p>
        </w:tc>
        <w:tc>
          <w:tcPr>
            <w:tcW w:w="1276" w:type="dxa"/>
            <w:tcBorders>
              <w:top w:val="single" w:sz="8" w:space="0" w:color="auto"/>
              <w:left w:val="nil"/>
              <w:bottom w:val="nil"/>
              <w:right w:val="single" w:sz="8" w:space="0" w:color="auto"/>
            </w:tcBorders>
            <w:shd w:val="clear" w:color="000000" w:fill="BDD7EE"/>
            <w:noWrap/>
            <w:vAlign w:val="bottom"/>
            <w:hideMark/>
          </w:tcPr>
          <w:p w14:paraId="5397CEDD"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xml:space="preserve">Gain-loss </w:t>
            </w:r>
          </w:p>
        </w:tc>
      </w:tr>
      <w:tr w:rsidR="0040017D" w:rsidRPr="00C52A9D" w14:paraId="5EB42599" w14:textId="77777777" w:rsidTr="0040017D">
        <w:trPr>
          <w:trHeight w:val="288"/>
        </w:trPr>
        <w:tc>
          <w:tcPr>
            <w:tcW w:w="1157" w:type="dxa"/>
            <w:tcBorders>
              <w:top w:val="nil"/>
              <w:left w:val="single" w:sz="8" w:space="0" w:color="auto"/>
              <w:bottom w:val="single" w:sz="4" w:space="0" w:color="auto"/>
              <w:right w:val="nil"/>
            </w:tcBorders>
            <w:shd w:val="clear" w:color="000000" w:fill="BDD7EE"/>
            <w:noWrap/>
            <w:vAlign w:val="bottom"/>
            <w:hideMark/>
          </w:tcPr>
          <w:p w14:paraId="38E364DF"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Period</w:t>
            </w:r>
          </w:p>
        </w:tc>
        <w:tc>
          <w:tcPr>
            <w:tcW w:w="2584" w:type="dxa"/>
            <w:tcBorders>
              <w:top w:val="nil"/>
              <w:left w:val="nil"/>
              <w:bottom w:val="single" w:sz="4" w:space="0" w:color="auto"/>
              <w:right w:val="nil"/>
            </w:tcBorders>
            <w:shd w:val="clear" w:color="000000" w:fill="BDD7EE"/>
            <w:noWrap/>
            <w:vAlign w:val="bottom"/>
            <w:hideMark/>
          </w:tcPr>
          <w:p w14:paraId="06A182C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Higher enrolments</w:t>
            </w:r>
          </w:p>
        </w:tc>
        <w:tc>
          <w:tcPr>
            <w:tcW w:w="2501" w:type="dxa"/>
            <w:tcBorders>
              <w:top w:val="nil"/>
              <w:left w:val="nil"/>
              <w:bottom w:val="single" w:sz="4" w:space="0" w:color="auto"/>
              <w:right w:val="nil"/>
            </w:tcBorders>
            <w:shd w:val="clear" w:color="000000" w:fill="BDD7EE"/>
            <w:noWrap/>
            <w:vAlign w:val="bottom"/>
            <w:hideMark/>
          </w:tcPr>
          <w:p w14:paraId="7D21D205"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Lower enrolments</w:t>
            </w:r>
          </w:p>
        </w:tc>
        <w:tc>
          <w:tcPr>
            <w:tcW w:w="1303" w:type="dxa"/>
            <w:tcBorders>
              <w:top w:val="nil"/>
              <w:left w:val="single" w:sz="4" w:space="0" w:color="auto"/>
              <w:bottom w:val="single" w:sz="4" w:space="0" w:color="auto"/>
              <w:right w:val="nil"/>
            </w:tcBorders>
            <w:shd w:val="clear" w:color="000000" w:fill="BDD7EE"/>
            <w:noWrap/>
            <w:vAlign w:val="bottom"/>
            <w:hideMark/>
          </w:tcPr>
          <w:p w14:paraId="1582F498"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Higher</w:t>
            </w:r>
          </w:p>
        </w:tc>
        <w:tc>
          <w:tcPr>
            <w:tcW w:w="1215" w:type="dxa"/>
            <w:tcBorders>
              <w:top w:val="nil"/>
              <w:left w:val="nil"/>
              <w:bottom w:val="single" w:sz="4" w:space="0" w:color="auto"/>
              <w:right w:val="single" w:sz="4" w:space="0" w:color="auto"/>
            </w:tcBorders>
            <w:shd w:val="clear" w:color="000000" w:fill="BDD7EE"/>
            <w:noWrap/>
            <w:vAlign w:val="bottom"/>
            <w:hideMark/>
          </w:tcPr>
          <w:p w14:paraId="5BEE188D"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Lower</w:t>
            </w:r>
          </w:p>
        </w:tc>
        <w:tc>
          <w:tcPr>
            <w:tcW w:w="1276" w:type="dxa"/>
            <w:tcBorders>
              <w:top w:val="nil"/>
              <w:left w:val="nil"/>
              <w:bottom w:val="single" w:sz="4" w:space="0" w:color="auto"/>
              <w:right w:val="single" w:sz="8" w:space="0" w:color="auto"/>
            </w:tcBorders>
            <w:shd w:val="clear" w:color="000000" w:fill="BDD7EE"/>
            <w:noWrap/>
            <w:vAlign w:val="bottom"/>
            <w:hideMark/>
          </w:tcPr>
          <w:p w14:paraId="5830AEF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ratio</w:t>
            </w:r>
          </w:p>
        </w:tc>
      </w:tr>
      <w:tr w:rsidR="0040017D" w:rsidRPr="00C52A9D" w14:paraId="70614258" w14:textId="77777777" w:rsidTr="0040017D">
        <w:trPr>
          <w:trHeight w:val="288"/>
        </w:trPr>
        <w:tc>
          <w:tcPr>
            <w:tcW w:w="1157" w:type="dxa"/>
            <w:tcBorders>
              <w:top w:val="nil"/>
              <w:left w:val="single" w:sz="8" w:space="0" w:color="auto"/>
              <w:bottom w:val="nil"/>
              <w:right w:val="nil"/>
            </w:tcBorders>
            <w:shd w:val="clear" w:color="000000" w:fill="F2F2F2"/>
            <w:noWrap/>
            <w:vAlign w:val="bottom"/>
            <w:hideMark/>
          </w:tcPr>
          <w:p w14:paraId="40133473"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2008-16</w:t>
            </w:r>
          </w:p>
        </w:tc>
        <w:tc>
          <w:tcPr>
            <w:tcW w:w="2584" w:type="dxa"/>
            <w:tcBorders>
              <w:top w:val="nil"/>
              <w:left w:val="nil"/>
              <w:bottom w:val="nil"/>
              <w:right w:val="nil"/>
            </w:tcBorders>
            <w:shd w:val="clear" w:color="000000" w:fill="F2F2F2"/>
            <w:noWrap/>
            <w:vAlign w:val="bottom"/>
            <w:hideMark/>
          </w:tcPr>
          <w:p w14:paraId="3BCFFFC3"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89</w:t>
            </w:r>
          </w:p>
        </w:tc>
        <w:tc>
          <w:tcPr>
            <w:tcW w:w="2501" w:type="dxa"/>
            <w:tcBorders>
              <w:top w:val="nil"/>
              <w:left w:val="nil"/>
              <w:bottom w:val="nil"/>
              <w:right w:val="nil"/>
            </w:tcBorders>
            <w:shd w:val="clear" w:color="000000" w:fill="F2F2F2"/>
            <w:noWrap/>
            <w:vAlign w:val="bottom"/>
            <w:hideMark/>
          </w:tcPr>
          <w:p w14:paraId="3593A977"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11</w:t>
            </w:r>
          </w:p>
        </w:tc>
        <w:tc>
          <w:tcPr>
            <w:tcW w:w="1303" w:type="dxa"/>
            <w:tcBorders>
              <w:top w:val="nil"/>
              <w:left w:val="single" w:sz="4" w:space="0" w:color="auto"/>
              <w:bottom w:val="nil"/>
              <w:right w:val="nil"/>
            </w:tcBorders>
            <w:shd w:val="clear" w:color="000000" w:fill="F2F2F2"/>
            <w:noWrap/>
            <w:vAlign w:val="bottom"/>
            <w:hideMark/>
          </w:tcPr>
          <w:p w14:paraId="7CD91AF6"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194</w:t>
            </w:r>
          </w:p>
        </w:tc>
        <w:tc>
          <w:tcPr>
            <w:tcW w:w="1215" w:type="dxa"/>
            <w:tcBorders>
              <w:top w:val="nil"/>
              <w:left w:val="nil"/>
              <w:bottom w:val="nil"/>
              <w:right w:val="single" w:sz="4" w:space="0" w:color="auto"/>
            </w:tcBorders>
            <w:shd w:val="clear" w:color="000000" w:fill="F2F2F2"/>
            <w:noWrap/>
            <w:vAlign w:val="bottom"/>
            <w:hideMark/>
          </w:tcPr>
          <w:p w14:paraId="2FEC3C50"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39</w:t>
            </w:r>
          </w:p>
        </w:tc>
        <w:tc>
          <w:tcPr>
            <w:tcW w:w="1276" w:type="dxa"/>
            <w:tcBorders>
              <w:top w:val="nil"/>
              <w:left w:val="nil"/>
              <w:bottom w:val="nil"/>
              <w:right w:val="single" w:sz="8" w:space="0" w:color="auto"/>
            </w:tcBorders>
            <w:shd w:val="clear" w:color="000000" w:fill="F2F2F2"/>
            <w:noWrap/>
            <w:vAlign w:val="bottom"/>
            <w:hideMark/>
          </w:tcPr>
          <w:p w14:paraId="14D2A71A"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w:t>
            </w:r>
          </w:p>
        </w:tc>
      </w:tr>
      <w:tr w:rsidR="0040017D" w:rsidRPr="00C52A9D" w14:paraId="7803671A" w14:textId="77777777" w:rsidTr="0040017D">
        <w:trPr>
          <w:trHeight w:val="300"/>
        </w:trPr>
        <w:tc>
          <w:tcPr>
            <w:tcW w:w="1157" w:type="dxa"/>
            <w:tcBorders>
              <w:top w:val="nil"/>
              <w:left w:val="single" w:sz="8" w:space="0" w:color="auto"/>
              <w:bottom w:val="single" w:sz="8" w:space="0" w:color="auto"/>
              <w:right w:val="nil"/>
            </w:tcBorders>
            <w:shd w:val="clear" w:color="000000" w:fill="F2F2F2"/>
            <w:noWrap/>
            <w:vAlign w:val="bottom"/>
            <w:hideMark/>
          </w:tcPr>
          <w:p w14:paraId="5E3B291F"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2014-19</w:t>
            </w:r>
          </w:p>
        </w:tc>
        <w:tc>
          <w:tcPr>
            <w:tcW w:w="2584" w:type="dxa"/>
            <w:tcBorders>
              <w:top w:val="nil"/>
              <w:left w:val="nil"/>
              <w:bottom w:val="single" w:sz="8" w:space="0" w:color="auto"/>
              <w:right w:val="nil"/>
            </w:tcBorders>
            <w:shd w:val="clear" w:color="000000" w:fill="F2F2F2"/>
            <w:noWrap/>
            <w:vAlign w:val="bottom"/>
            <w:hideMark/>
          </w:tcPr>
          <w:p w14:paraId="1EA56D8B"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60</w:t>
            </w:r>
          </w:p>
        </w:tc>
        <w:tc>
          <w:tcPr>
            <w:tcW w:w="2501" w:type="dxa"/>
            <w:tcBorders>
              <w:top w:val="nil"/>
              <w:left w:val="nil"/>
              <w:bottom w:val="single" w:sz="8" w:space="0" w:color="auto"/>
              <w:right w:val="nil"/>
            </w:tcBorders>
            <w:shd w:val="clear" w:color="000000" w:fill="F2F2F2"/>
            <w:noWrap/>
            <w:vAlign w:val="bottom"/>
            <w:hideMark/>
          </w:tcPr>
          <w:p w14:paraId="4B683AD2"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40</w:t>
            </w:r>
          </w:p>
        </w:tc>
        <w:tc>
          <w:tcPr>
            <w:tcW w:w="1303" w:type="dxa"/>
            <w:tcBorders>
              <w:top w:val="nil"/>
              <w:left w:val="single" w:sz="4" w:space="0" w:color="auto"/>
              <w:bottom w:val="single" w:sz="8" w:space="0" w:color="auto"/>
              <w:right w:val="nil"/>
            </w:tcBorders>
            <w:shd w:val="clear" w:color="000000" w:fill="F2F2F2"/>
            <w:noWrap/>
            <w:vAlign w:val="bottom"/>
            <w:hideMark/>
          </w:tcPr>
          <w:p w14:paraId="78A57582"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96</w:t>
            </w:r>
          </w:p>
        </w:tc>
        <w:tc>
          <w:tcPr>
            <w:tcW w:w="1215" w:type="dxa"/>
            <w:tcBorders>
              <w:top w:val="nil"/>
              <w:left w:val="nil"/>
              <w:bottom w:val="single" w:sz="8" w:space="0" w:color="auto"/>
              <w:right w:val="single" w:sz="4" w:space="0" w:color="auto"/>
            </w:tcBorders>
            <w:shd w:val="clear" w:color="000000" w:fill="F2F2F2"/>
            <w:noWrap/>
            <w:vAlign w:val="bottom"/>
            <w:hideMark/>
          </w:tcPr>
          <w:p w14:paraId="7E99F9A7"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59</w:t>
            </w:r>
          </w:p>
        </w:tc>
        <w:tc>
          <w:tcPr>
            <w:tcW w:w="1276" w:type="dxa"/>
            <w:tcBorders>
              <w:top w:val="nil"/>
              <w:left w:val="nil"/>
              <w:bottom w:val="single" w:sz="8" w:space="0" w:color="auto"/>
              <w:right w:val="single" w:sz="8" w:space="0" w:color="auto"/>
            </w:tcBorders>
            <w:shd w:val="clear" w:color="000000" w:fill="F2F2F2"/>
            <w:noWrap/>
            <w:vAlign w:val="bottom"/>
            <w:hideMark/>
          </w:tcPr>
          <w:p w14:paraId="740B7E9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1.6</w:t>
            </w:r>
          </w:p>
        </w:tc>
      </w:tr>
      <w:tr w:rsidR="0040017D" w:rsidRPr="00C52A9D" w14:paraId="04FE7018" w14:textId="77777777" w:rsidTr="0040017D">
        <w:trPr>
          <w:trHeight w:val="288"/>
        </w:trPr>
        <w:tc>
          <w:tcPr>
            <w:tcW w:w="10036" w:type="dxa"/>
            <w:gridSpan w:val="6"/>
            <w:tcBorders>
              <w:top w:val="nil"/>
              <w:left w:val="nil"/>
              <w:bottom w:val="nil"/>
              <w:right w:val="nil"/>
            </w:tcBorders>
            <w:shd w:val="clear" w:color="auto" w:fill="auto"/>
            <w:noWrap/>
            <w:vAlign w:val="bottom"/>
            <w:hideMark/>
          </w:tcPr>
          <w:p w14:paraId="359735F9"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Notes: These particular year periods have been selected for reasons of data availability.</w:t>
            </w:r>
          </w:p>
        </w:tc>
      </w:tr>
      <w:tr w:rsidR="0040017D" w:rsidRPr="00C52A9D" w14:paraId="73854C8D" w14:textId="77777777" w:rsidTr="0040017D">
        <w:trPr>
          <w:trHeight w:val="288"/>
        </w:trPr>
        <w:tc>
          <w:tcPr>
            <w:tcW w:w="3741" w:type="dxa"/>
            <w:gridSpan w:val="2"/>
            <w:tcBorders>
              <w:top w:val="nil"/>
              <w:left w:val="nil"/>
              <w:bottom w:val="nil"/>
              <w:right w:val="nil"/>
            </w:tcBorders>
            <w:shd w:val="clear" w:color="auto" w:fill="auto"/>
            <w:noWrap/>
            <w:vAlign w:val="bottom"/>
            <w:hideMark/>
          </w:tcPr>
          <w:p w14:paraId="301F0C01"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Source: HESA AOR data</w:t>
            </w:r>
          </w:p>
        </w:tc>
        <w:tc>
          <w:tcPr>
            <w:tcW w:w="2501" w:type="dxa"/>
            <w:tcBorders>
              <w:top w:val="nil"/>
              <w:left w:val="nil"/>
              <w:bottom w:val="nil"/>
              <w:right w:val="nil"/>
            </w:tcBorders>
            <w:shd w:val="clear" w:color="auto" w:fill="auto"/>
            <w:noWrap/>
            <w:vAlign w:val="bottom"/>
            <w:hideMark/>
          </w:tcPr>
          <w:p w14:paraId="321C608D" w14:textId="77777777" w:rsidR="0040017D" w:rsidRPr="00C52A9D" w:rsidRDefault="0040017D" w:rsidP="0040017D">
            <w:pPr>
              <w:spacing w:after="0" w:line="240" w:lineRule="auto"/>
              <w:rPr>
                <w:rFonts w:ascii="Calibri Light" w:eastAsia="Times New Roman" w:hAnsi="Calibri Light" w:cs="Calibri Light"/>
                <w:color w:val="000000"/>
                <w:lang w:eastAsia="en-GB"/>
              </w:rPr>
            </w:pPr>
          </w:p>
        </w:tc>
        <w:tc>
          <w:tcPr>
            <w:tcW w:w="1303" w:type="dxa"/>
            <w:tcBorders>
              <w:top w:val="nil"/>
              <w:left w:val="nil"/>
              <w:bottom w:val="nil"/>
              <w:right w:val="nil"/>
            </w:tcBorders>
            <w:shd w:val="clear" w:color="auto" w:fill="auto"/>
            <w:noWrap/>
            <w:vAlign w:val="bottom"/>
            <w:hideMark/>
          </w:tcPr>
          <w:p w14:paraId="05B0C111"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c>
          <w:tcPr>
            <w:tcW w:w="1215" w:type="dxa"/>
            <w:tcBorders>
              <w:top w:val="nil"/>
              <w:left w:val="nil"/>
              <w:bottom w:val="nil"/>
              <w:right w:val="nil"/>
            </w:tcBorders>
            <w:shd w:val="clear" w:color="auto" w:fill="auto"/>
            <w:noWrap/>
            <w:vAlign w:val="bottom"/>
            <w:hideMark/>
          </w:tcPr>
          <w:p w14:paraId="68EB535C"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c>
          <w:tcPr>
            <w:tcW w:w="1276" w:type="dxa"/>
            <w:tcBorders>
              <w:top w:val="nil"/>
              <w:left w:val="nil"/>
              <w:bottom w:val="nil"/>
              <w:right w:val="nil"/>
            </w:tcBorders>
            <w:shd w:val="clear" w:color="auto" w:fill="auto"/>
            <w:noWrap/>
            <w:vAlign w:val="bottom"/>
            <w:hideMark/>
          </w:tcPr>
          <w:p w14:paraId="26E9D461"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r>
    </w:tbl>
    <w:p w14:paraId="5539D248" w14:textId="77777777" w:rsidR="0040017D" w:rsidRDefault="0040017D" w:rsidP="00953B91">
      <w:pPr>
        <w:jc w:val="both"/>
        <w:rPr>
          <w:rFonts w:ascii="Calibri Light" w:hAnsi="Calibri Light" w:cs="Calibri Light"/>
          <w:sz w:val="28"/>
          <w:szCs w:val="28"/>
        </w:rPr>
      </w:pPr>
    </w:p>
    <w:p w14:paraId="37CE937D" w14:textId="33710B68" w:rsidR="00953B91" w:rsidRPr="00403F23" w:rsidRDefault="00953B91" w:rsidP="00953B91">
      <w:pPr>
        <w:jc w:val="both"/>
        <w:rPr>
          <w:rFonts w:ascii="Calibri Light" w:hAnsi="Calibri Light" w:cs="Calibri Light"/>
          <w:i/>
          <w:sz w:val="28"/>
          <w:szCs w:val="28"/>
        </w:rPr>
      </w:pPr>
      <w:r>
        <w:rPr>
          <w:rFonts w:ascii="Calibri Light" w:hAnsi="Calibri Light" w:cs="Calibri Light"/>
          <w:i/>
          <w:sz w:val="28"/>
          <w:szCs w:val="28"/>
        </w:rPr>
        <w:t xml:space="preserve">3.3 </w:t>
      </w:r>
      <w:r w:rsidRPr="00403F23">
        <w:rPr>
          <w:rFonts w:ascii="Calibri Light" w:hAnsi="Calibri Light" w:cs="Calibri Light"/>
          <w:i/>
          <w:sz w:val="28"/>
          <w:szCs w:val="28"/>
        </w:rPr>
        <w:t xml:space="preserve">Reasons for </w:t>
      </w:r>
      <w:r w:rsidR="009A0B0C">
        <w:rPr>
          <w:rFonts w:ascii="Calibri Light" w:hAnsi="Calibri Light" w:cs="Calibri Light"/>
          <w:i/>
          <w:sz w:val="28"/>
          <w:szCs w:val="28"/>
        </w:rPr>
        <w:t xml:space="preserve">TNE </w:t>
      </w:r>
      <w:r w:rsidRPr="00403F23">
        <w:rPr>
          <w:rFonts w:ascii="Calibri Light" w:hAnsi="Calibri Light" w:cs="Calibri Light"/>
          <w:i/>
          <w:sz w:val="28"/>
          <w:szCs w:val="28"/>
        </w:rPr>
        <w:t xml:space="preserve">enrolment slowdown </w:t>
      </w:r>
    </w:p>
    <w:p w14:paraId="0AFCFC41" w14:textId="1AB2122E" w:rsidR="00953B91" w:rsidRDefault="00B51AB6" w:rsidP="00953B91">
      <w:pPr>
        <w:jc w:val="both"/>
        <w:rPr>
          <w:rFonts w:ascii="Calibri Light" w:hAnsi="Calibri Light" w:cs="Calibri Light"/>
          <w:sz w:val="28"/>
          <w:szCs w:val="28"/>
        </w:rPr>
      </w:pPr>
      <w:r>
        <w:rPr>
          <w:rFonts w:ascii="Calibri Light" w:hAnsi="Calibri Light" w:cs="Calibri Light"/>
          <w:sz w:val="28"/>
          <w:szCs w:val="28"/>
        </w:rPr>
        <w:t xml:space="preserve">Relatively little detailed research has </w:t>
      </w:r>
      <w:r w:rsidR="00786423">
        <w:rPr>
          <w:rFonts w:ascii="Calibri Light" w:hAnsi="Calibri Light" w:cs="Calibri Light"/>
          <w:sz w:val="28"/>
          <w:szCs w:val="28"/>
        </w:rPr>
        <w:t xml:space="preserve">investigated </w:t>
      </w:r>
      <w:r>
        <w:rPr>
          <w:rFonts w:ascii="Calibri Light" w:hAnsi="Calibri Light" w:cs="Calibri Light"/>
          <w:sz w:val="28"/>
          <w:szCs w:val="28"/>
        </w:rPr>
        <w:t xml:space="preserve">the changing nature of global demand for TNE provision particularly in key national </w:t>
      </w:r>
      <w:r w:rsidR="00786423">
        <w:rPr>
          <w:rFonts w:ascii="Calibri Light" w:hAnsi="Calibri Light" w:cs="Calibri Light"/>
          <w:sz w:val="28"/>
          <w:szCs w:val="28"/>
        </w:rPr>
        <w:t xml:space="preserve">overseas </w:t>
      </w:r>
      <w:r>
        <w:rPr>
          <w:rFonts w:ascii="Calibri Light" w:hAnsi="Calibri Light" w:cs="Calibri Light"/>
          <w:sz w:val="28"/>
          <w:szCs w:val="28"/>
        </w:rPr>
        <w:t xml:space="preserve">markets during the last five years. Consequently, much of the following discussion is quite tentative and is based on a number of related propositions which require considerable </w:t>
      </w:r>
      <w:r w:rsidR="00665CA0">
        <w:rPr>
          <w:rFonts w:ascii="Calibri Light" w:hAnsi="Calibri Light" w:cs="Calibri Light"/>
          <w:sz w:val="28"/>
          <w:szCs w:val="28"/>
        </w:rPr>
        <w:t xml:space="preserve">more </w:t>
      </w:r>
      <w:r>
        <w:rPr>
          <w:rFonts w:ascii="Calibri Light" w:hAnsi="Calibri Light" w:cs="Calibri Light"/>
          <w:sz w:val="28"/>
          <w:szCs w:val="28"/>
        </w:rPr>
        <w:t xml:space="preserve">research. </w:t>
      </w:r>
      <w:r w:rsidR="009A0B0C">
        <w:rPr>
          <w:rFonts w:ascii="Calibri Light" w:hAnsi="Calibri Light" w:cs="Calibri Light"/>
          <w:sz w:val="28"/>
          <w:szCs w:val="28"/>
        </w:rPr>
        <w:t>It is clear though that t</w:t>
      </w:r>
      <w:r w:rsidR="00953B91">
        <w:rPr>
          <w:rFonts w:ascii="Calibri Light" w:hAnsi="Calibri Light" w:cs="Calibri Light"/>
          <w:sz w:val="28"/>
          <w:szCs w:val="28"/>
        </w:rPr>
        <w:t xml:space="preserve">he </w:t>
      </w:r>
      <w:r w:rsidR="00016C41">
        <w:rPr>
          <w:rFonts w:ascii="Calibri Light" w:hAnsi="Calibri Light" w:cs="Calibri Light"/>
          <w:sz w:val="28"/>
          <w:szCs w:val="28"/>
        </w:rPr>
        <w:t xml:space="preserve">most likely </w:t>
      </w:r>
      <w:r w:rsidR="00953B91">
        <w:rPr>
          <w:rFonts w:ascii="Calibri Light" w:hAnsi="Calibri Light" w:cs="Calibri Light"/>
          <w:sz w:val="28"/>
          <w:szCs w:val="28"/>
        </w:rPr>
        <w:t>reasons for this slowdown are a combination of deve</w:t>
      </w:r>
      <w:r>
        <w:rPr>
          <w:rFonts w:ascii="Calibri Light" w:hAnsi="Calibri Light" w:cs="Calibri Light"/>
          <w:sz w:val="28"/>
          <w:szCs w:val="28"/>
        </w:rPr>
        <w:t xml:space="preserve">lopments in key TNE </w:t>
      </w:r>
      <w:r w:rsidR="00953B91">
        <w:rPr>
          <w:rFonts w:ascii="Calibri Light" w:hAnsi="Calibri Light" w:cs="Calibri Light"/>
          <w:sz w:val="28"/>
          <w:szCs w:val="28"/>
        </w:rPr>
        <w:t xml:space="preserve">overseas </w:t>
      </w:r>
      <w:r>
        <w:rPr>
          <w:rFonts w:ascii="Calibri Light" w:hAnsi="Calibri Light" w:cs="Calibri Light"/>
          <w:sz w:val="28"/>
          <w:szCs w:val="28"/>
        </w:rPr>
        <w:t xml:space="preserve">markets </w:t>
      </w:r>
      <w:r w:rsidR="00953B91">
        <w:rPr>
          <w:rFonts w:ascii="Calibri Light" w:hAnsi="Calibri Light" w:cs="Calibri Light"/>
          <w:sz w:val="28"/>
          <w:szCs w:val="28"/>
        </w:rPr>
        <w:t>and the changing attitudes and behaviours of UK university offshore providers.</w:t>
      </w:r>
    </w:p>
    <w:p w14:paraId="743A8264" w14:textId="77777777" w:rsidR="00156AAE" w:rsidRDefault="00156AAE">
      <w:pPr>
        <w:rPr>
          <w:rFonts w:ascii="Calibri Light" w:hAnsi="Calibri Light" w:cs="Calibri Light"/>
          <w:i/>
          <w:sz w:val="28"/>
          <w:szCs w:val="28"/>
        </w:rPr>
      </w:pPr>
      <w:r>
        <w:rPr>
          <w:rFonts w:ascii="Calibri Light" w:hAnsi="Calibri Light" w:cs="Calibri Light"/>
          <w:i/>
          <w:sz w:val="28"/>
          <w:szCs w:val="28"/>
        </w:rPr>
        <w:br w:type="page"/>
      </w:r>
    </w:p>
    <w:p w14:paraId="6DAAB0D9" w14:textId="7AB105DA" w:rsidR="00016C41" w:rsidRPr="009A0B0C" w:rsidRDefault="00016C41" w:rsidP="00BE0AE9">
      <w:pPr>
        <w:rPr>
          <w:rFonts w:ascii="Calibri Light" w:hAnsi="Calibri Light" w:cs="Calibri Light"/>
          <w:i/>
          <w:sz w:val="28"/>
          <w:szCs w:val="28"/>
        </w:rPr>
      </w:pPr>
      <w:r w:rsidRPr="009A0B0C">
        <w:rPr>
          <w:rFonts w:ascii="Calibri Light" w:hAnsi="Calibri Light" w:cs="Calibri Light"/>
          <w:i/>
          <w:sz w:val="28"/>
          <w:szCs w:val="28"/>
        </w:rPr>
        <w:lastRenderedPageBreak/>
        <w:t>Market growth constraints</w:t>
      </w:r>
    </w:p>
    <w:p w14:paraId="70E3829C" w14:textId="0CA0D3C6" w:rsidR="00147185" w:rsidRDefault="009A0B0C" w:rsidP="00E114E2">
      <w:pPr>
        <w:jc w:val="both"/>
        <w:rPr>
          <w:rFonts w:ascii="Calibri Light" w:hAnsi="Calibri Light" w:cs="Calibri Light"/>
          <w:sz w:val="28"/>
          <w:szCs w:val="28"/>
        </w:rPr>
      </w:pPr>
      <w:r>
        <w:rPr>
          <w:rFonts w:ascii="Calibri Light" w:hAnsi="Calibri Light" w:cs="Calibri Light"/>
          <w:sz w:val="28"/>
          <w:szCs w:val="28"/>
        </w:rPr>
        <w:t>The prevailing c</w:t>
      </w:r>
      <w:r w:rsidR="00147185">
        <w:rPr>
          <w:rFonts w:ascii="Calibri Light" w:hAnsi="Calibri Light" w:cs="Calibri Light"/>
          <w:sz w:val="28"/>
          <w:szCs w:val="28"/>
        </w:rPr>
        <w:t xml:space="preserve">onditions for </w:t>
      </w:r>
      <w:r w:rsidR="00665CA0">
        <w:rPr>
          <w:rFonts w:ascii="Calibri Light" w:hAnsi="Calibri Light" w:cs="Calibri Light"/>
          <w:sz w:val="28"/>
          <w:szCs w:val="28"/>
        </w:rPr>
        <w:t xml:space="preserve">sustained </w:t>
      </w:r>
      <w:r w:rsidR="00147185">
        <w:rPr>
          <w:rFonts w:ascii="Calibri Light" w:hAnsi="Calibri Light" w:cs="Calibri Light"/>
          <w:sz w:val="28"/>
          <w:szCs w:val="28"/>
        </w:rPr>
        <w:t xml:space="preserve">TNE </w:t>
      </w:r>
      <w:r w:rsidR="003D3B1C">
        <w:rPr>
          <w:rFonts w:ascii="Calibri Light" w:hAnsi="Calibri Light" w:cs="Calibri Light"/>
          <w:sz w:val="28"/>
          <w:szCs w:val="28"/>
        </w:rPr>
        <w:t xml:space="preserve">enrolment expansion </w:t>
      </w:r>
      <w:r w:rsidR="00147185">
        <w:rPr>
          <w:rFonts w:ascii="Calibri Light" w:hAnsi="Calibri Light" w:cs="Calibri Light"/>
          <w:sz w:val="28"/>
          <w:szCs w:val="28"/>
        </w:rPr>
        <w:t>are generally unfavourable in most of the world</w:t>
      </w:r>
      <w:r w:rsidR="00615A58">
        <w:rPr>
          <w:rFonts w:ascii="Calibri Light" w:hAnsi="Calibri Light" w:cs="Calibri Light"/>
          <w:sz w:val="28"/>
          <w:szCs w:val="28"/>
        </w:rPr>
        <w:t xml:space="preserve">. The key constraints are </w:t>
      </w:r>
      <w:r>
        <w:rPr>
          <w:rFonts w:ascii="Calibri Light" w:hAnsi="Calibri Light" w:cs="Calibri Light"/>
          <w:sz w:val="28"/>
          <w:szCs w:val="28"/>
        </w:rPr>
        <w:t xml:space="preserve">the </w:t>
      </w:r>
      <w:r w:rsidR="00452AC8">
        <w:rPr>
          <w:rFonts w:ascii="Calibri Light" w:hAnsi="Calibri Light" w:cs="Calibri Light"/>
          <w:sz w:val="28"/>
          <w:szCs w:val="28"/>
        </w:rPr>
        <w:t xml:space="preserve">almost total </w:t>
      </w:r>
      <w:r>
        <w:rPr>
          <w:rFonts w:ascii="Calibri Light" w:hAnsi="Calibri Light" w:cs="Calibri Light"/>
          <w:sz w:val="28"/>
          <w:szCs w:val="28"/>
        </w:rPr>
        <w:t xml:space="preserve">reliance on English as the main medium of instruction, </w:t>
      </w:r>
      <w:r w:rsidR="003D3B1C">
        <w:rPr>
          <w:rFonts w:ascii="Calibri Light" w:hAnsi="Calibri Light" w:cs="Calibri Light"/>
          <w:sz w:val="28"/>
          <w:szCs w:val="28"/>
        </w:rPr>
        <w:t xml:space="preserve">the limited </w:t>
      </w:r>
      <w:r w:rsidR="00F73E94">
        <w:rPr>
          <w:rFonts w:ascii="Calibri Light" w:hAnsi="Calibri Light" w:cs="Calibri Light"/>
          <w:sz w:val="28"/>
          <w:szCs w:val="28"/>
        </w:rPr>
        <w:t>(</w:t>
      </w:r>
      <w:r w:rsidR="003D3B1C">
        <w:rPr>
          <w:rFonts w:ascii="Calibri Light" w:hAnsi="Calibri Light" w:cs="Calibri Light"/>
          <w:sz w:val="28"/>
          <w:szCs w:val="28"/>
        </w:rPr>
        <w:t>effective</w:t>
      </w:r>
      <w:r w:rsidR="00F73E94">
        <w:rPr>
          <w:rFonts w:ascii="Calibri Light" w:hAnsi="Calibri Light" w:cs="Calibri Light"/>
          <w:sz w:val="28"/>
          <w:szCs w:val="28"/>
        </w:rPr>
        <w:t>)</w:t>
      </w:r>
      <w:r w:rsidR="003D3B1C">
        <w:rPr>
          <w:rFonts w:ascii="Calibri Light" w:hAnsi="Calibri Light" w:cs="Calibri Light"/>
          <w:sz w:val="28"/>
          <w:szCs w:val="28"/>
        </w:rPr>
        <w:t xml:space="preserve"> demand</w:t>
      </w:r>
      <w:r w:rsidR="00615A58">
        <w:rPr>
          <w:rFonts w:ascii="Calibri Light" w:hAnsi="Calibri Light" w:cs="Calibri Light"/>
          <w:sz w:val="28"/>
          <w:szCs w:val="28"/>
        </w:rPr>
        <w:t xml:space="preserve"> for TNE courses</w:t>
      </w:r>
      <w:r w:rsidR="003D3B1C">
        <w:rPr>
          <w:rFonts w:ascii="Calibri Light" w:hAnsi="Calibri Light" w:cs="Calibri Light"/>
          <w:sz w:val="28"/>
          <w:szCs w:val="28"/>
        </w:rPr>
        <w:t xml:space="preserve"> in many countries both in relation to population size</w:t>
      </w:r>
      <w:r w:rsidR="00F73E94">
        <w:rPr>
          <w:rFonts w:ascii="Calibri Light" w:hAnsi="Calibri Light" w:cs="Calibri Light"/>
          <w:sz w:val="28"/>
          <w:szCs w:val="28"/>
        </w:rPr>
        <w:t xml:space="preserve">, overall </w:t>
      </w:r>
      <w:r w:rsidR="00452AC8">
        <w:rPr>
          <w:rFonts w:ascii="Calibri Light" w:hAnsi="Calibri Light" w:cs="Calibri Light"/>
          <w:sz w:val="28"/>
          <w:szCs w:val="28"/>
        </w:rPr>
        <w:t xml:space="preserve">economic development </w:t>
      </w:r>
      <w:r w:rsidR="003D3B1C">
        <w:rPr>
          <w:rFonts w:ascii="Calibri Light" w:hAnsi="Calibri Light" w:cs="Calibri Light"/>
          <w:sz w:val="28"/>
          <w:szCs w:val="28"/>
        </w:rPr>
        <w:t>and the affordability of private higher education</w:t>
      </w:r>
      <w:r w:rsidR="00615A58">
        <w:rPr>
          <w:rFonts w:ascii="Calibri Light" w:hAnsi="Calibri Light" w:cs="Calibri Light"/>
          <w:sz w:val="28"/>
          <w:szCs w:val="28"/>
        </w:rPr>
        <w:t xml:space="preserve">, </w:t>
      </w:r>
      <w:r w:rsidR="00F73E94">
        <w:rPr>
          <w:rFonts w:ascii="Calibri Light" w:hAnsi="Calibri Light" w:cs="Calibri Light"/>
          <w:sz w:val="28"/>
          <w:szCs w:val="28"/>
        </w:rPr>
        <w:t xml:space="preserve">restrictive </w:t>
      </w:r>
      <w:r w:rsidR="00147185">
        <w:rPr>
          <w:rFonts w:ascii="Calibri Light" w:hAnsi="Calibri Light" w:cs="Calibri Light"/>
          <w:sz w:val="28"/>
          <w:szCs w:val="28"/>
        </w:rPr>
        <w:t>government regulation</w:t>
      </w:r>
      <w:r w:rsidR="003D3B1C">
        <w:rPr>
          <w:rFonts w:ascii="Calibri Light" w:hAnsi="Calibri Light" w:cs="Calibri Light"/>
          <w:sz w:val="28"/>
          <w:szCs w:val="28"/>
        </w:rPr>
        <w:t xml:space="preserve"> </w:t>
      </w:r>
      <w:r w:rsidR="00665CA0">
        <w:rPr>
          <w:rFonts w:ascii="Calibri Light" w:hAnsi="Calibri Light" w:cs="Calibri Light"/>
          <w:sz w:val="28"/>
          <w:szCs w:val="28"/>
        </w:rPr>
        <w:t xml:space="preserve">especially </w:t>
      </w:r>
      <w:r w:rsidR="003D3B1C">
        <w:rPr>
          <w:rFonts w:ascii="Calibri Light" w:hAnsi="Calibri Light" w:cs="Calibri Light"/>
          <w:sz w:val="28"/>
          <w:szCs w:val="28"/>
        </w:rPr>
        <w:t>in South Asia</w:t>
      </w:r>
      <w:r w:rsidR="00452AC8">
        <w:rPr>
          <w:rFonts w:ascii="Calibri Light" w:hAnsi="Calibri Light" w:cs="Calibri Light"/>
          <w:sz w:val="28"/>
          <w:szCs w:val="28"/>
        </w:rPr>
        <w:t xml:space="preserve"> and</w:t>
      </w:r>
      <w:r w:rsidR="00F73E94">
        <w:rPr>
          <w:rFonts w:ascii="Calibri Light" w:hAnsi="Calibri Light" w:cs="Calibri Light"/>
          <w:sz w:val="28"/>
          <w:szCs w:val="28"/>
        </w:rPr>
        <w:t xml:space="preserve">, increasingly, in </w:t>
      </w:r>
      <w:r w:rsidR="00452AC8">
        <w:rPr>
          <w:rFonts w:ascii="Calibri Light" w:hAnsi="Calibri Light" w:cs="Calibri Light"/>
          <w:sz w:val="28"/>
          <w:szCs w:val="28"/>
        </w:rPr>
        <w:t>China and</w:t>
      </w:r>
      <w:r w:rsidR="00F73E94">
        <w:rPr>
          <w:rFonts w:ascii="Calibri Light" w:hAnsi="Calibri Light" w:cs="Calibri Light"/>
          <w:sz w:val="28"/>
          <w:szCs w:val="28"/>
        </w:rPr>
        <w:t xml:space="preserve"> South East Asia</w:t>
      </w:r>
      <w:r w:rsidR="00147185">
        <w:rPr>
          <w:rFonts w:ascii="Calibri Light" w:hAnsi="Calibri Light" w:cs="Calibri Light"/>
          <w:sz w:val="28"/>
          <w:szCs w:val="28"/>
        </w:rPr>
        <w:t>, the lack of suitable private sector partners</w:t>
      </w:r>
      <w:r w:rsidR="00452AC8">
        <w:rPr>
          <w:rFonts w:ascii="Calibri Light" w:hAnsi="Calibri Light" w:cs="Calibri Light"/>
          <w:sz w:val="28"/>
          <w:szCs w:val="28"/>
        </w:rPr>
        <w:t xml:space="preserve"> (especially in low-income developing countries)</w:t>
      </w:r>
      <w:r w:rsidR="00665CA0">
        <w:rPr>
          <w:rFonts w:ascii="Calibri Light" w:hAnsi="Calibri Light" w:cs="Calibri Light"/>
          <w:sz w:val="28"/>
          <w:szCs w:val="28"/>
        </w:rPr>
        <w:t>,</w:t>
      </w:r>
      <w:r w:rsidR="00452AC8">
        <w:rPr>
          <w:rFonts w:ascii="Calibri Light" w:hAnsi="Calibri Light" w:cs="Calibri Light"/>
          <w:sz w:val="28"/>
          <w:szCs w:val="28"/>
        </w:rPr>
        <w:t xml:space="preserve"> </w:t>
      </w:r>
      <w:r w:rsidR="00147185">
        <w:rPr>
          <w:rFonts w:ascii="Calibri Light" w:hAnsi="Calibri Light" w:cs="Calibri Light"/>
          <w:sz w:val="28"/>
          <w:szCs w:val="28"/>
        </w:rPr>
        <w:t>and intensifying competition</w:t>
      </w:r>
      <w:r w:rsidR="00452AC8">
        <w:rPr>
          <w:rFonts w:ascii="Calibri Light" w:hAnsi="Calibri Light" w:cs="Calibri Light"/>
          <w:sz w:val="28"/>
          <w:szCs w:val="28"/>
        </w:rPr>
        <w:t xml:space="preserve"> </w:t>
      </w:r>
      <w:r w:rsidR="00F73E94">
        <w:rPr>
          <w:rFonts w:ascii="Calibri Light" w:hAnsi="Calibri Light" w:cs="Calibri Light"/>
          <w:sz w:val="28"/>
          <w:szCs w:val="28"/>
        </w:rPr>
        <w:t xml:space="preserve">from </w:t>
      </w:r>
      <w:r w:rsidR="00665CA0">
        <w:rPr>
          <w:rFonts w:ascii="Calibri Light" w:hAnsi="Calibri Light" w:cs="Calibri Light"/>
          <w:sz w:val="28"/>
          <w:szCs w:val="28"/>
        </w:rPr>
        <w:t>expanding, both (</w:t>
      </w:r>
      <w:r w:rsidR="00452AC8">
        <w:rPr>
          <w:rFonts w:ascii="Calibri Light" w:hAnsi="Calibri Light" w:cs="Calibri Light"/>
          <w:sz w:val="28"/>
          <w:szCs w:val="28"/>
        </w:rPr>
        <w:t>heavily subsidised</w:t>
      </w:r>
      <w:r w:rsidR="00665CA0">
        <w:rPr>
          <w:rFonts w:ascii="Calibri Light" w:hAnsi="Calibri Light" w:cs="Calibri Light"/>
          <w:sz w:val="28"/>
          <w:szCs w:val="28"/>
        </w:rPr>
        <w:t>)</w:t>
      </w:r>
      <w:r w:rsidR="00452AC8">
        <w:rPr>
          <w:rFonts w:ascii="Calibri Light" w:hAnsi="Calibri Light" w:cs="Calibri Light"/>
          <w:sz w:val="28"/>
          <w:szCs w:val="28"/>
        </w:rPr>
        <w:t xml:space="preserve"> pu</w:t>
      </w:r>
      <w:r w:rsidR="00F73E94">
        <w:rPr>
          <w:rFonts w:ascii="Calibri Light" w:hAnsi="Calibri Light" w:cs="Calibri Light"/>
          <w:sz w:val="28"/>
          <w:szCs w:val="28"/>
        </w:rPr>
        <w:t xml:space="preserve">blic higher education and </w:t>
      </w:r>
      <w:r w:rsidR="00452AC8">
        <w:rPr>
          <w:rFonts w:ascii="Calibri Light" w:hAnsi="Calibri Light" w:cs="Calibri Light"/>
          <w:sz w:val="28"/>
          <w:szCs w:val="28"/>
        </w:rPr>
        <w:t xml:space="preserve">maturing private sector providers. </w:t>
      </w:r>
    </w:p>
    <w:p w14:paraId="6BBAA9FE" w14:textId="36922FAA" w:rsidR="00615A58" w:rsidRDefault="003D3B1C" w:rsidP="00E114E2">
      <w:pPr>
        <w:jc w:val="both"/>
        <w:rPr>
          <w:rFonts w:ascii="Calibri Light" w:hAnsi="Calibri Light" w:cs="Calibri Light"/>
          <w:sz w:val="28"/>
          <w:szCs w:val="28"/>
        </w:rPr>
      </w:pPr>
      <w:r>
        <w:rPr>
          <w:rFonts w:ascii="Calibri Light" w:hAnsi="Calibri Light" w:cs="Calibri Light"/>
          <w:sz w:val="28"/>
          <w:szCs w:val="28"/>
        </w:rPr>
        <w:t xml:space="preserve">Among the </w:t>
      </w:r>
      <w:r w:rsidR="00147185">
        <w:rPr>
          <w:rFonts w:ascii="Calibri Light" w:hAnsi="Calibri Light" w:cs="Calibri Light"/>
          <w:sz w:val="28"/>
          <w:szCs w:val="28"/>
        </w:rPr>
        <w:t>10 or so countries which account for three-quarter</w:t>
      </w:r>
      <w:r>
        <w:rPr>
          <w:rFonts w:ascii="Calibri Light" w:hAnsi="Calibri Light" w:cs="Calibri Light"/>
          <w:sz w:val="28"/>
          <w:szCs w:val="28"/>
        </w:rPr>
        <w:t>s</w:t>
      </w:r>
      <w:r w:rsidR="00147185">
        <w:rPr>
          <w:rFonts w:ascii="Calibri Light" w:hAnsi="Calibri Light" w:cs="Calibri Light"/>
          <w:sz w:val="28"/>
          <w:szCs w:val="28"/>
        </w:rPr>
        <w:t xml:space="preserve"> of UK offshore enrolments, t</w:t>
      </w:r>
      <w:r w:rsidR="00016C41">
        <w:rPr>
          <w:rFonts w:ascii="Calibri Light" w:hAnsi="Calibri Light" w:cs="Calibri Light"/>
          <w:sz w:val="28"/>
          <w:szCs w:val="28"/>
        </w:rPr>
        <w:t xml:space="preserve">he initial market conditions that led to a surge of offshore enrolments 25-20 years ago are changing, often quite rapidly. The </w:t>
      </w:r>
      <w:r w:rsidR="00F73E94">
        <w:rPr>
          <w:rFonts w:ascii="Calibri Light" w:hAnsi="Calibri Light" w:cs="Calibri Light"/>
          <w:sz w:val="28"/>
          <w:szCs w:val="28"/>
        </w:rPr>
        <w:t xml:space="preserve">overall </w:t>
      </w:r>
      <w:r w:rsidR="00016C41">
        <w:rPr>
          <w:rFonts w:ascii="Calibri Light" w:hAnsi="Calibri Light" w:cs="Calibri Light"/>
          <w:sz w:val="28"/>
          <w:szCs w:val="28"/>
        </w:rPr>
        <w:t xml:space="preserve">size of </w:t>
      </w:r>
      <w:r>
        <w:rPr>
          <w:rFonts w:ascii="Calibri Light" w:hAnsi="Calibri Light" w:cs="Calibri Light"/>
          <w:sz w:val="28"/>
          <w:szCs w:val="28"/>
        </w:rPr>
        <w:t xml:space="preserve">most </w:t>
      </w:r>
      <w:r w:rsidR="00016C41">
        <w:rPr>
          <w:rFonts w:ascii="Calibri Light" w:hAnsi="Calibri Light" w:cs="Calibri Light"/>
          <w:sz w:val="28"/>
          <w:szCs w:val="28"/>
        </w:rPr>
        <w:t>domestic markets is generally not sufficiently large to be</w:t>
      </w:r>
      <w:r w:rsidR="00F73E94">
        <w:rPr>
          <w:rFonts w:ascii="Calibri Light" w:hAnsi="Calibri Light" w:cs="Calibri Light"/>
          <w:sz w:val="28"/>
          <w:szCs w:val="28"/>
        </w:rPr>
        <w:t xml:space="preserve"> able to support continued </w:t>
      </w:r>
      <w:r w:rsidR="00016C41">
        <w:rPr>
          <w:rFonts w:ascii="Calibri Light" w:hAnsi="Calibri Light" w:cs="Calibri Light"/>
          <w:sz w:val="28"/>
          <w:szCs w:val="28"/>
        </w:rPr>
        <w:t xml:space="preserve">high enrolment growth especially where there has been a </w:t>
      </w:r>
      <w:r>
        <w:rPr>
          <w:rFonts w:ascii="Calibri Light" w:hAnsi="Calibri Light" w:cs="Calibri Light"/>
          <w:sz w:val="28"/>
          <w:szCs w:val="28"/>
        </w:rPr>
        <w:t>particularly stro</w:t>
      </w:r>
      <w:r w:rsidR="00665CA0">
        <w:rPr>
          <w:rFonts w:ascii="Calibri Light" w:hAnsi="Calibri Light" w:cs="Calibri Light"/>
          <w:sz w:val="28"/>
          <w:szCs w:val="28"/>
        </w:rPr>
        <w:t xml:space="preserve">ng reliance on one </w:t>
      </w:r>
      <w:r w:rsidR="009C02A4">
        <w:rPr>
          <w:rFonts w:ascii="Calibri Light" w:hAnsi="Calibri Light" w:cs="Calibri Light"/>
          <w:sz w:val="28"/>
          <w:szCs w:val="28"/>
        </w:rPr>
        <w:t xml:space="preserve">ethnic minority or other niche client group. The relatively high cost of private university education is also a major constraint since it is only affordable for a small minority of the population. This is particularly the case for </w:t>
      </w:r>
      <w:r>
        <w:rPr>
          <w:rFonts w:ascii="Calibri Light" w:hAnsi="Calibri Light" w:cs="Calibri Light"/>
          <w:sz w:val="28"/>
          <w:szCs w:val="28"/>
        </w:rPr>
        <w:t xml:space="preserve">TNE </w:t>
      </w:r>
      <w:r w:rsidR="009C02A4">
        <w:rPr>
          <w:rFonts w:ascii="Calibri Light" w:hAnsi="Calibri Light" w:cs="Calibri Light"/>
          <w:sz w:val="28"/>
          <w:szCs w:val="28"/>
        </w:rPr>
        <w:t xml:space="preserve">provision </w:t>
      </w:r>
      <w:r w:rsidR="00615A58">
        <w:rPr>
          <w:rFonts w:ascii="Calibri Light" w:hAnsi="Calibri Light" w:cs="Calibri Light"/>
          <w:sz w:val="28"/>
          <w:szCs w:val="28"/>
        </w:rPr>
        <w:t xml:space="preserve">at </w:t>
      </w:r>
      <w:r w:rsidR="009C02A4">
        <w:rPr>
          <w:rFonts w:ascii="Calibri Light" w:hAnsi="Calibri Light" w:cs="Calibri Light"/>
          <w:sz w:val="28"/>
          <w:szCs w:val="28"/>
        </w:rPr>
        <w:t>overseas branch campuses and also overseas distance learning degree courses</w:t>
      </w:r>
      <w:r w:rsidR="00615A58">
        <w:rPr>
          <w:rFonts w:ascii="Calibri Light" w:hAnsi="Calibri Light" w:cs="Calibri Light"/>
          <w:sz w:val="28"/>
          <w:szCs w:val="28"/>
        </w:rPr>
        <w:t xml:space="preserve"> </w:t>
      </w:r>
      <w:r w:rsidR="00665CA0">
        <w:rPr>
          <w:rFonts w:ascii="Calibri Light" w:hAnsi="Calibri Light" w:cs="Calibri Light"/>
          <w:sz w:val="28"/>
          <w:szCs w:val="28"/>
        </w:rPr>
        <w:t xml:space="preserve">both of which have </w:t>
      </w:r>
      <w:r w:rsidR="00615A58">
        <w:rPr>
          <w:rFonts w:ascii="Calibri Light" w:hAnsi="Calibri Light" w:cs="Calibri Light"/>
          <w:sz w:val="28"/>
          <w:szCs w:val="28"/>
        </w:rPr>
        <w:t>relatively high course fees</w:t>
      </w:r>
      <w:r w:rsidR="009C02A4">
        <w:rPr>
          <w:rFonts w:ascii="Calibri Light" w:hAnsi="Calibri Light" w:cs="Calibri Light"/>
          <w:sz w:val="28"/>
          <w:szCs w:val="28"/>
        </w:rPr>
        <w:t xml:space="preserve">. </w:t>
      </w:r>
    </w:p>
    <w:p w14:paraId="00FB6F41" w14:textId="078AB4CA" w:rsidR="00647E12" w:rsidRDefault="009C02A4" w:rsidP="00E114E2">
      <w:pPr>
        <w:jc w:val="both"/>
        <w:rPr>
          <w:rFonts w:ascii="Calibri Light" w:hAnsi="Calibri Light" w:cs="Calibri Light"/>
          <w:sz w:val="28"/>
          <w:szCs w:val="28"/>
        </w:rPr>
      </w:pPr>
      <w:r>
        <w:rPr>
          <w:rFonts w:ascii="Calibri Light" w:hAnsi="Calibri Light" w:cs="Calibri Light"/>
          <w:sz w:val="28"/>
          <w:szCs w:val="28"/>
        </w:rPr>
        <w:t>The goal of becoming regional education hubs capable of attracting large numbers of foreign students has also been much harder to achieve than originally anticipated</w:t>
      </w:r>
      <w:r>
        <w:rPr>
          <w:rStyle w:val="FootnoteReference"/>
          <w:rFonts w:ascii="Calibri Light" w:hAnsi="Calibri Light" w:cs="Calibri Light"/>
          <w:sz w:val="28"/>
          <w:szCs w:val="28"/>
        </w:rPr>
        <w:footnoteReference w:id="11"/>
      </w:r>
      <w:r>
        <w:rPr>
          <w:rFonts w:ascii="Calibri Light" w:hAnsi="Calibri Light" w:cs="Calibri Light"/>
          <w:sz w:val="28"/>
          <w:szCs w:val="28"/>
        </w:rPr>
        <w:t xml:space="preserve"> </w:t>
      </w:r>
      <w:r w:rsidR="00647E12">
        <w:rPr>
          <w:rFonts w:ascii="Calibri Light" w:hAnsi="Calibri Light" w:cs="Calibri Light"/>
          <w:sz w:val="28"/>
          <w:szCs w:val="28"/>
        </w:rPr>
        <w:t>in the face of i</w:t>
      </w:r>
      <w:r>
        <w:rPr>
          <w:rFonts w:ascii="Calibri Light" w:hAnsi="Calibri Light" w:cs="Calibri Light"/>
          <w:sz w:val="28"/>
          <w:szCs w:val="28"/>
        </w:rPr>
        <w:t>ntens</w:t>
      </w:r>
      <w:r w:rsidR="00665CA0">
        <w:rPr>
          <w:rFonts w:ascii="Calibri Light" w:hAnsi="Calibri Light" w:cs="Calibri Light"/>
          <w:sz w:val="28"/>
          <w:szCs w:val="28"/>
        </w:rPr>
        <w:t xml:space="preserve">ifying </w:t>
      </w:r>
      <w:r>
        <w:rPr>
          <w:rFonts w:ascii="Calibri Light" w:hAnsi="Calibri Light" w:cs="Calibri Light"/>
          <w:sz w:val="28"/>
          <w:szCs w:val="28"/>
        </w:rPr>
        <w:t xml:space="preserve">global competition for overseas students from both the major, established countries </w:t>
      </w:r>
      <w:r w:rsidR="00665CA0">
        <w:rPr>
          <w:rFonts w:ascii="Calibri Light" w:hAnsi="Calibri Light" w:cs="Calibri Light"/>
          <w:sz w:val="28"/>
          <w:szCs w:val="28"/>
        </w:rPr>
        <w:t>(</w:t>
      </w:r>
      <w:r>
        <w:rPr>
          <w:rFonts w:ascii="Calibri Light" w:hAnsi="Calibri Light" w:cs="Calibri Light"/>
          <w:sz w:val="28"/>
          <w:szCs w:val="28"/>
        </w:rPr>
        <w:t>mostly notably the US, UK and Australia</w:t>
      </w:r>
      <w:r w:rsidR="00665CA0">
        <w:rPr>
          <w:rFonts w:ascii="Calibri Light" w:hAnsi="Calibri Light" w:cs="Calibri Light"/>
          <w:sz w:val="28"/>
          <w:szCs w:val="28"/>
        </w:rPr>
        <w:t>)</w:t>
      </w:r>
      <w:r w:rsidR="00647E12">
        <w:rPr>
          <w:rFonts w:ascii="Calibri Light" w:hAnsi="Calibri Light" w:cs="Calibri Light"/>
          <w:sz w:val="28"/>
          <w:szCs w:val="28"/>
        </w:rPr>
        <w:t xml:space="preserve"> but also new entrants </w:t>
      </w:r>
      <w:r w:rsidR="00665CA0">
        <w:rPr>
          <w:rFonts w:ascii="Calibri Light" w:hAnsi="Calibri Light" w:cs="Calibri Light"/>
          <w:sz w:val="28"/>
          <w:szCs w:val="28"/>
        </w:rPr>
        <w:t xml:space="preserve">including China, </w:t>
      </w:r>
      <w:r w:rsidR="00647E12">
        <w:rPr>
          <w:rFonts w:ascii="Calibri Light" w:hAnsi="Calibri Light" w:cs="Calibri Light"/>
          <w:sz w:val="28"/>
          <w:szCs w:val="28"/>
        </w:rPr>
        <w:t>India</w:t>
      </w:r>
      <w:r w:rsidR="00665CA0">
        <w:rPr>
          <w:rFonts w:ascii="Calibri Light" w:hAnsi="Calibri Light" w:cs="Calibri Light"/>
          <w:sz w:val="28"/>
          <w:szCs w:val="28"/>
        </w:rPr>
        <w:t xml:space="preserve"> and Singapore</w:t>
      </w:r>
      <w:r w:rsidR="00647E12">
        <w:rPr>
          <w:rFonts w:ascii="Calibri Light" w:hAnsi="Calibri Light" w:cs="Calibri Light"/>
          <w:sz w:val="28"/>
          <w:szCs w:val="28"/>
        </w:rPr>
        <w:t>.</w:t>
      </w:r>
    </w:p>
    <w:p w14:paraId="7D03D503" w14:textId="1D83D603" w:rsidR="00647E12" w:rsidRPr="00B84A66" w:rsidRDefault="00665CA0" w:rsidP="00647E12">
      <w:pPr>
        <w:jc w:val="both"/>
        <w:rPr>
          <w:rFonts w:ascii="Calibri Light" w:hAnsi="Calibri Light" w:cs="Calibri Light"/>
          <w:sz w:val="28"/>
          <w:szCs w:val="28"/>
        </w:rPr>
      </w:pPr>
      <w:r>
        <w:rPr>
          <w:rFonts w:ascii="Calibri Light" w:hAnsi="Calibri Light" w:cs="Calibri Light"/>
          <w:sz w:val="28"/>
          <w:szCs w:val="28"/>
        </w:rPr>
        <w:t xml:space="preserve">The </w:t>
      </w:r>
      <w:r w:rsidR="00647E12">
        <w:rPr>
          <w:rFonts w:ascii="Calibri Light" w:hAnsi="Calibri Light" w:cs="Calibri Light"/>
          <w:sz w:val="28"/>
          <w:szCs w:val="28"/>
        </w:rPr>
        <w:t>surge in TNE enrolments</w:t>
      </w:r>
      <w:r w:rsidR="00640E9C">
        <w:rPr>
          <w:rFonts w:ascii="Calibri Light" w:hAnsi="Calibri Light" w:cs="Calibri Light"/>
          <w:sz w:val="28"/>
          <w:szCs w:val="28"/>
        </w:rPr>
        <w:t xml:space="preserve"> (for both UK and Australian universities)</w:t>
      </w:r>
      <w:r>
        <w:rPr>
          <w:rFonts w:ascii="Calibri Light" w:hAnsi="Calibri Light" w:cs="Calibri Light"/>
          <w:sz w:val="28"/>
          <w:szCs w:val="28"/>
        </w:rPr>
        <w:t xml:space="preserve"> from the mid-1990s up until the early 2010s</w:t>
      </w:r>
      <w:r w:rsidR="00647E12">
        <w:rPr>
          <w:rFonts w:ascii="Calibri Light" w:hAnsi="Calibri Light" w:cs="Calibri Light"/>
          <w:sz w:val="28"/>
          <w:szCs w:val="28"/>
        </w:rPr>
        <w:t xml:space="preserve"> was </w:t>
      </w:r>
      <w:r w:rsidR="00640E9C">
        <w:rPr>
          <w:rFonts w:ascii="Calibri Light" w:hAnsi="Calibri Light" w:cs="Calibri Light"/>
          <w:sz w:val="28"/>
          <w:szCs w:val="28"/>
        </w:rPr>
        <w:t>strongly d</w:t>
      </w:r>
      <w:r w:rsidR="00647E12">
        <w:rPr>
          <w:rFonts w:ascii="Calibri Light" w:hAnsi="Calibri Light" w:cs="Calibri Light"/>
          <w:sz w:val="28"/>
          <w:szCs w:val="28"/>
        </w:rPr>
        <w:t xml:space="preserve">riven by three countries/jurisdictions, </w:t>
      </w:r>
      <w:r w:rsidR="00615A58">
        <w:rPr>
          <w:rFonts w:ascii="Calibri Light" w:hAnsi="Calibri Light" w:cs="Calibri Light"/>
          <w:sz w:val="28"/>
          <w:szCs w:val="28"/>
        </w:rPr>
        <w:t xml:space="preserve">namely </w:t>
      </w:r>
      <w:r w:rsidR="00647E12">
        <w:rPr>
          <w:rFonts w:ascii="Calibri Light" w:hAnsi="Calibri Light" w:cs="Calibri Light"/>
          <w:sz w:val="28"/>
          <w:szCs w:val="28"/>
        </w:rPr>
        <w:t>Hong Kong, Malaysia and Singapore (HMS). As these markets have matured</w:t>
      </w:r>
      <w:r w:rsidR="00647E12" w:rsidRPr="00B84A66">
        <w:rPr>
          <w:rFonts w:ascii="Calibri Light" w:hAnsi="Calibri Light" w:cs="Calibri Light"/>
          <w:sz w:val="28"/>
          <w:szCs w:val="28"/>
        </w:rPr>
        <w:t xml:space="preserve">, </w:t>
      </w:r>
      <w:r w:rsidR="00647E12">
        <w:rPr>
          <w:rFonts w:ascii="Calibri Light" w:hAnsi="Calibri Light" w:cs="Calibri Light"/>
          <w:sz w:val="28"/>
          <w:szCs w:val="28"/>
        </w:rPr>
        <w:t xml:space="preserve">a </w:t>
      </w:r>
      <w:r w:rsidR="00647E12" w:rsidRPr="00B84A66">
        <w:rPr>
          <w:rFonts w:ascii="Calibri Light" w:hAnsi="Calibri Light" w:cs="Calibri Light"/>
          <w:sz w:val="28"/>
          <w:szCs w:val="28"/>
        </w:rPr>
        <w:t>key issue is whether there are potentially other sizeable national markets which fulfil the same or similar conditions</w:t>
      </w:r>
      <w:r w:rsidR="00647E12">
        <w:rPr>
          <w:rFonts w:ascii="Calibri Light" w:hAnsi="Calibri Light" w:cs="Calibri Light"/>
          <w:sz w:val="28"/>
          <w:szCs w:val="28"/>
        </w:rPr>
        <w:t xml:space="preserve"> for sizeable </w:t>
      </w:r>
      <w:r w:rsidR="00647E12">
        <w:rPr>
          <w:rFonts w:ascii="Calibri Light" w:hAnsi="Calibri Light" w:cs="Calibri Light"/>
          <w:sz w:val="28"/>
          <w:szCs w:val="28"/>
        </w:rPr>
        <w:lastRenderedPageBreak/>
        <w:t>and rapid enrolment growth</w:t>
      </w:r>
      <w:r w:rsidR="00647E12" w:rsidRPr="00B84A66">
        <w:rPr>
          <w:rFonts w:ascii="Calibri Light" w:hAnsi="Calibri Light" w:cs="Calibri Light"/>
          <w:sz w:val="28"/>
          <w:szCs w:val="28"/>
        </w:rPr>
        <w:t xml:space="preserve">.  The next tier of TNE national markets </w:t>
      </w:r>
      <w:r w:rsidR="00615A58">
        <w:rPr>
          <w:rFonts w:ascii="Calibri Light" w:hAnsi="Calibri Light" w:cs="Calibri Light"/>
          <w:sz w:val="28"/>
          <w:szCs w:val="28"/>
        </w:rPr>
        <w:t xml:space="preserve">mainly </w:t>
      </w:r>
      <w:r w:rsidR="00647E12" w:rsidRPr="00B84A66">
        <w:rPr>
          <w:rFonts w:ascii="Calibri Light" w:hAnsi="Calibri Light" w:cs="Calibri Light"/>
          <w:sz w:val="28"/>
          <w:szCs w:val="28"/>
        </w:rPr>
        <w:t xml:space="preserve">comprises </w:t>
      </w:r>
      <w:r w:rsidR="00E65D0C">
        <w:rPr>
          <w:rFonts w:ascii="Calibri Light" w:hAnsi="Calibri Light" w:cs="Calibri Light"/>
          <w:sz w:val="28"/>
          <w:szCs w:val="28"/>
        </w:rPr>
        <w:t xml:space="preserve">city-state </w:t>
      </w:r>
      <w:r w:rsidR="00647E12" w:rsidRPr="00B84A66">
        <w:rPr>
          <w:rFonts w:ascii="Calibri Light" w:hAnsi="Calibri Light" w:cs="Calibri Light"/>
          <w:sz w:val="28"/>
          <w:szCs w:val="28"/>
        </w:rPr>
        <w:t xml:space="preserve">countries in the Middle East </w:t>
      </w:r>
      <w:r w:rsidR="00615A58">
        <w:rPr>
          <w:rFonts w:ascii="Calibri Light" w:hAnsi="Calibri Light" w:cs="Calibri Light"/>
          <w:sz w:val="28"/>
          <w:szCs w:val="28"/>
        </w:rPr>
        <w:t xml:space="preserve">and </w:t>
      </w:r>
      <w:r w:rsidR="00E65D0C">
        <w:rPr>
          <w:rFonts w:ascii="Calibri Light" w:hAnsi="Calibri Light" w:cs="Calibri Light"/>
          <w:sz w:val="28"/>
          <w:szCs w:val="28"/>
        </w:rPr>
        <w:t>small</w:t>
      </w:r>
      <w:r w:rsidR="00F73E94">
        <w:rPr>
          <w:rFonts w:ascii="Calibri Light" w:hAnsi="Calibri Light" w:cs="Calibri Light"/>
          <w:sz w:val="28"/>
          <w:szCs w:val="28"/>
        </w:rPr>
        <w:t>-</w:t>
      </w:r>
      <w:r w:rsidR="00647E12" w:rsidRPr="00B84A66">
        <w:rPr>
          <w:rFonts w:ascii="Calibri Light" w:hAnsi="Calibri Light" w:cs="Calibri Light"/>
          <w:sz w:val="28"/>
          <w:szCs w:val="28"/>
        </w:rPr>
        <w:t>island states such as Cyprus and Mauritius</w:t>
      </w:r>
      <w:r w:rsidR="00647E12">
        <w:rPr>
          <w:rFonts w:ascii="Calibri Light" w:hAnsi="Calibri Light" w:cs="Calibri Light"/>
          <w:sz w:val="28"/>
          <w:szCs w:val="28"/>
        </w:rPr>
        <w:t xml:space="preserve">. However, </w:t>
      </w:r>
      <w:r w:rsidR="00147185">
        <w:rPr>
          <w:rFonts w:ascii="Calibri Light" w:hAnsi="Calibri Light" w:cs="Calibri Light"/>
          <w:sz w:val="28"/>
          <w:szCs w:val="28"/>
        </w:rPr>
        <w:t>t</w:t>
      </w:r>
      <w:r w:rsidR="00647E12" w:rsidRPr="00B84A66">
        <w:rPr>
          <w:rFonts w:ascii="Calibri Light" w:hAnsi="Calibri Light" w:cs="Calibri Light"/>
          <w:sz w:val="28"/>
          <w:szCs w:val="28"/>
        </w:rPr>
        <w:t xml:space="preserve">he potential growth </w:t>
      </w:r>
      <w:r w:rsidR="00147185">
        <w:rPr>
          <w:rFonts w:ascii="Calibri Light" w:hAnsi="Calibri Light" w:cs="Calibri Light"/>
          <w:sz w:val="28"/>
          <w:szCs w:val="28"/>
        </w:rPr>
        <w:t xml:space="preserve">of these </w:t>
      </w:r>
      <w:r w:rsidR="00647E12" w:rsidRPr="00B84A66">
        <w:rPr>
          <w:rFonts w:ascii="Calibri Light" w:hAnsi="Calibri Light" w:cs="Calibri Light"/>
          <w:sz w:val="28"/>
          <w:szCs w:val="28"/>
        </w:rPr>
        <w:t xml:space="preserve">markets is </w:t>
      </w:r>
      <w:r w:rsidR="00147185">
        <w:rPr>
          <w:rFonts w:ascii="Calibri Light" w:hAnsi="Calibri Light" w:cs="Calibri Light"/>
          <w:sz w:val="28"/>
          <w:szCs w:val="28"/>
        </w:rPr>
        <w:t xml:space="preserve">likely to be considerably more limited compared with </w:t>
      </w:r>
      <w:r w:rsidR="00640E9C">
        <w:rPr>
          <w:rFonts w:ascii="Calibri Light" w:hAnsi="Calibri Light" w:cs="Calibri Light"/>
          <w:sz w:val="28"/>
          <w:szCs w:val="28"/>
        </w:rPr>
        <w:t xml:space="preserve">the </w:t>
      </w:r>
      <w:r w:rsidR="00147185">
        <w:rPr>
          <w:rFonts w:ascii="Calibri Light" w:hAnsi="Calibri Light" w:cs="Calibri Light"/>
          <w:sz w:val="28"/>
          <w:szCs w:val="28"/>
        </w:rPr>
        <w:t>HMS</w:t>
      </w:r>
      <w:r w:rsidR="00640E9C">
        <w:rPr>
          <w:rFonts w:ascii="Calibri Light" w:hAnsi="Calibri Light" w:cs="Calibri Light"/>
          <w:sz w:val="28"/>
          <w:szCs w:val="28"/>
        </w:rPr>
        <w:t xml:space="preserve"> market leaders</w:t>
      </w:r>
      <w:r w:rsidR="00147185">
        <w:rPr>
          <w:rFonts w:ascii="Calibri Light" w:hAnsi="Calibri Light" w:cs="Calibri Light"/>
          <w:sz w:val="28"/>
          <w:szCs w:val="28"/>
        </w:rPr>
        <w:t xml:space="preserve">. </w:t>
      </w:r>
    </w:p>
    <w:p w14:paraId="0B7E3A23" w14:textId="6F8DDAC8" w:rsidR="00647E12" w:rsidRPr="00640E9C" w:rsidRDefault="00647E12" w:rsidP="00E114E2">
      <w:pPr>
        <w:jc w:val="both"/>
        <w:rPr>
          <w:rFonts w:ascii="Calibri Light" w:hAnsi="Calibri Light" w:cs="Calibri Light"/>
          <w:i/>
          <w:sz w:val="28"/>
          <w:szCs w:val="28"/>
        </w:rPr>
      </w:pPr>
      <w:r w:rsidRPr="00640E9C">
        <w:rPr>
          <w:rFonts w:ascii="Calibri Light" w:hAnsi="Calibri Light" w:cs="Calibri Light"/>
          <w:i/>
          <w:sz w:val="28"/>
          <w:szCs w:val="28"/>
        </w:rPr>
        <w:t>Competitive pressures</w:t>
      </w:r>
    </w:p>
    <w:p w14:paraId="0E5DC349" w14:textId="37614B09" w:rsidR="00330A82" w:rsidRDefault="00640E9C" w:rsidP="00E114E2">
      <w:pPr>
        <w:jc w:val="both"/>
        <w:rPr>
          <w:rFonts w:ascii="Calibri Light" w:hAnsi="Calibri Light" w:cs="Calibri Light"/>
          <w:sz w:val="28"/>
          <w:szCs w:val="28"/>
        </w:rPr>
      </w:pPr>
      <w:r>
        <w:rPr>
          <w:rFonts w:ascii="Calibri Light" w:hAnsi="Calibri Light" w:cs="Calibri Light"/>
          <w:sz w:val="28"/>
          <w:szCs w:val="28"/>
        </w:rPr>
        <w:t>In line with national HRD strategies, mainly private universities have partnered with UK and</w:t>
      </w:r>
      <w:r w:rsidR="00802F40">
        <w:rPr>
          <w:rFonts w:ascii="Calibri Light" w:hAnsi="Calibri Light" w:cs="Calibri Light"/>
          <w:sz w:val="28"/>
          <w:szCs w:val="28"/>
        </w:rPr>
        <w:t>, to a lesser extent, Australian</w:t>
      </w:r>
      <w:r>
        <w:rPr>
          <w:rFonts w:ascii="Calibri Light" w:hAnsi="Calibri Light" w:cs="Calibri Light"/>
          <w:sz w:val="28"/>
          <w:szCs w:val="28"/>
        </w:rPr>
        <w:t xml:space="preserve"> universities in order to establish quickly market credibility and develop institutional teaching capacity. As they mature</w:t>
      </w:r>
      <w:r w:rsidR="00E65D0C">
        <w:rPr>
          <w:rFonts w:ascii="Calibri Light" w:hAnsi="Calibri Light" w:cs="Calibri Light"/>
          <w:sz w:val="28"/>
          <w:szCs w:val="28"/>
        </w:rPr>
        <w:t xml:space="preserve"> and particularly as they obtain </w:t>
      </w:r>
      <w:r>
        <w:rPr>
          <w:rFonts w:ascii="Calibri Light" w:hAnsi="Calibri Light" w:cs="Calibri Light"/>
          <w:sz w:val="28"/>
          <w:szCs w:val="28"/>
        </w:rPr>
        <w:t xml:space="preserve">national accreditation as independent higher education providers, this increasingly calls into question the nature of future partnership arrangements with overseas universities. In particular, to what extent will these newly accredited universities wish to continue to </w:t>
      </w:r>
      <w:r w:rsidR="00B12093">
        <w:rPr>
          <w:rFonts w:ascii="Calibri Light" w:hAnsi="Calibri Light" w:cs="Calibri Light"/>
          <w:sz w:val="28"/>
          <w:szCs w:val="28"/>
        </w:rPr>
        <w:t xml:space="preserve">depend </w:t>
      </w:r>
      <w:r>
        <w:rPr>
          <w:rFonts w:ascii="Calibri Light" w:hAnsi="Calibri Light" w:cs="Calibri Light"/>
          <w:sz w:val="28"/>
          <w:szCs w:val="28"/>
        </w:rPr>
        <w:t>on overseas qualifications</w:t>
      </w:r>
      <w:r w:rsidR="00B12093">
        <w:rPr>
          <w:rFonts w:ascii="Calibri Light" w:hAnsi="Calibri Light" w:cs="Calibri Light"/>
          <w:sz w:val="28"/>
          <w:szCs w:val="28"/>
        </w:rPr>
        <w:t xml:space="preserve"> when they can switch to offering their own qualifications without the added costs of partnering with overseas partners</w:t>
      </w:r>
      <w:r>
        <w:rPr>
          <w:rFonts w:ascii="Calibri Light" w:hAnsi="Calibri Light" w:cs="Calibri Light"/>
          <w:sz w:val="28"/>
          <w:szCs w:val="28"/>
        </w:rPr>
        <w:t>?</w:t>
      </w:r>
      <w:r w:rsidR="00B12093">
        <w:rPr>
          <w:rFonts w:ascii="Calibri Light" w:hAnsi="Calibri Light" w:cs="Calibri Light"/>
          <w:sz w:val="28"/>
          <w:szCs w:val="28"/>
        </w:rPr>
        <w:t xml:space="preserve"> Like their overseas partners, it is </w:t>
      </w:r>
      <w:r w:rsidR="00330A82">
        <w:rPr>
          <w:rFonts w:ascii="Calibri Light" w:hAnsi="Calibri Light" w:cs="Calibri Light"/>
          <w:sz w:val="28"/>
          <w:szCs w:val="28"/>
        </w:rPr>
        <w:t xml:space="preserve">quite </w:t>
      </w:r>
      <w:r w:rsidR="00B12093">
        <w:rPr>
          <w:rFonts w:ascii="Calibri Light" w:hAnsi="Calibri Light" w:cs="Calibri Light"/>
          <w:sz w:val="28"/>
          <w:szCs w:val="28"/>
        </w:rPr>
        <w:t xml:space="preserve">likely that </w:t>
      </w:r>
      <w:r w:rsidR="00330A82">
        <w:rPr>
          <w:rFonts w:ascii="Calibri Light" w:hAnsi="Calibri Light" w:cs="Calibri Light"/>
          <w:sz w:val="28"/>
          <w:szCs w:val="28"/>
        </w:rPr>
        <w:t xml:space="preserve">more (especially among the largest) </w:t>
      </w:r>
      <w:r w:rsidR="00B12093">
        <w:rPr>
          <w:rFonts w:ascii="Calibri Light" w:hAnsi="Calibri Light" w:cs="Calibri Light"/>
          <w:sz w:val="28"/>
          <w:szCs w:val="28"/>
        </w:rPr>
        <w:t>private universities will increasingly w</w:t>
      </w:r>
      <w:r w:rsidR="00E65D0C">
        <w:rPr>
          <w:rFonts w:ascii="Calibri Light" w:hAnsi="Calibri Light" w:cs="Calibri Light"/>
          <w:sz w:val="28"/>
          <w:szCs w:val="28"/>
        </w:rPr>
        <w:t>ant to focus on higher quality-</w:t>
      </w:r>
      <w:r w:rsidR="00B12093">
        <w:rPr>
          <w:rFonts w:ascii="Calibri Light" w:hAnsi="Calibri Light" w:cs="Calibri Light"/>
          <w:sz w:val="28"/>
          <w:szCs w:val="28"/>
        </w:rPr>
        <w:t>higher status</w:t>
      </w:r>
      <w:r w:rsidR="00E65D0C">
        <w:rPr>
          <w:rFonts w:ascii="Calibri Light" w:hAnsi="Calibri Light" w:cs="Calibri Light"/>
          <w:sz w:val="28"/>
          <w:szCs w:val="28"/>
        </w:rPr>
        <w:t>-</w:t>
      </w:r>
      <w:r w:rsidR="00330A82">
        <w:rPr>
          <w:rFonts w:ascii="Calibri Light" w:hAnsi="Calibri Light" w:cs="Calibri Light"/>
          <w:sz w:val="28"/>
          <w:szCs w:val="28"/>
        </w:rPr>
        <w:t xml:space="preserve">higher </w:t>
      </w:r>
      <w:r w:rsidR="00802F40">
        <w:rPr>
          <w:rFonts w:ascii="Calibri Light" w:hAnsi="Calibri Light" w:cs="Calibri Light"/>
          <w:sz w:val="28"/>
          <w:szCs w:val="28"/>
        </w:rPr>
        <w:t>value</w:t>
      </w:r>
      <w:r w:rsidR="00B12093">
        <w:rPr>
          <w:rFonts w:ascii="Calibri Light" w:hAnsi="Calibri Light" w:cs="Calibri Light"/>
          <w:sz w:val="28"/>
          <w:szCs w:val="28"/>
        </w:rPr>
        <w:t xml:space="preserve"> degree courses w</w:t>
      </w:r>
      <w:r w:rsidR="00330A82">
        <w:rPr>
          <w:rFonts w:ascii="Calibri Light" w:hAnsi="Calibri Light" w:cs="Calibri Light"/>
          <w:sz w:val="28"/>
          <w:szCs w:val="28"/>
        </w:rPr>
        <w:t xml:space="preserve">hich </w:t>
      </w:r>
      <w:r w:rsidR="00802F40">
        <w:rPr>
          <w:rFonts w:ascii="Calibri Light" w:hAnsi="Calibri Light" w:cs="Calibri Light"/>
          <w:sz w:val="28"/>
          <w:szCs w:val="28"/>
        </w:rPr>
        <w:t xml:space="preserve">invariably </w:t>
      </w:r>
      <w:r w:rsidR="00330A82">
        <w:rPr>
          <w:rFonts w:ascii="Calibri Light" w:hAnsi="Calibri Light" w:cs="Calibri Light"/>
          <w:sz w:val="28"/>
          <w:szCs w:val="28"/>
        </w:rPr>
        <w:t xml:space="preserve">have </w:t>
      </w:r>
      <w:r w:rsidR="00B12093">
        <w:rPr>
          <w:rFonts w:ascii="Calibri Light" w:hAnsi="Calibri Light" w:cs="Calibri Light"/>
          <w:sz w:val="28"/>
          <w:szCs w:val="28"/>
        </w:rPr>
        <w:t>considerably smaller enrolments</w:t>
      </w:r>
      <w:r w:rsidR="00330A82">
        <w:rPr>
          <w:rFonts w:ascii="Calibri Light" w:hAnsi="Calibri Light" w:cs="Calibri Light"/>
          <w:sz w:val="28"/>
          <w:szCs w:val="28"/>
        </w:rPr>
        <w:t>.</w:t>
      </w:r>
    </w:p>
    <w:p w14:paraId="719C054C" w14:textId="2A886B37" w:rsidR="00330A82" w:rsidRDefault="00330A82" w:rsidP="00E114E2">
      <w:pPr>
        <w:jc w:val="both"/>
        <w:rPr>
          <w:rFonts w:ascii="Calibri Light" w:hAnsi="Calibri Light" w:cs="Calibri Light"/>
          <w:sz w:val="28"/>
          <w:szCs w:val="28"/>
        </w:rPr>
      </w:pPr>
      <w:r>
        <w:rPr>
          <w:rFonts w:ascii="Calibri Light" w:hAnsi="Calibri Light" w:cs="Calibri Light"/>
          <w:sz w:val="28"/>
          <w:szCs w:val="28"/>
        </w:rPr>
        <w:t>Competitive pressures from overseas ex</w:t>
      </w:r>
      <w:r w:rsidR="00802F40">
        <w:rPr>
          <w:rFonts w:ascii="Calibri Light" w:hAnsi="Calibri Light" w:cs="Calibri Light"/>
          <w:sz w:val="28"/>
          <w:szCs w:val="28"/>
        </w:rPr>
        <w:t>-</w:t>
      </w:r>
      <w:r>
        <w:rPr>
          <w:rFonts w:ascii="Calibri Light" w:hAnsi="Calibri Light" w:cs="Calibri Light"/>
          <w:sz w:val="28"/>
          <w:szCs w:val="28"/>
        </w:rPr>
        <w:t xml:space="preserve"> (or even continuing) overseas partners will also increase if these institutions themselves decide to becom</w:t>
      </w:r>
      <w:r w:rsidR="00E65D0C">
        <w:rPr>
          <w:rFonts w:ascii="Calibri Light" w:hAnsi="Calibri Light" w:cs="Calibri Light"/>
          <w:sz w:val="28"/>
          <w:szCs w:val="28"/>
        </w:rPr>
        <w:t>e TNE offshore providers. This is</w:t>
      </w:r>
      <w:r>
        <w:rPr>
          <w:rFonts w:ascii="Calibri Light" w:hAnsi="Calibri Light" w:cs="Calibri Light"/>
          <w:sz w:val="28"/>
          <w:szCs w:val="28"/>
        </w:rPr>
        <w:t xml:space="preserve"> already happening among a small number of private universities</w:t>
      </w:r>
      <w:r w:rsidR="00E65D0C">
        <w:rPr>
          <w:rFonts w:ascii="Calibri Light" w:hAnsi="Calibri Light" w:cs="Calibri Light"/>
          <w:sz w:val="28"/>
          <w:szCs w:val="28"/>
        </w:rPr>
        <w:t xml:space="preserve"> and other higher education providers</w:t>
      </w:r>
      <w:r>
        <w:rPr>
          <w:rFonts w:ascii="Calibri Light" w:hAnsi="Calibri Light" w:cs="Calibri Light"/>
          <w:sz w:val="28"/>
          <w:szCs w:val="28"/>
        </w:rPr>
        <w:t xml:space="preserve"> in Malaysia and Singapore.  </w:t>
      </w:r>
    </w:p>
    <w:p w14:paraId="048905B1" w14:textId="4E85F9BE" w:rsidR="00647E12" w:rsidRDefault="002750A8" w:rsidP="00E114E2">
      <w:pPr>
        <w:jc w:val="both"/>
        <w:rPr>
          <w:rFonts w:ascii="Calibri Light" w:hAnsi="Calibri Light" w:cs="Calibri Light"/>
          <w:sz w:val="28"/>
          <w:szCs w:val="28"/>
        </w:rPr>
      </w:pPr>
      <w:r>
        <w:rPr>
          <w:rFonts w:ascii="Calibri Light" w:hAnsi="Calibri Light" w:cs="Calibri Light"/>
          <w:sz w:val="28"/>
          <w:szCs w:val="28"/>
        </w:rPr>
        <w:t>Gove</w:t>
      </w:r>
      <w:r w:rsidR="00B12093">
        <w:rPr>
          <w:rFonts w:ascii="Calibri Light" w:hAnsi="Calibri Light" w:cs="Calibri Light"/>
          <w:sz w:val="28"/>
          <w:szCs w:val="28"/>
        </w:rPr>
        <w:t xml:space="preserve">rnment policy with regard to TNE provision is also a key factor especially where overseas partnerships are seen as a mainly transitional arrangement </w:t>
      </w:r>
      <w:r w:rsidR="00C30FD1">
        <w:rPr>
          <w:rFonts w:ascii="Calibri Light" w:hAnsi="Calibri Light" w:cs="Calibri Light"/>
          <w:sz w:val="28"/>
          <w:szCs w:val="28"/>
        </w:rPr>
        <w:t xml:space="preserve">eventually </w:t>
      </w:r>
      <w:r w:rsidR="00B12093">
        <w:rPr>
          <w:rFonts w:ascii="Calibri Light" w:hAnsi="Calibri Light" w:cs="Calibri Light"/>
          <w:sz w:val="28"/>
          <w:szCs w:val="28"/>
        </w:rPr>
        <w:t xml:space="preserve">enabling national universities to </w:t>
      </w:r>
      <w:r w:rsidR="00E65D0C">
        <w:rPr>
          <w:rFonts w:ascii="Calibri Light" w:hAnsi="Calibri Light" w:cs="Calibri Light"/>
          <w:sz w:val="28"/>
          <w:szCs w:val="28"/>
        </w:rPr>
        <w:t>operate independently as</w:t>
      </w:r>
      <w:r w:rsidR="00B12093">
        <w:rPr>
          <w:rFonts w:ascii="Calibri Light" w:hAnsi="Calibri Light" w:cs="Calibri Light"/>
          <w:sz w:val="28"/>
          <w:szCs w:val="28"/>
        </w:rPr>
        <w:t xml:space="preserve"> world class institutions in their </w:t>
      </w:r>
      <w:r w:rsidR="00E65D0C">
        <w:rPr>
          <w:rFonts w:ascii="Calibri Light" w:hAnsi="Calibri Light" w:cs="Calibri Light"/>
          <w:sz w:val="28"/>
          <w:szCs w:val="28"/>
        </w:rPr>
        <w:t xml:space="preserve">own </w:t>
      </w:r>
      <w:r w:rsidR="00B12093">
        <w:rPr>
          <w:rFonts w:ascii="Calibri Light" w:hAnsi="Calibri Light" w:cs="Calibri Light"/>
          <w:sz w:val="28"/>
          <w:szCs w:val="28"/>
        </w:rPr>
        <w:t>right.</w:t>
      </w:r>
      <w:r>
        <w:rPr>
          <w:rFonts w:ascii="Calibri Light" w:hAnsi="Calibri Light" w:cs="Calibri Light"/>
          <w:sz w:val="28"/>
          <w:szCs w:val="28"/>
        </w:rPr>
        <w:t xml:space="preserve"> The increasing tightening </w:t>
      </w:r>
      <w:r w:rsidR="00802F40">
        <w:rPr>
          <w:rFonts w:ascii="Calibri Light" w:hAnsi="Calibri Light" w:cs="Calibri Light"/>
          <w:sz w:val="28"/>
          <w:szCs w:val="28"/>
        </w:rPr>
        <w:t xml:space="preserve">in recent years </w:t>
      </w:r>
      <w:r>
        <w:rPr>
          <w:rFonts w:ascii="Calibri Light" w:hAnsi="Calibri Light" w:cs="Calibri Light"/>
          <w:sz w:val="28"/>
          <w:szCs w:val="28"/>
        </w:rPr>
        <w:t>of TNE regulations and other policies</w:t>
      </w:r>
      <w:r w:rsidR="00B12093">
        <w:rPr>
          <w:rFonts w:ascii="Calibri Light" w:hAnsi="Calibri Light" w:cs="Calibri Light"/>
          <w:sz w:val="28"/>
          <w:szCs w:val="28"/>
        </w:rPr>
        <w:t xml:space="preserve"> </w:t>
      </w:r>
      <w:r>
        <w:rPr>
          <w:rFonts w:ascii="Calibri Light" w:hAnsi="Calibri Light" w:cs="Calibri Light"/>
          <w:sz w:val="28"/>
          <w:szCs w:val="28"/>
        </w:rPr>
        <w:t>in China, Malaysia and Singapore is symptomatic of government concerns to ensure that only world class partnerships which directly support national human resource capacity development objectives are approved.</w:t>
      </w:r>
      <w:r w:rsidR="00B12093">
        <w:rPr>
          <w:rFonts w:ascii="Calibri Light" w:hAnsi="Calibri Light" w:cs="Calibri Light"/>
          <w:sz w:val="28"/>
          <w:szCs w:val="28"/>
        </w:rPr>
        <w:t xml:space="preserve"> </w:t>
      </w:r>
      <w:r>
        <w:rPr>
          <w:rFonts w:ascii="Calibri Light" w:hAnsi="Calibri Light" w:cs="Calibri Light"/>
          <w:sz w:val="28"/>
          <w:szCs w:val="28"/>
        </w:rPr>
        <w:t xml:space="preserve"> </w:t>
      </w:r>
    </w:p>
    <w:p w14:paraId="2451BCF7" w14:textId="47FD6189" w:rsidR="00647E12" w:rsidRDefault="00204931" w:rsidP="00E114E2">
      <w:pPr>
        <w:jc w:val="both"/>
        <w:rPr>
          <w:rFonts w:ascii="Calibri Light" w:hAnsi="Calibri Light" w:cs="Calibri Light"/>
          <w:sz w:val="28"/>
          <w:szCs w:val="28"/>
        </w:rPr>
      </w:pPr>
      <w:r>
        <w:rPr>
          <w:rFonts w:ascii="Calibri Light" w:hAnsi="Calibri Light" w:cs="Calibri Light"/>
          <w:sz w:val="28"/>
          <w:szCs w:val="28"/>
        </w:rPr>
        <w:lastRenderedPageBreak/>
        <w:t xml:space="preserve">More broadly, from a longer term perspective, </w:t>
      </w:r>
      <w:r w:rsidR="00A72C76">
        <w:rPr>
          <w:rFonts w:ascii="Calibri Light" w:hAnsi="Calibri Light" w:cs="Calibri Light"/>
          <w:sz w:val="28"/>
          <w:szCs w:val="28"/>
        </w:rPr>
        <w:t xml:space="preserve">it is possible that </w:t>
      </w:r>
      <w:r>
        <w:rPr>
          <w:rFonts w:ascii="Calibri Light" w:hAnsi="Calibri Light" w:cs="Calibri Light"/>
          <w:sz w:val="28"/>
          <w:szCs w:val="28"/>
        </w:rPr>
        <w:t xml:space="preserve">the evolution of TNE provision </w:t>
      </w:r>
      <w:r w:rsidR="00A72C76">
        <w:rPr>
          <w:rFonts w:ascii="Calibri Light" w:hAnsi="Calibri Light" w:cs="Calibri Light"/>
          <w:sz w:val="28"/>
          <w:szCs w:val="28"/>
        </w:rPr>
        <w:t xml:space="preserve">will be </w:t>
      </w:r>
      <w:r>
        <w:rPr>
          <w:rFonts w:ascii="Calibri Light" w:hAnsi="Calibri Light" w:cs="Calibri Light"/>
          <w:sz w:val="28"/>
          <w:szCs w:val="28"/>
        </w:rPr>
        <w:t xml:space="preserve">similar to previous </w:t>
      </w:r>
      <w:r w:rsidR="00A72C76">
        <w:rPr>
          <w:rFonts w:ascii="Calibri Light" w:hAnsi="Calibri Light" w:cs="Calibri Light"/>
          <w:sz w:val="28"/>
          <w:szCs w:val="28"/>
        </w:rPr>
        <w:t xml:space="preserve">international </w:t>
      </w:r>
      <w:r>
        <w:rPr>
          <w:rFonts w:ascii="Calibri Light" w:hAnsi="Calibri Light" w:cs="Calibri Light"/>
          <w:sz w:val="28"/>
          <w:szCs w:val="28"/>
        </w:rPr>
        <w:t>‘product cycles’</w:t>
      </w:r>
      <w:r w:rsidR="00EF30C7">
        <w:rPr>
          <w:rStyle w:val="FootnoteReference"/>
          <w:rFonts w:ascii="Calibri Light" w:hAnsi="Calibri Light" w:cs="Calibri Light"/>
          <w:sz w:val="28"/>
          <w:szCs w:val="28"/>
        </w:rPr>
        <w:footnoteReference w:id="12"/>
      </w:r>
      <w:r>
        <w:rPr>
          <w:rFonts w:ascii="Calibri Light" w:hAnsi="Calibri Light" w:cs="Calibri Light"/>
          <w:sz w:val="28"/>
          <w:szCs w:val="28"/>
        </w:rPr>
        <w:t xml:space="preserve"> where national enterprises in the mature industrial c</w:t>
      </w:r>
      <w:r w:rsidR="00802F40">
        <w:rPr>
          <w:rFonts w:ascii="Calibri Light" w:hAnsi="Calibri Light" w:cs="Calibri Light"/>
          <w:sz w:val="28"/>
          <w:szCs w:val="28"/>
        </w:rPr>
        <w:t xml:space="preserve">ountries </w:t>
      </w:r>
      <w:r>
        <w:rPr>
          <w:rFonts w:ascii="Calibri Light" w:hAnsi="Calibri Light" w:cs="Calibri Light"/>
          <w:sz w:val="28"/>
          <w:szCs w:val="28"/>
        </w:rPr>
        <w:t xml:space="preserve">moved progressively </w:t>
      </w:r>
      <w:r w:rsidR="00C30FD1">
        <w:rPr>
          <w:rFonts w:ascii="Calibri Light" w:hAnsi="Calibri Light" w:cs="Calibri Light"/>
          <w:sz w:val="28"/>
          <w:szCs w:val="28"/>
        </w:rPr>
        <w:t>a</w:t>
      </w:r>
      <w:r w:rsidR="00A72C76">
        <w:rPr>
          <w:rFonts w:ascii="Calibri Light" w:hAnsi="Calibri Light" w:cs="Calibri Light"/>
          <w:sz w:val="28"/>
          <w:szCs w:val="28"/>
        </w:rPr>
        <w:t xml:space="preserve">way from relying </w:t>
      </w:r>
      <w:r w:rsidR="00C30FD1">
        <w:rPr>
          <w:rFonts w:ascii="Calibri Light" w:hAnsi="Calibri Light" w:cs="Calibri Light"/>
          <w:sz w:val="28"/>
          <w:szCs w:val="28"/>
        </w:rPr>
        <w:t xml:space="preserve">primarily </w:t>
      </w:r>
      <w:r w:rsidR="00A72C76">
        <w:rPr>
          <w:rFonts w:ascii="Calibri Light" w:hAnsi="Calibri Light" w:cs="Calibri Light"/>
          <w:sz w:val="28"/>
          <w:szCs w:val="28"/>
        </w:rPr>
        <w:t xml:space="preserve">on </w:t>
      </w:r>
      <w:r>
        <w:rPr>
          <w:rFonts w:ascii="Calibri Light" w:hAnsi="Calibri Light" w:cs="Calibri Light"/>
          <w:sz w:val="28"/>
          <w:szCs w:val="28"/>
        </w:rPr>
        <w:t xml:space="preserve">international trade to establishing franchising arrangements with overseas enterprises and eventually </w:t>
      </w:r>
      <w:r w:rsidR="00802F40">
        <w:rPr>
          <w:rFonts w:ascii="Calibri Light" w:hAnsi="Calibri Light" w:cs="Calibri Light"/>
          <w:sz w:val="28"/>
          <w:szCs w:val="28"/>
        </w:rPr>
        <w:t xml:space="preserve">setting up </w:t>
      </w:r>
      <w:r>
        <w:rPr>
          <w:rFonts w:ascii="Calibri Light" w:hAnsi="Calibri Light" w:cs="Calibri Light"/>
          <w:sz w:val="28"/>
          <w:szCs w:val="28"/>
        </w:rPr>
        <w:t>joint ventures and</w:t>
      </w:r>
      <w:r w:rsidR="00802F40">
        <w:rPr>
          <w:rFonts w:ascii="Calibri Light" w:hAnsi="Calibri Light" w:cs="Calibri Light"/>
          <w:sz w:val="28"/>
          <w:szCs w:val="28"/>
        </w:rPr>
        <w:t xml:space="preserve"> </w:t>
      </w:r>
      <w:r w:rsidR="00E65D0C">
        <w:rPr>
          <w:rFonts w:ascii="Calibri Light" w:hAnsi="Calibri Light" w:cs="Calibri Light"/>
          <w:sz w:val="28"/>
          <w:szCs w:val="28"/>
        </w:rPr>
        <w:t>their own</w:t>
      </w:r>
      <w:r>
        <w:rPr>
          <w:rFonts w:ascii="Calibri Light" w:hAnsi="Calibri Light" w:cs="Calibri Light"/>
          <w:sz w:val="28"/>
          <w:szCs w:val="28"/>
        </w:rPr>
        <w:t xml:space="preserve"> </w:t>
      </w:r>
      <w:r w:rsidR="00A72C76">
        <w:rPr>
          <w:rFonts w:ascii="Calibri Light" w:hAnsi="Calibri Light" w:cs="Calibri Light"/>
          <w:sz w:val="28"/>
          <w:szCs w:val="28"/>
        </w:rPr>
        <w:t xml:space="preserve">overseas </w:t>
      </w:r>
      <w:r>
        <w:rPr>
          <w:rFonts w:ascii="Calibri Light" w:hAnsi="Calibri Light" w:cs="Calibri Light"/>
          <w:sz w:val="28"/>
          <w:szCs w:val="28"/>
        </w:rPr>
        <w:t>subsidiaries</w:t>
      </w:r>
      <w:r w:rsidR="00802F40">
        <w:rPr>
          <w:rFonts w:ascii="Calibri Light" w:hAnsi="Calibri Light" w:cs="Calibri Light"/>
          <w:sz w:val="28"/>
          <w:szCs w:val="28"/>
        </w:rPr>
        <w:t xml:space="preserve"> (thereby becoming multinational corporations)</w:t>
      </w:r>
      <w:r>
        <w:rPr>
          <w:rFonts w:ascii="Calibri Light" w:hAnsi="Calibri Light" w:cs="Calibri Light"/>
          <w:sz w:val="28"/>
          <w:szCs w:val="28"/>
        </w:rPr>
        <w:t>. In the case of</w:t>
      </w:r>
      <w:r w:rsidR="00E65D0C">
        <w:rPr>
          <w:rFonts w:ascii="Calibri Light" w:hAnsi="Calibri Light" w:cs="Calibri Light"/>
          <w:sz w:val="28"/>
          <w:szCs w:val="28"/>
        </w:rPr>
        <w:t xml:space="preserve"> numerous products, most notably</w:t>
      </w:r>
      <w:r w:rsidR="00802F40">
        <w:rPr>
          <w:rFonts w:ascii="Calibri Light" w:hAnsi="Calibri Light" w:cs="Calibri Light"/>
          <w:sz w:val="28"/>
          <w:szCs w:val="28"/>
        </w:rPr>
        <w:t xml:space="preserve"> electronics, </w:t>
      </w:r>
      <w:r>
        <w:rPr>
          <w:rFonts w:ascii="Calibri Light" w:hAnsi="Calibri Light" w:cs="Calibri Light"/>
          <w:sz w:val="28"/>
          <w:szCs w:val="28"/>
        </w:rPr>
        <w:t xml:space="preserve">textiles, </w:t>
      </w:r>
      <w:r w:rsidR="00802F40">
        <w:rPr>
          <w:rFonts w:ascii="Calibri Light" w:hAnsi="Calibri Light" w:cs="Calibri Light"/>
          <w:sz w:val="28"/>
          <w:szCs w:val="28"/>
        </w:rPr>
        <w:t xml:space="preserve">and </w:t>
      </w:r>
      <w:r w:rsidR="00C30FD1">
        <w:rPr>
          <w:rFonts w:ascii="Calibri Light" w:hAnsi="Calibri Light" w:cs="Calibri Light"/>
          <w:sz w:val="28"/>
          <w:szCs w:val="28"/>
        </w:rPr>
        <w:t xml:space="preserve">motor </w:t>
      </w:r>
      <w:r>
        <w:rPr>
          <w:rFonts w:ascii="Calibri Light" w:hAnsi="Calibri Light" w:cs="Calibri Light"/>
          <w:sz w:val="28"/>
          <w:szCs w:val="28"/>
        </w:rPr>
        <w:t>vehicles, the rapid development of national technological and managerial/entrepreneurial capa</w:t>
      </w:r>
      <w:r w:rsidR="00802F40">
        <w:rPr>
          <w:rFonts w:ascii="Calibri Light" w:hAnsi="Calibri Light" w:cs="Calibri Light"/>
          <w:sz w:val="28"/>
          <w:szCs w:val="28"/>
        </w:rPr>
        <w:t>bilities</w:t>
      </w:r>
      <w:r>
        <w:rPr>
          <w:rFonts w:ascii="Calibri Light" w:hAnsi="Calibri Light" w:cs="Calibri Light"/>
          <w:sz w:val="28"/>
          <w:szCs w:val="28"/>
        </w:rPr>
        <w:t xml:space="preserve"> </w:t>
      </w:r>
      <w:r w:rsidR="00C30FD1">
        <w:rPr>
          <w:rFonts w:ascii="Calibri Light" w:hAnsi="Calibri Light" w:cs="Calibri Light"/>
          <w:sz w:val="28"/>
          <w:szCs w:val="28"/>
        </w:rPr>
        <w:t xml:space="preserve">in newly industrialising countries (especially the Asian tigers) </w:t>
      </w:r>
      <w:r>
        <w:rPr>
          <w:rFonts w:ascii="Calibri Light" w:hAnsi="Calibri Light" w:cs="Calibri Light"/>
          <w:sz w:val="28"/>
          <w:szCs w:val="28"/>
        </w:rPr>
        <w:t xml:space="preserve">and the resulting growing domestic competition </w:t>
      </w:r>
      <w:r w:rsidR="00A72C76">
        <w:rPr>
          <w:rFonts w:ascii="Calibri Light" w:hAnsi="Calibri Light" w:cs="Calibri Light"/>
          <w:sz w:val="28"/>
          <w:szCs w:val="28"/>
        </w:rPr>
        <w:t>led to significant disengagement by multinational corporations (including actual disinvestment) from these countries.</w:t>
      </w:r>
      <w:r>
        <w:rPr>
          <w:rFonts w:ascii="Calibri Light" w:hAnsi="Calibri Light" w:cs="Calibri Light"/>
          <w:sz w:val="28"/>
          <w:szCs w:val="28"/>
        </w:rPr>
        <w:t xml:space="preserve">    </w:t>
      </w:r>
    </w:p>
    <w:p w14:paraId="60D39A91" w14:textId="54B1D0AD" w:rsidR="001A4C0D" w:rsidRPr="00C52A9D" w:rsidRDefault="00AF7CF1" w:rsidP="00E114E2">
      <w:pPr>
        <w:jc w:val="both"/>
        <w:rPr>
          <w:rFonts w:ascii="Calibri Light" w:hAnsi="Calibri Light" w:cs="Calibri Light"/>
          <w:i/>
          <w:sz w:val="28"/>
          <w:szCs w:val="28"/>
        </w:rPr>
      </w:pPr>
      <w:r w:rsidRPr="00C52A9D">
        <w:rPr>
          <w:rFonts w:ascii="Calibri Light" w:hAnsi="Calibri Light" w:cs="Calibri Light"/>
          <w:i/>
          <w:sz w:val="28"/>
          <w:szCs w:val="28"/>
        </w:rPr>
        <w:t xml:space="preserve">UK </w:t>
      </w:r>
      <w:r w:rsidR="00A72C76" w:rsidRPr="00C52A9D">
        <w:rPr>
          <w:rFonts w:ascii="Calibri Light" w:hAnsi="Calibri Light" w:cs="Calibri Light"/>
          <w:i/>
          <w:sz w:val="28"/>
          <w:szCs w:val="28"/>
        </w:rPr>
        <w:t>institutional repositioning and consolidation</w:t>
      </w:r>
    </w:p>
    <w:p w14:paraId="0AB4CEA7" w14:textId="61835801" w:rsidR="009505F4" w:rsidRPr="00566DBF" w:rsidRDefault="000B1987" w:rsidP="009505F4">
      <w:pPr>
        <w:jc w:val="both"/>
        <w:rPr>
          <w:rFonts w:ascii="Calibri Light" w:hAnsi="Calibri Light" w:cs="Calibri Light"/>
          <w:sz w:val="28"/>
          <w:szCs w:val="28"/>
        </w:rPr>
      </w:pPr>
      <w:r w:rsidRPr="00566DBF">
        <w:rPr>
          <w:rFonts w:ascii="Calibri Light" w:hAnsi="Calibri Light" w:cs="Calibri Light"/>
          <w:sz w:val="28"/>
          <w:szCs w:val="28"/>
        </w:rPr>
        <w:t xml:space="preserve">Another key reason </w:t>
      </w:r>
      <w:r w:rsidR="00E65D0C">
        <w:rPr>
          <w:rFonts w:ascii="Calibri Light" w:hAnsi="Calibri Light" w:cs="Calibri Light"/>
          <w:sz w:val="28"/>
          <w:szCs w:val="28"/>
        </w:rPr>
        <w:t xml:space="preserve">for the slowdown in UK TNE enrolments </w:t>
      </w:r>
      <w:r w:rsidRPr="00566DBF">
        <w:rPr>
          <w:rFonts w:ascii="Calibri Light" w:hAnsi="Calibri Light" w:cs="Calibri Light"/>
          <w:sz w:val="28"/>
          <w:szCs w:val="28"/>
        </w:rPr>
        <w:t xml:space="preserve">is that many </w:t>
      </w:r>
      <w:r w:rsidR="00660EB7" w:rsidRPr="00566DBF">
        <w:rPr>
          <w:rFonts w:ascii="Calibri Light" w:hAnsi="Calibri Light" w:cs="Calibri Light"/>
          <w:sz w:val="28"/>
          <w:szCs w:val="28"/>
        </w:rPr>
        <w:t xml:space="preserve">UK universities </w:t>
      </w:r>
      <w:r w:rsidRPr="00566DBF">
        <w:rPr>
          <w:rFonts w:ascii="Calibri Light" w:hAnsi="Calibri Light" w:cs="Calibri Light"/>
          <w:sz w:val="28"/>
          <w:szCs w:val="28"/>
        </w:rPr>
        <w:t>are</w:t>
      </w:r>
      <w:r w:rsidR="00660EB7" w:rsidRPr="00566DBF">
        <w:rPr>
          <w:rFonts w:ascii="Calibri Light" w:hAnsi="Calibri Light" w:cs="Calibri Light"/>
          <w:sz w:val="28"/>
          <w:szCs w:val="28"/>
        </w:rPr>
        <w:t xml:space="preserve"> switching away from </w:t>
      </w:r>
      <w:r w:rsidRPr="00566DBF">
        <w:rPr>
          <w:rFonts w:ascii="Calibri Light" w:hAnsi="Calibri Light" w:cs="Calibri Light"/>
          <w:sz w:val="28"/>
          <w:szCs w:val="28"/>
        </w:rPr>
        <w:t xml:space="preserve">their initial </w:t>
      </w:r>
      <w:r>
        <w:rPr>
          <w:rFonts w:ascii="Calibri Light" w:hAnsi="Calibri Light" w:cs="Calibri Light"/>
          <w:sz w:val="28"/>
          <w:szCs w:val="28"/>
        </w:rPr>
        <w:t xml:space="preserve">reliance on </w:t>
      </w:r>
      <w:r w:rsidR="00660EB7">
        <w:rPr>
          <w:rFonts w:ascii="Calibri Light" w:hAnsi="Calibri Light" w:cs="Calibri Light"/>
          <w:sz w:val="28"/>
          <w:szCs w:val="28"/>
        </w:rPr>
        <w:t>low value</w:t>
      </w:r>
      <w:r w:rsidR="00566DBF">
        <w:rPr>
          <w:rFonts w:ascii="Calibri Light" w:hAnsi="Calibri Light" w:cs="Calibri Light"/>
          <w:sz w:val="28"/>
          <w:szCs w:val="28"/>
        </w:rPr>
        <w:t>-added</w:t>
      </w:r>
      <w:r w:rsidR="00660EB7">
        <w:rPr>
          <w:rFonts w:ascii="Calibri Light" w:hAnsi="Calibri Light" w:cs="Calibri Light"/>
          <w:sz w:val="28"/>
          <w:szCs w:val="28"/>
        </w:rPr>
        <w:t xml:space="preserve"> validation degree </w:t>
      </w:r>
      <w:r>
        <w:rPr>
          <w:rFonts w:ascii="Calibri Light" w:hAnsi="Calibri Light" w:cs="Calibri Light"/>
          <w:sz w:val="28"/>
          <w:szCs w:val="28"/>
        </w:rPr>
        <w:t xml:space="preserve">overseas </w:t>
      </w:r>
      <w:r w:rsidR="00660EB7">
        <w:rPr>
          <w:rFonts w:ascii="Calibri Light" w:hAnsi="Calibri Light" w:cs="Calibri Light"/>
          <w:sz w:val="28"/>
          <w:szCs w:val="28"/>
        </w:rPr>
        <w:t xml:space="preserve">partnerships with relatively large enrolments and focusing </w:t>
      </w:r>
      <w:r w:rsidR="00E65D0C">
        <w:rPr>
          <w:rFonts w:ascii="Calibri Light" w:hAnsi="Calibri Light" w:cs="Calibri Light"/>
          <w:sz w:val="28"/>
          <w:szCs w:val="28"/>
        </w:rPr>
        <w:t xml:space="preserve">instead </w:t>
      </w:r>
      <w:r w:rsidR="00660EB7">
        <w:rPr>
          <w:rFonts w:ascii="Calibri Light" w:hAnsi="Calibri Light" w:cs="Calibri Light"/>
          <w:sz w:val="28"/>
          <w:szCs w:val="28"/>
        </w:rPr>
        <w:t>on higher quali</w:t>
      </w:r>
      <w:r w:rsidR="00E65D0C">
        <w:rPr>
          <w:rFonts w:ascii="Calibri Light" w:hAnsi="Calibri Light" w:cs="Calibri Light"/>
          <w:sz w:val="28"/>
          <w:szCs w:val="28"/>
        </w:rPr>
        <w:t xml:space="preserve">ty, higher value </w:t>
      </w:r>
      <w:r w:rsidR="00660EB7">
        <w:rPr>
          <w:rFonts w:ascii="Calibri Light" w:hAnsi="Calibri Light" w:cs="Calibri Light"/>
          <w:sz w:val="28"/>
          <w:szCs w:val="28"/>
        </w:rPr>
        <w:t>added franchise and other joint-degree partnerships with lower student volumes</w:t>
      </w:r>
      <w:r w:rsidR="00D62AE3">
        <w:rPr>
          <w:rFonts w:ascii="Calibri Light" w:hAnsi="Calibri Light" w:cs="Calibri Light"/>
          <w:sz w:val="28"/>
          <w:szCs w:val="28"/>
        </w:rPr>
        <w:t>.</w:t>
      </w:r>
      <w:r w:rsidR="00566DBF">
        <w:rPr>
          <w:rStyle w:val="FootnoteReference"/>
          <w:rFonts w:ascii="Calibri Light" w:hAnsi="Calibri Light" w:cs="Calibri Light"/>
          <w:sz w:val="28"/>
          <w:szCs w:val="28"/>
        </w:rPr>
        <w:footnoteReference w:id="13"/>
      </w:r>
      <w:r w:rsidR="009505F4">
        <w:rPr>
          <w:rFonts w:ascii="Calibri Light" w:hAnsi="Calibri Light" w:cs="Calibri Light"/>
          <w:sz w:val="28"/>
          <w:szCs w:val="28"/>
        </w:rPr>
        <w:t xml:space="preserve"> </w:t>
      </w:r>
      <w:r w:rsidR="009505F4" w:rsidRPr="00566DBF">
        <w:rPr>
          <w:rFonts w:ascii="Calibri Light" w:hAnsi="Calibri Light" w:cs="Calibri Light"/>
          <w:sz w:val="28"/>
          <w:szCs w:val="28"/>
        </w:rPr>
        <w:t xml:space="preserve">The following extract from 2016/17 Annual Report of Heriot Watt University, which is perhaps the most international university in the UK, </w:t>
      </w:r>
      <w:r w:rsidR="00C30FD1">
        <w:rPr>
          <w:rFonts w:ascii="Calibri Light" w:hAnsi="Calibri Light" w:cs="Calibri Light"/>
          <w:sz w:val="28"/>
          <w:szCs w:val="28"/>
        </w:rPr>
        <w:t xml:space="preserve">neatly exemplifies </w:t>
      </w:r>
      <w:r w:rsidR="009505F4" w:rsidRPr="00566DBF">
        <w:rPr>
          <w:rFonts w:ascii="Calibri Light" w:hAnsi="Calibri Light" w:cs="Calibri Light"/>
          <w:sz w:val="28"/>
          <w:szCs w:val="28"/>
        </w:rPr>
        <w:t xml:space="preserve">this process of strategic </w:t>
      </w:r>
      <w:r w:rsidR="00C30FD1">
        <w:rPr>
          <w:rFonts w:ascii="Calibri Light" w:hAnsi="Calibri Light" w:cs="Calibri Light"/>
          <w:sz w:val="28"/>
          <w:szCs w:val="28"/>
        </w:rPr>
        <w:t xml:space="preserve">global </w:t>
      </w:r>
      <w:r w:rsidR="009505F4" w:rsidRPr="00566DBF">
        <w:rPr>
          <w:rFonts w:ascii="Calibri Light" w:hAnsi="Calibri Light" w:cs="Calibri Light"/>
          <w:sz w:val="28"/>
          <w:szCs w:val="28"/>
        </w:rPr>
        <w:t>re</w:t>
      </w:r>
      <w:r w:rsidR="00E65D0C">
        <w:rPr>
          <w:rFonts w:ascii="Calibri Light" w:hAnsi="Calibri Light" w:cs="Calibri Light"/>
          <w:sz w:val="28"/>
          <w:szCs w:val="28"/>
        </w:rPr>
        <w:t>positioning</w:t>
      </w:r>
      <w:r w:rsidR="009505F4" w:rsidRPr="00566DBF">
        <w:rPr>
          <w:rFonts w:ascii="Calibri Light" w:hAnsi="Calibri Light" w:cs="Calibri Light"/>
          <w:sz w:val="28"/>
          <w:szCs w:val="28"/>
        </w:rPr>
        <w:t xml:space="preserve">. </w:t>
      </w:r>
    </w:p>
    <w:p w14:paraId="0A945FD2" w14:textId="7330B4CA" w:rsidR="00566DBF" w:rsidRDefault="009505F4" w:rsidP="000B1987">
      <w:pPr>
        <w:jc w:val="both"/>
        <w:rPr>
          <w:rFonts w:ascii="Calibri Light" w:hAnsi="Calibri Light" w:cs="Calibri Light"/>
          <w:sz w:val="28"/>
          <w:szCs w:val="28"/>
        </w:rPr>
      </w:pPr>
      <w:r w:rsidRPr="009505F4">
        <w:rPr>
          <w:rFonts w:ascii="Calibri Light" w:hAnsi="Calibri Light" w:cs="Calibri Light"/>
          <w:sz w:val="28"/>
          <w:szCs w:val="28"/>
        </w:rPr>
        <w:t xml:space="preserve">’Over the last two years, even with the growth in student numbers at our own international campuses, our transnational student numbers have remained static at around 15,000…The University is undoubtedly facing competition from other large players and from a growth in the number of institutions participating in transnational activity. However, ….erosion in numbers has not been mirrored in terms of erosion of revenues; reflecting both the value of operating on our own campuses and a shift away from high volume-low revenue partnerships to more rewarding activity with accredited partners and particularly in international </w:t>
      </w:r>
      <w:r w:rsidRPr="009505F4">
        <w:rPr>
          <w:rFonts w:ascii="Calibri Light" w:hAnsi="Calibri Light" w:cs="Calibri Light"/>
          <w:sz w:val="28"/>
          <w:szCs w:val="28"/>
        </w:rPr>
        <w:lastRenderedPageBreak/>
        <w:t>distance learning. Looking forward, the university has ambitious plans to maintain planned growth in international activity by strengthening the global nature of its postgraduate programmes, offering greater flexibility in subject choice, location, and mode of study</w:t>
      </w:r>
      <w:r w:rsidR="00C30FD1">
        <w:rPr>
          <w:rFonts w:ascii="Calibri Light" w:hAnsi="Calibri Light" w:cs="Calibri Light"/>
          <w:sz w:val="28"/>
          <w:szCs w:val="28"/>
        </w:rPr>
        <w:t>.</w:t>
      </w:r>
      <w:r w:rsidRPr="009505F4">
        <w:rPr>
          <w:rFonts w:ascii="Calibri Light" w:hAnsi="Calibri Light" w:cs="Calibri Light"/>
          <w:sz w:val="28"/>
          <w:szCs w:val="28"/>
        </w:rPr>
        <w:t xml:space="preserve">’  </w:t>
      </w:r>
    </w:p>
    <w:p w14:paraId="25D90DC0" w14:textId="7FF3EA7B" w:rsidR="008F22E8" w:rsidRPr="009505F4" w:rsidRDefault="000B1987" w:rsidP="008F22E8">
      <w:pPr>
        <w:jc w:val="both"/>
        <w:rPr>
          <w:rFonts w:ascii="Calibri Light" w:hAnsi="Calibri Light" w:cs="Calibri Light"/>
          <w:sz w:val="28"/>
          <w:szCs w:val="28"/>
        </w:rPr>
      </w:pPr>
      <w:r>
        <w:rPr>
          <w:rFonts w:ascii="Calibri Light" w:hAnsi="Calibri Light" w:cs="Calibri Light"/>
          <w:sz w:val="28"/>
          <w:szCs w:val="28"/>
        </w:rPr>
        <w:t xml:space="preserve">Most of the limited increase in TNE enrolments from 2014/15 to 2019/20 is accounted for </w:t>
      </w:r>
      <w:r w:rsidR="000C76FB">
        <w:rPr>
          <w:rFonts w:ascii="Calibri Light" w:hAnsi="Calibri Light" w:cs="Calibri Light"/>
          <w:sz w:val="28"/>
          <w:szCs w:val="28"/>
        </w:rPr>
        <w:t>by franchise and other more intensive types of collaborati</w:t>
      </w:r>
      <w:r w:rsidR="000D13A6">
        <w:rPr>
          <w:rFonts w:ascii="Calibri Light" w:hAnsi="Calibri Light" w:cs="Calibri Light"/>
          <w:sz w:val="28"/>
          <w:szCs w:val="28"/>
        </w:rPr>
        <w:t xml:space="preserve">ve TNE </w:t>
      </w:r>
      <w:r>
        <w:rPr>
          <w:rFonts w:ascii="Calibri Light" w:hAnsi="Calibri Light" w:cs="Calibri Light"/>
          <w:sz w:val="28"/>
          <w:szCs w:val="28"/>
        </w:rPr>
        <w:t>provision</w:t>
      </w:r>
      <w:r w:rsidR="000C76FB">
        <w:rPr>
          <w:rFonts w:ascii="Calibri Light" w:hAnsi="Calibri Light" w:cs="Calibri Light"/>
          <w:sz w:val="28"/>
          <w:szCs w:val="28"/>
        </w:rPr>
        <w:t xml:space="preserve"> (including joint degrees). </w:t>
      </w:r>
      <w:r>
        <w:rPr>
          <w:rFonts w:ascii="Calibri Light" w:hAnsi="Calibri Light" w:cs="Calibri Light"/>
          <w:sz w:val="28"/>
          <w:szCs w:val="28"/>
        </w:rPr>
        <w:t xml:space="preserve"> By contrast, </w:t>
      </w:r>
      <w:r w:rsidRPr="00B84A66">
        <w:rPr>
          <w:rFonts w:ascii="Calibri Light" w:hAnsi="Calibri Light" w:cs="Calibri Light"/>
          <w:sz w:val="28"/>
          <w:szCs w:val="28"/>
        </w:rPr>
        <w:t>validated course enrolments have barely increased since the</w:t>
      </w:r>
      <w:r>
        <w:rPr>
          <w:rFonts w:ascii="Calibri Light" w:hAnsi="Calibri Light" w:cs="Calibri Light"/>
          <w:sz w:val="28"/>
          <w:szCs w:val="28"/>
        </w:rPr>
        <w:t xml:space="preserve"> 2011/12</w:t>
      </w:r>
      <w:r w:rsidRPr="00B84A66">
        <w:rPr>
          <w:rFonts w:ascii="Calibri Light" w:hAnsi="Calibri Light" w:cs="Calibri Light"/>
          <w:sz w:val="28"/>
          <w:szCs w:val="28"/>
        </w:rPr>
        <w:t>.</w:t>
      </w:r>
      <w:r w:rsidR="00566DBF">
        <w:rPr>
          <w:rFonts w:ascii="Calibri Light" w:hAnsi="Calibri Light" w:cs="Calibri Light"/>
          <w:sz w:val="28"/>
          <w:szCs w:val="28"/>
        </w:rPr>
        <w:t xml:space="preserve"> </w:t>
      </w:r>
      <w:r w:rsidR="000D13A6">
        <w:rPr>
          <w:rFonts w:ascii="Calibri Light" w:hAnsi="Calibri Light" w:cs="Calibri Light"/>
          <w:sz w:val="28"/>
          <w:szCs w:val="28"/>
        </w:rPr>
        <w:t xml:space="preserve">Furthermore, </w:t>
      </w:r>
      <w:r w:rsidR="00660EB7">
        <w:rPr>
          <w:rFonts w:ascii="Calibri Light" w:hAnsi="Calibri Light" w:cs="Calibri Light"/>
          <w:sz w:val="28"/>
          <w:szCs w:val="28"/>
        </w:rPr>
        <w:t>ODL enrolments</w:t>
      </w:r>
      <w:r w:rsidR="00713AC0">
        <w:rPr>
          <w:rFonts w:ascii="Calibri Light" w:hAnsi="Calibri Light" w:cs="Calibri Light"/>
          <w:sz w:val="28"/>
          <w:szCs w:val="28"/>
        </w:rPr>
        <w:t xml:space="preserve"> </w:t>
      </w:r>
      <w:r>
        <w:rPr>
          <w:rFonts w:ascii="Calibri Light" w:hAnsi="Calibri Light" w:cs="Calibri Light"/>
          <w:sz w:val="28"/>
          <w:szCs w:val="28"/>
        </w:rPr>
        <w:t xml:space="preserve">have </w:t>
      </w:r>
      <w:r w:rsidR="00713AC0">
        <w:rPr>
          <w:rFonts w:ascii="Calibri Light" w:hAnsi="Calibri Light" w:cs="Calibri Light"/>
          <w:sz w:val="28"/>
          <w:szCs w:val="28"/>
        </w:rPr>
        <w:t xml:space="preserve">also </w:t>
      </w:r>
      <w:r>
        <w:rPr>
          <w:rFonts w:ascii="Calibri Light" w:hAnsi="Calibri Light" w:cs="Calibri Light"/>
          <w:sz w:val="28"/>
          <w:szCs w:val="28"/>
        </w:rPr>
        <w:t xml:space="preserve">been quite stagnant. </w:t>
      </w:r>
      <w:r w:rsidR="002659ED" w:rsidRPr="00B84A66">
        <w:rPr>
          <w:rFonts w:ascii="Calibri Light" w:hAnsi="Calibri Light" w:cs="Calibri Light"/>
          <w:sz w:val="28"/>
          <w:szCs w:val="28"/>
        </w:rPr>
        <w:t xml:space="preserve">Despite the </w:t>
      </w:r>
      <w:r w:rsidR="002071FE" w:rsidRPr="00B84A66">
        <w:rPr>
          <w:rFonts w:ascii="Calibri Light" w:hAnsi="Calibri Light" w:cs="Calibri Light"/>
          <w:sz w:val="28"/>
          <w:szCs w:val="28"/>
        </w:rPr>
        <w:t xml:space="preserve">high expectations </w:t>
      </w:r>
      <w:r w:rsidR="00644855" w:rsidRPr="00B84A66">
        <w:rPr>
          <w:rFonts w:ascii="Calibri Light" w:hAnsi="Calibri Light" w:cs="Calibri Light"/>
          <w:sz w:val="28"/>
          <w:szCs w:val="28"/>
        </w:rPr>
        <w:t xml:space="preserve">surrounding the emergence of new on-line virtual learning and other IT-related learning technologies in promoting </w:t>
      </w:r>
      <w:r w:rsidR="00B91858" w:rsidRPr="00B84A66">
        <w:rPr>
          <w:rFonts w:ascii="Calibri Light" w:hAnsi="Calibri Light" w:cs="Calibri Light"/>
          <w:sz w:val="28"/>
          <w:szCs w:val="28"/>
        </w:rPr>
        <w:t xml:space="preserve">distance </w:t>
      </w:r>
      <w:r w:rsidR="00644855" w:rsidRPr="00B84A66">
        <w:rPr>
          <w:rFonts w:ascii="Calibri Light" w:hAnsi="Calibri Light" w:cs="Calibri Light"/>
          <w:sz w:val="28"/>
          <w:szCs w:val="28"/>
        </w:rPr>
        <w:t xml:space="preserve">learning throughout the world, </w:t>
      </w:r>
      <w:r>
        <w:rPr>
          <w:rFonts w:ascii="Calibri Light" w:hAnsi="Calibri Light" w:cs="Calibri Light"/>
          <w:sz w:val="28"/>
          <w:szCs w:val="28"/>
        </w:rPr>
        <w:t xml:space="preserve">ODL </w:t>
      </w:r>
      <w:r w:rsidR="00644855" w:rsidRPr="00B84A66">
        <w:rPr>
          <w:rFonts w:ascii="Calibri Light" w:hAnsi="Calibri Light" w:cs="Calibri Light"/>
          <w:sz w:val="28"/>
          <w:szCs w:val="28"/>
        </w:rPr>
        <w:t xml:space="preserve">enrolments </w:t>
      </w:r>
      <w:r w:rsidR="00D34469" w:rsidRPr="00B84A66">
        <w:rPr>
          <w:rFonts w:ascii="Calibri Light" w:hAnsi="Calibri Light" w:cs="Calibri Light"/>
          <w:sz w:val="28"/>
          <w:szCs w:val="28"/>
        </w:rPr>
        <w:t xml:space="preserve">at UK universities </w:t>
      </w:r>
      <w:r w:rsidR="00644855" w:rsidRPr="00B84A66">
        <w:rPr>
          <w:rFonts w:ascii="Calibri Light" w:hAnsi="Calibri Light" w:cs="Calibri Light"/>
          <w:sz w:val="28"/>
          <w:szCs w:val="28"/>
        </w:rPr>
        <w:t xml:space="preserve">increased </w:t>
      </w:r>
      <w:r>
        <w:rPr>
          <w:rFonts w:ascii="Calibri Light" w:hAnsi="Calibri Light" w:cs="Calibri Light"/>
          <w:sz w:val="28"/>
          <w:szCs w:val="28"/>
        </w:rPr>
        <w:t>only slightly from 1</w:t>
      </w:r>
      <w:r w:rsidR="00AF7CF1" w:rsidRPr="00B84A66">
        <w:rPr>
          <w:rFonts w:ascii="Calibri Light" w:hAnsi="Calibri Light" w:cs="Calibri Light"/>
          <w:sz w:val="28"/>
          <w:szCs w:val="28"/>
        </w:rPr>
        <w:t>20,000 in 2014/15 and 127,000 in 2019/20</w:t>
      </w:r>
      <w:r w:rsidR="00644855" w:rsidRPr="00B84A66">
        <w:rPr>
          <w:rFonts w:ascii="Calibri Light" w:hAnsi="Calibri Light" w:cs="Calibri Light"/>
          <w:sz w:val="28"/>
          <w:szCs w:val="28"/>
        </w:rPr>
        <w:t>.</w:t>
      </w:r>
      <w:r w:rsidR="008F22E8">
        <w:rPr>
          <w:rFonts w:ascii="Calibri Light" w:hAnsi="Calibri Light" w:cs="Calibri Light"/>
          <w:sz w:val="28"/>
          <w:szCs w:val="28"/>
        </w:rPr>
        <w:t xml:space="preserve"> </w:t>
      </w:r>
      <w:r w:rsidR="00BE0AE9">
        <w:rPr>
          <w:rFonts w:ascii="Calibri Light" w:hAnsi="Calibri Light" w:cs="Calibri Light"/>
          <w:sz w:val="28"/>
          <w:szCs w:val="28"/>
        </w:rPr>
        <w:t>My 2019</w:t>
      </w:r>
      <w:r w:rsidR="008F22E8" w:rsidRPr="008F22E8">
        <w:rPr>
          <w:rFonts w:ascii="Calibri Light" w:hAnsi="Calibri Light" w:cs="Calibri Light"/>
          <w:sz w:val="28"/>
          <w:szCs w:val="28"/>
        </w:rPr>
        <w:t xml:space="preserve"> review </w:t>
      </w:r>
      <w:r w:rsidR="00BE0AE9">
        <w:rPr>
          <w:rFonts w:ascii="Calibri Light" w:hAnsi="Calibri Light" w:cs="Calibri Light"/>
          <w:sz w:val="28"/>
          <w:szCs w:val="28"/>
        </w:rPr>
        <w:t xml:space="preserve">of UK TNE provision </w:t>
      </w:r>
      <w:r w:rsidR="008210B8">
        <w:rPr>
          <w:rFonts w:ascii="Calibri Light" w:hAnsi="Calibri Light" w:cs="Calibri Light"/>
          <w:sz w:val="28"/>
          <w:szCs w:val="28"/>
        </w:rPr>
        <w:t>noted that ‘w</w:t>
      </w:r>
      <w:r w:rsidR="008F22E8" w:rsidRPr="008F22E8">
        <w:rPr>
          <w:rFonts w:ascii="Calibri Light" w:hAnsi="Calibri Light" w:cs="Calibri Light"/>
          <w:sz w:val="28"/>
          <w:szCs w:val="28"/>
        </w:rPr>
        <w:t>hile the advent of new on-line distance learning modalities can undoubtedly transform the nature and overall quality of the learning process as well the scale of provision, the complexity and costs of developing courses utilising these new technologies pose a major barrier to entry for all but the largest and most committed distance learning providers….The growing availability of in-country face-to-face offshore courses at overseas partners is also likely to have dampened demand for distance learning</w:t>
      </w:r>
      <w:r w:rsidR="008F22E8">
        <w:rPr>
          <w:rStyle w:val="FootnoteReference"/>
          <w:rFonts w:ascii="Calibri Light" w:hAnsi="Calibri Light" w:cs="Calibri Light"/>
          <w:sz w:val="28"/>
          <w:szCs w:val="28"/>
        </w:rPr>
        <w:footnoteReference w:id="14"/>
      </w:r>
      <w:r w:rsidR="00231A6F">
        <w:rPr>
          <w:rFonts w:ascii="Calibri Light" w:hAnsi="Calibri Light" w:cs="Calibri Light"/>
          <w:sz w:val="28"/>
          <w:szCs w:val="28"/>
        </w:rPr>
        <w:t xml:space="preserve"> (Bennell</w:t>
      </w:r>
      <w:r w:rsidR="00BE0AE9">
        <w:rPr>
          <w:rFonts w:ascii="Calibri Light" w:hAnsi="Calibri Light" w:cs="Calibri Light"/>
          <w:sz w:val="28"/>
          <w:szCs w:val="28"/>
        </w:rPr>
        <w:t xml:space="preserve">, </w:t>
      </w:r>
      <w:r w:rsidR="00BE0AE9" w:rsidRPr="008210B8">
        <w:rPr>
          <w:rFonts w:ascii="Calibri Light" w:hAnsi="Calibri Light" w:cs="Calibri Light"/>
          <w:sz w:val="28"/>
          <w:szCs w:val="28"/>
        </w:rPr>
        <w:t>2019a:35)</w:t>
      </w:r>
      <w:r w:rsidR="009505F4" w:rsidRPr="008210B8">
        <w:rPr>
          <w:rFonts w:ascii="Calibri Light" w:hAnsi="Calibri Light" w:cs="Calibri Light"/>
          <w:sz w:val="28"/>
          <w:szCs w:val="28"/>
        </w:rPr>
        <w:t xml:space="preserve"> The g</w:t>
      </w:r>
      <w:r w:rsidR="009505F4" w:rsidRPr="009505F4">
        <w:rPr>
          <w:rFonts w:ascii="Calibri Light" w:hAnsi="Calibri Light" w:cs="Calibri Light"/>
          <w:sz w:val="28"/>
          <w:szCs w:val="28"/>
        </w:rPr>
        <w:t>row</w:t>
      </w:r>
      <w:r w:rsidR="003A5E32">
        <w:rPr>
          <w:rFonts w:ascii="Calibri Light" w:hAnsi="Calibri Light" w:cs="Calibri Light"/>
          <w:sz w:val="28"/>
          <w:szCs w:val="28"/>
        </w:rPr>
        <w:t>th</w:t>
      </w:r>
      <w:r w:rsidR="009505F4" w:rsidRPr="009505F4">
        <w:rPr>
          <w:rFonts w:ascii="Calibri Light" w:hAnsi="Calibri Light" w:cs="Calibri Light"/>
          <w:sz w:val="28"/>
          <w:szCs w:val="28"/>
        </w:rPr>
        <w:t xml:space="preserve"> </w:t>
      </w:r>
      <w:r w:rsidR="008210B8">
        <w:rPr>
          <w:rFonts w:ascii="Calibri Light" w:hAnsi="Calibri Light" w:cs="Calibri Light"/>
          <w:sz w:val="28"/>
          <w:szCs w:val="28"/>
        </w:rPr>
        <w:t xml:space="preserve">of joint/collaborative ventures between UK universities and </w:t>
      </w:r>
      <w:r w:rsidR="009505F4" w:rsidRPr="009505F4">
        <w:rPr>
          <w:rFonts w:ascii="Calibri Light" w:hAnsi="Calibri Light" w:cs="Calibri Light"/>
          <w:sz w:val="28"/>
          <w:szCs w:val="28"/>
        </w:rPr>
        <w:t xml:space="preserve">specialist, </w:t>
      </w:r>
      <w:r w:rsidR="003A5E32">
        <w:rPr>
          <w:rFonts w:ascii="Calibri Light" w:hAnsi="Calibri Light" w:cs="Calibri Light"/>
          <w:sz w:val="28"/>
          <w:szCs w:val="28"/>
        </w:rPr>
        <w:t xml:space="preserve">mainly private </w:t>
      </w:r>
      <w:r w:rsidR="009505F4" w:rsidRPr="009505F4">
        <w:rPr>
          <w:rFonts w:ascii="Calibri Light" w:hAnsi="Calibri Light" w:cs="Calibri Light"/>
          <w:sz w:val="28"/>
          <w:szCs w:val="28"/>
        </w:rPr>
        <w:t>corporate ODL providers (such as Coursera, Kaplan</w:t>
      </w:r>
      <w:r w:rsidR="000D13A6">
        <w:rPr>
          <w:rFonts w:ascii="Calibri Light" w:hAnsi="Calibri Light" w:cs="Calibri Light"/>
          <w:sz w:val="28"/>
          <w:szCs w:val="28"/>
        </w:rPr>
        <w:t xml:space="preserve"> and</w:t>
      </w:r>
      <w:r w:rsidR="009505F4" w:rsidRPr="009505F4">
        <w:rPr>
          <w:rFonts w:ascii="Calibri Light" w:hAnsi="Calibri Light" w:cs="Calibri Light"/>
          <w:sz w:val="28"/>
          <w:szCs w:val="28"/>
        </w:rPr>
        <w:t xml:space="preserve"> Laureate) is also symptomatic of the challenges faced by universities </w:t>
      </w:r>
      <w:r w:rsidR="000D13A6">
        <w:rPr>
          <w:rFonts w:ascii="Calibri Light" w:hAnsi="Calibri Light" w:cs="Calibri Light"/>
          <w:sz w:val="28"/>
          <w:szCs w:val="28"/>
        </w:rPr>
        <w:t xml:space="preserve">in </w:t>
      </w:r>
      <w:r w:rsidR="009505F4" w:rsidRPr="009505F4">
        <w:rPr>
          <w:rFonts w:ascii="Calibri Light" w:hAnsi="Calibri Light" w:cs="Calibri Light"/>
          <w:sz w:val="28"/>
          <w:szCs w:val="28"/>
        </w:rPr>
        <w:t>developing large-scale ODL provision on their own</w:t>
      </w:r>
      <w:r w:rsidR="003A5E32">
        <w:rPr>
          <w:rStyle w:val="FootnoteReference"/>
          <w:rFonts w:ascii="Calibri Light" w:hAnsi="Calibri Light" w:cs="Calibri Light"/>
          <w:sz w:val="28"/>
          <w:szCs w:val="28"/>
        </w:rPr>
        <w:footnoteReference w:id="15"/>
      </w:r>
      <w:r w:rsidR="009505F4" w:rsidRPr="009505F4">
        <w:rPr>
          <w:rFonts w:ascii="Calibri Light" w:hAnsi="Calibri Light" w:cs="Calibri Light"/>
          <w:sz w:val="28"/>
          <w:szCs w:val="28"/>
        </w:rPr>
        <w:t xml:space="preserve">. </w:t>
      </w:r>
      <w:r w:rsidR="008F22E8" w:rsidRPr="009505F4">
        <w:rPr>
          <w:rFonts w:ascii="Calibri Light" w:hAnsi="Calibri Light" w:cs="Calibri Light"/>
          <w:sz w:val="28"/>
          <w:szCs w:val="28"/>
        </w:rPr>
        <w:t xml:space="preserve"> </w:t>
      </w:r>
    </w:p>
    <w:p w14:paraId="21FF515D" w14:textId="6B087832" w:rsidR="000C76FB" w:rsidRDefault="00231A6F" w:rsidP="008F22E8">
      <w:pPr>
        <w:jc w:val="both"/>
        <w:rPr>
          <w:rFonts w:ascii="Calibri Light" w:hAnsi="Calibri Light" w:cs="Calibri Light"/>
          <w:sz w:val="28"/>
          <w:szCs w:val="28"/>
        </w:rPr>
      </w:pPr>
      <w:r w:rsidRPr="00F967AD">
        <w:rPr>
          <w:rFonts w:ascii="Calibri Light" w:hAnsi="Calibri Light" w:cs="Calibri Light"/>
          <w:sz w:val="28"/>
          <w:szCs w:val="28"/>
        </w:rPr>
        <w:lastRenderedPageBreak/>
        <w:t xml:space="preserve">Similarly, enrolments at the overseas branch campuses of UK </w:t>
      </w:r>
      <w:r>
        <w:rPr>
          <w:rFonts w:ascii="Calibri Light" w:hAnsi="Calibri Light" w:cs="Calibri Light"/>
          <w:sz w:val="28"/>
          <w:szCs w:val="28"/>
        </w:rPr>
        <w:t xml:space="preserve">only </w:t>
      </w:r>
      <w:r w:rsidRPr="00F967AD">
        <w:rPr>
          <w:rFonts w:ascii="Calibri Light" w:hAnsi="Calibri Light" w:cs="Calibri Light"/>
          <w:sz w:val="28"/>
          <w:szCs w:val="28"/>
        </w:rPr>
        <w:t>increased from 23,000 in 2014/15 to 30,000 in 2019/20</w:t>
      </w:r>
      <w:r w:rsidRPr="00F967AD">
        <w:rPr>
          <w:rStyle w:val="FootnoteReference"/>
          <w:rFonts w:ascii="Calibri Light" w:hAnsi="Calibri Light" w:cs="Calibri Light"/>
          <w:sz w:val="28"/>
          <w:szCs w:val="28"/>
        </w:rPr>
        <w:footnoteReference w:id="16"/>
      </w:r>
      <w:r w:rsidRPr="00F967AD">
        <w:rPr>
          <w:rFonts w:ascii="Calibri Light" w:hAnsi="Calibri Light" w:cs="Calibri Light"/>
          <w:sz w:val="28"/>
          <w:szCs w:val="28"/>
        </w:rPr>
        <w:t xml:space="preserve">. The share of these enrolments </w:t>
      </w:r>
      <w:r w:rsidR="00485405" w:rsidRPr="00F967AD">
        <w:rPr>
          <w:rFonts w:ascii="Calibri Light" w:hAnsi="Calibri Light" w:cs="Calibri Light"/>
          <w:sz w:val="28"/>
          <w:szCs w:val="28"/>
        </w:rPr>
        <w:t xml:space="preserve">remained constant at </w:t>
      </w:r>
      <w:r w:rsidR="003A4008" w:rsidRPr="00F967AD">
        <w:rPr>
          <w:rFonts w:ascii="Calibri Light" w:hAnsi="Calibri Light" w:cs="Calibri Light"/>
          <w:sz w:val="28"/>
          <w:szCs w:val="28"/>
        </w:rPr>
        <w:t>7%</w:t>
      </w:r>
      <w:r w:rsidR="00F967AD" w:rsidRPr="00F967AD">
        <w:rPr>
          <w:rFonts w:ascii="Calibri Light" w:hAnsi="Calibri Light" w:cs="Calibri Light"/>
          <w:sz w:val="28"/>
          <w:szCs w:val="28"/>
        </w:rPr>
        <w:t xml:space="preserve">. </w:t>
      </w:r>
      <w:r w:rsidR="009505F4">
        <w:rPr>
          <w:rFonts w:ascii="Calibri Light" w:hAnsi="Calibri Light" w:cs="Calibri Light"/>
          <w:sz w:val="28"/>
          <w:szCs w:val="28"/>
        </w:rPr>
        <w:t xml:space="preserve">North American </w:t>
      </w:r>
      <w:r w:rsidR="00BB66F4" w:rsidRPr="00F967AD">
        <w:rPr>
          <w:rFonts w:ascii="Calibri Light" w:hAnsi="Calibri Light" w:cs="Calibri Light"/>
          <w:sz w:val="28"/>
          <w:szCs w:val="28"/>
        </w:rPr>
        <w:t>and European universit</w:t>
      </w:r>
      <w:r w:rsidR="00F967AD">
        <w:rPr>
          <w:rFonts w:ascii="Calibri Light" w:hAnsi="Calibri Light" w:cs="Calibri Light"/>
          <w:sz w:val="28"/>
          <w:szCs w:val="28"/>
        </w:rPr>
        <w:t>y</w:t>
      </w:r>
      <w:r w:rsidR="00BB66F4" w:rsidRPr="00F967AD">
        <w:rPr>
          <w:rFonts w:ascii="Calibri Light" w:hAnsi="Calibri Light" w:cs="Calibri Light"/>
          <w:sz w:val="28"/>
          <w:szCs w:val="28"/>
        </w:rPr>
        <w:t xml:space="preserve"> involvement in TNE has been </w:t>
      </w:r>
      <w:r w:rsidR="009505F4">
        <w:rPr>
          <w:rFonts w:ascii="Calibri Light" w:hAnsi="Calibri Light" w:cs="Calibri Light"/>
          <w:sz w:val="28"/>
          <w:szCs w:val="28"/>
        </w:rPr>
        <w:t xml:space="preserve">mainly </w:t>
      </w:r>
      <w:r w:rsidR="00F967AD">
        <w:rPr>
          <w:rFonts w:ascii="Calibri Light" w:hAnsi="Calibri Light" w:cs="Calibri Light"/>
          <w:sz w:val="28"/>
          <w:szCs w:val="28"/>
        </w:rPr>
        <w:t xml:space="preserve">limited to the establishment of </w:t>
      </w:r>
      <w:r w:rsidR="000D13A6">
        <w:rPr>
          <w:rFonts w:ascii="Calibri Light" w:hAnsi="Calibri Light" w:cs="Calibri Light"/>
          <w:sz w:val="28"/>
          <w:szCs w:val="28"/>
        </w:rPr>
        <w:t>OBC</w:t>
      </w:r>
      <w:r w:rsidR="008210B8">
        <w:rPr>
          <w:rFonts w:ascii="Calibri Light" w:hAnsi="Calibri Light" w:cs="Calibri Light"/>
          <w:sz w:val="28"/>
          <w:szCs w:val="28"/>
        </w:rPr>
        <w:t>s</w:t>
      </w:r>
      <w:r w:rsidR="00BB66F4" w:rsidRPr="00F967AD">
        <w:rPr>
          <w:rFonts w:ascii="Calibri Light" w:hAnsi="Calibri Light" w:cs="Calibri Light"/>
          <w:sz w:val="28"/>
          <w:szCs w:val="28"/>
        </w:rPr>
        <w:t>. Consequently</w:t>
      </w:r>
      <w:r w:rsidR="00F967AD">
        <w:rPr>
          <w:rFonts w:ascii="Calibri Light" w:hAnsi="Calibri Light" w:cs="Calibri Light"/>
          <w:sz w:val="28"/>
          <w:szCs w:val="28"/>
        </w:rPr>
        <w:t>,</w:t>
      </w:r>
      <w:r w:rsidR="00BB66F4" w:rsidRPr="00F967AD">
        <w:rPr>
          <w:rFonts w:ascii="Calibri Light" w:hAnsi="Calibri Light" w:cs="Calibri Light"/>
          <w:sz w:val="28"/>
          <w:szCs w:val="28"/>
        </w:rPr>
        <w:t xml:space="preserve"> </w:t>
      </w:r>
      <w:r w:rsidR="00F967AD">
        <w:rPr>
          <w:rFonts w:ascii="Calibri Light" w:hAnsi="Calibri Light" w:cs="Calibri Light"/>
          <w:sz w:val="28"/>
          <w:szCs w:val="28"/>
        </w:rPr>
        <w:t xml:space="preserve">the </w:t>
      </w:r>
      <w:r w:rsidR="00BB66F4" w:rsidRPr="00F967AD">
        <w:rPr>
          <w:rFonts w:ascii="Calibri Light" w:hAnsi="Calibri Light" w:cs="Calibri Light"/>
          <w:sz w:val="28"/>
          <w:szCs w:val="28"/>
        </w:rPr>
        <w:t xml:space="preserve">level of competition </w:t>
      </w:r>
      <w:r w:rsidR="00F967AD">
        <w:rPr>
          <w:rFonts w:ascii="Calibri Light" w:hAnsi="Calibri Light" w:cs="Calibri Light"/>
          <w:sz w:val="28"/>
          <w:szCs w:val="28"/>
        </w:rPr>
        <w:t xml:space="preserve">in this specific market segment </w:t>
      </w:r>
      <w:r w:rsidR="00BB66F4" w:rsidRPr="00F967AD">
        <w:rPr>
          <w:rFonts w:ascii="Calibri Light" w:hAnsi="Calibri Light" w:cs="Calibri Light"/>
          <w:sz w:val="28"/>
          <w:szCs w:val="28"/>
        </w:rPr>
        <w:t xml:space="preserve">is </w:t>
      </w:r>
      <w:r w:rsidR="00F967AD">
        <w:rPr>
          <w:rFonts w:ascii="Calibri Light" w:hAnsi="Calibri Light" w:cs="Calibri Light"/>
          <w:sz w:val="28"/>
          <w:szCs w:val="28"/>
        </w:rPr>
        <w:t xml:space="preserve">particularly </w:t>
      </w:r>
      <w:r w:rsidR="00BB66F4" w:rsidRPr="00F967AD">
        <w:rPr>
          <w:rFonts w:ascii="Calibri Light" w:hAnsi="Calibri Light" w:cs="Calibri Light"/>
          <w:sz w:val="28"/>
          <w:szCs w:val="28"/>
        </w:rPr>
        <w:t>intense</w:t>
      </w:r>
      <w:r w:rsidR="00F967AD">
        <w:rPr>
          <w:rFonts w:ascii="Calibri Light" w:hAnsi="Calibri Light" w:cs="Calibri Light"/>
          <w:sz w:val="28"/>
          <w:szCs w:val="28"/>
        </w:rPr>
        <w:t xml:space="preserve">. </w:t>
      </w:r>
      <w:r w:rsidR="000D13A6">
        <w:rPr>
          <w:rFonts w:ascii="Calibri Light" w:hAnsi="Calibri Light" w:cs="Calibri Light"/>
          <w:sz w:val="28"/>
          <w:szCs w:val="28"/>
        </w:rPr>
        <w:t xml:space="preserve">As noted earlier, some </w:t>
      </w:r>
      <w:r w:rsidR="00F967AD">
        <w:rPr>
          <w:rFonts w:ascii="Calibri Light" w:hAnsi="Calibri Light" w:cs="Calibri Light"/>
          <w:sz w:val="28"/>
          <w:szCs w:val="28"/>
        </w:rPr>
        <w:t>g</w:t>
      </w:r>
      <w:r w:rsidR="00D75D62" w:rsidRPr="00F967AD">
        <w:rPr>
          <w:rFonts w:ascii="Calibri Light" w:hAnsi="Calibri Light" w:cs="Calibri Light"/>
          <w:sz w:val="28"/>
          <w:szCs w:val="28"/>
        </w:rPr>
        <w:t>overnments</w:t>
      </w:r>
      <w:r w:rsidR="00F967AD">
        <w:rPr>
          <w:rFonts w:ascii="Calibri Light" w:hAnsi="Calibri Light" w:cs="Calibri Light"/>
          <w:sz w:val="28"/>
          <w:szCs w:val="28"/>
        </w:rPr>
        <w:t>,</w:t>
      </w:r>
      <w:r w:rsidR="00D75D62" w:rsidRPr="00F967AD">
        <w:rPr>
          <w:rFonts w:ascii="Calibri Light" w:hAnsi="Calibri Light" w:cs="Calibri Light"/>
          <w:sz w:val="28"/>
          <w:szCs w:val="28"/>
        </w:rPr>
        <w:t xml:space="preserve"> in</w:t>
      </w:r>
      <w:r w:rsidR="00F967AD">
        <w:rPr>
          <w:rFonts w:ascii="Calibri Light" w:hAnsi="Calibri Light" w:cs="Calibri Light"/>
          <w:sz w:val="28"/>
          <w:szCs w:val="28"/>
        </w:rPr>
        <w:t xml:space="preserve">cluding </w:t>
      </w:r>
      <w:r w:rsidR="00D75D62" w:rsidRPr="00F967AD">
        <w:rPr>
          <w:rFonts w:ascii="Calibri Light" w:hAnsi="Calibri Light" w:cs="Calibri Light"/>
          <w:sz w:val="28"/>
          <w:szCs w:val="28"/>
        </w:rPr>
        <w:t>in Singapore and China</w:t>
      </w:r>
      <w:r w:rsidR="00F967AD">
        <w:rPr>
          <w:rFonts w:ascii="Calibri Light" w:hAnsi="Calibri Light" w:cs="Calibri Light"/>
          <w:sz w:val="28"/>
          <w:szCs w:val="28"/>
        </w:rPr>
        <w:t>,</w:t>
      </w:r>
      <w:r w:rsidR="00D75D62" w:rsidRPr="00F967AD">
        <w:rPr>
          <w:rFonts w:ascii="Calibri Light" w:hAnsi="Calibri Light" w:cs="Calibri Light"/>
          <w:sz w:val="28"/>
          <w:szCs w:val="28"/>
        </w:rPr>
        <w:t xml:space="preserve"> </w:t>
      </w:r>
      <w:r w:rsidR="00F967AD">
        <w:rPr>
          <w:rFonts w:ascii="Calibri Light" w:hAnsi="Calibri Light" w:cs="Calibri Light"/>
          <w:sz w:val="28"/>
          <w:szCs w:val="28"/>
        </w:rPr>
        <w:t xml:space="preserve">are </w:t>
      </w:r>
      <w:r w:rsidR="00D75D62" w:rsidRPr="00F967AD">
        <w:rPr>
          <w:rFonts w:ascii="Calibri Light" w:hAnsi="Calibri Light" w:cs="Calibri Light"/>
          <w:sz w:val="28"/>
          <w:szCs w:val="28"/>
        </w:rPr>
        <w:t>deliberately seek</w:t>
      </w:r>
      <w:r w:rsidR="00F967AD">
        <w:rPr>
          <w:rFonts w:ascii="Calibri Light" w:hAnsi="Calibri Light" w:cs="Calibri Light"/>
          <w:sz w:val="28"/>
          <w:szCs w:val="28"/>
        </w:rPr>
        <w:t>ing</w:t>
      </w:r>
      <w:r w:rsidR="00D75D62" w:rsidRPr="00F967AD">
        <w:rPr>
          <w:rFonts w:ascii="Calibri Light" w:hAnsi="Calibri Light" w:cs="Calibri Light"/>
          <w:sz w:val="28"/>
          <w:szCs w:val="28"/>
        </w:rPr>
        <w:t xml:space="preserve"> to attract </w:t>
      </w:r>
      <w:r w:rsidR="00F967AD">
        <w:rPr>
          <w:rFonts w:ascii="Calibri Light" w:hAnsi="Calibri Light" w:cs="Calibri Light"/>
          <w:sz w:val="28"/>
          <w:szCs w:val="28"/>
        </w:rPr>
        <w:t>(</w:t>
      </w:r>
      <w:r w:rsidR="00D75D62" w:rsidRPr="00F967AD">
        <w:rPr>
          <w:rFonts w:ascii="Calibri Light" w:hAnsi="Calibri Light" w:cs="Calibri Light"/>
          <w:sz w:val="28"/>
          <w:szCs w:val="28"/>
        </w:rPr>
        <w:t>and sometimes form joint ventures</w:t>
      </w:r>
      <w:r w:rsidR="000D13A6">
        <w:rPr>
          <w:rFonts w:ascii="Calibri Light" w:hAnsi="Calibri Light" w:cs="Calibri Light"/>
          <w:sz w:val="28"/>
          <w:szCs w:val="28"/>
        </w:rPr>
        <w:t xml:space="preserve"> with</w:t>
      </w:r>
      <w:r w:rsidR="008210B8">
        <w:rPr>
          <w:rFonts w:ascii="Calibri Light" w:hAnsi="Calibri Light" w:cs="Calibri Light"/>
          <w:sz w:val="28"/>
          <w:szCs w:val="28"/>
        </w:rPr>
        <w:t>)</w:t>
      </w:r>
      <w:r w:rsidR="000D13A6">
        <w:rPr>
          <w:rFonts w:ascii="Calibri Light" w:hAnsi="Calibri Light" w:cs="Calibri Light"/>
          <w:sz w:val="28"/>
          <w:szCs w:val="28"/>
        </w:rPr>
        <w:t xml:space="preserve"> high ranked</w:t>
      </w:r>
      <w:r w:rsidR="00F967AD">
        <w:rPr>
          <w:rFonts w:ascii="Calibri Light" w:hAnsi="Calibri Light" w:cs="Calibri Light"/>
          <w:sz w:val="28"/>
          <w:szCs w:val="28"/>
        </w:rPr>
        <w:t xml:space="preserve"> </w:t>
      </w:r>
      <w:r w:rsidR="000D13A6">
        <w:rPr>
          <w:rFonts w:ascii="Calibri Light" w:hAnsi="Calibri Light" w:cs="Calibri Light"/>
          <w:sz w:val="28"/>
          <w:szCs w:val="28"/>
        </w:rPr>
        <w:t xml:space="preserve">‘world class’ </w:t>
      </w:r>
      <w:r w:rsidR="00D75D62" w:rsidRPr="00F967AD">
        <w:rPr>
          <w:rFonts w:ascii="Calibri Light" w:hAnsi="Calibri Light" w:cs="Calibri Light"/>
          <w:sz w:val="28"/>
          <w:szCs w:val="28"/>
        </w:rPr>
        <w:t xml:space="preserve">universities. </w:t>
      </w:r>
      <w:r w:rsidR="004258C4" w:rsidRPr="00F967AD">
        <w:rPr>
          <w:rFonts w:ascii="Calibri Light" w:hAnsi="Calibri Light" w:cs="Calibri Light"/>
          <w:sz w:val="28"/>
          <w:szCs w:val="28"/>
        </w:rPr>
        <w:t xml:space="preserve"> </w:t>
      </w:r>
      <w:r w:rsidR="00F967AD">
        <w:rPr>
          <w:rFonts w:ascii="Calibri Light" w:hAnsi="Calibri Light" w:cs="Calibri Light"/>
          <w:sz w:val="28"/>
          <w:szCs w:val="28"/>
        </w:rPr>
        <w:t>The relatively high fee</w:t>
      </w:r>
      <w:r w:rsidR="009505F4">
        <w:rPr>
          <w:rFonts w:ascii="Calibri Light" w:hAnsi="Calibri Light" w:cs="Calibri Light"/>
          <w:sz w:val="28"/>
          <w:szCs w:val="28"/>
        </w:rPr>
        <w:t>s charged by</w:t>
      </w:r>
      <w:r w:rsidR="00F967AD">
        <w:rPr>
          <w:rFonts w:ascii="Calibri Light" w:hAnsi="Calibri Light" w:cs="Calibri Light"/>
          <w:sz w:val="28"/>
          <w:szCs w:val="28"/>
        </w:rPr>
        <w:t xml:space="preserve"> OBCs is a</w:t>
      </w:r>
      <w:r w:rsidR="009505F4">
        <w:rPr>
          <w:rFonts w:ascii="Calibri Light" w:hAnsi="Calibri Light" w:cs="Calibri Light"/>
          <w:sz w:val="28"/>
          <w:szCs w:val="28"/>
        </w:rPr>
        <w:t xml:space="preserve">nother </w:t>
      </w:r>
      <w:r w:rsidR="009C2B5D" w:rsidRPr="00F967AD">
        <w:rPr>
          <w:rFonts w:ascii="Calibri Light" w:hAnsi="Calibri Light" w:cs="Calibri Light"/>
          <w:sz w:val="28"/>
          <w:szCs w:val="28"/>
        </w:rPr>
        <w:t>major demand constraint.</w:t>
      </w:r>
      <w:r w:rsidR="00F967AD">
        <w:rPr>
          <w:rFonts w:ascii="Calibri Light" w:hAnsi="Calibri Light" w:cs="Calibri Light"/>
          <w:sz w:val="28"/>
          <w:szCs w:val="28"/>
        </w:rPr>
        <w:t xml:space="preserve"> </w:t>
      </w:r>
      <w:r w:rsidR="0002425C" w:rsidRPr="00F967AD">
        <w:rPr>
          <w:rFonts w:ascii="Calibri Light" w:hAnsi="Calibri Light" w:cs="Calibri Light"/>
          <w:sz w:val="28"/>
          <w:szCs w:val="28"/>
        </w:rPr>
        <w:t xml:space="preserve">Increasingly </w:t>
      </w:r>
      <w:r w:rsidR="00F967AD">
        <w:rPr>
          <w:rFonts w:ascii="Calibri Light" w:hAnsi="Calibri Light" w:cs="Calibri Light"/>
          <w:sz w:val="28"/>
          <w:szCs w:val="28"/>
        </w:rPr>
        <w:t>OBCs are seen as being less attractive than was originally envisaged and it has been suggested that</w:t>
      </w:r>
      <w:r w:rsidR="008F22E8">
        <w:rPr>
          <w:rFonts w:ascii="Calibri Light" w:hAnsi="Calibri Light" w:cs="Calibri Light"/>
          <w:sz w:val="28"/>
          <w:szCs w:val="28"/>
        </w:rPr>
        <w:t>,</w:t>
      </w:r>
      <w:r w:rsidR="00F967AD">
        <w:rPr>
          <w:rFonts w:ascii="Calibri Light" w:hAnsi="Calibri Light" w:cs="Calibri Light"/>
          <w:sz w:val="28"/>
          <w:szCs w:val="28"/>
        </w:rPr>
        <w:t xml:space="preserve"> in Australia</w:t>
      </w:r>
      <w:r w:rsidR="008210B8">
        <w:rPr>
          <w:rFonts w:ascii="Calibri Light" w:hAnsi="Calibri Light" w:cs="Calibri Light"/>
          <w:sz w:val="28"/>
          <w:szCs w:val="28"/>
        </w:rPr>
        <w:t xml:space="preserve"> where OBC </w:t>
      </w:r>
      <w:r w:rsidR="003A5E32">
        <w:rPr>
          <w:rFonts w:ascii="Calibri Light" w:hAnsi="Calibri Light" w:cs="Calibri Light"/>
          <w:sz w:val="28"/>
          <w:szCs w:val="28"/>
        </w:rPr>
        <w:t xml:space="preserve">students </w:t>
      </w:r>
      <w:r w:rsidR="008210B8">
        <w:rPr>
          <w:rFonts w:ascii="Calibri Light" w:hAnsi="Calibri Light" w:cs="Calibri Light"/>
          <w:sz w:val="28"/>
          <w:szCs w:val="28"/>
        </w:rPr>
        <w:t>account for over one-third of TNE enrolments</w:t>
      </w:r>
      <w:r w:rsidR="00F967AD">
        <w:rPr>
          <w:rFonts w:ascii="Calibri Light" w:hAnsi="Calibri Light" w:cs="Calibri Light"/>
          <w:sz w:val="28"/>
          <w:szCs w:val="28"/>
        </w:rPr>
        <w:t>, this amounts to a ‘boom and bust’ situation</w:t>
      </w:r>
      <w:r w:rsidR="0002425C" w:rsidRPr="00F967AD">
        <w:rPr>
          <w:rFonts w:ascii="Calibri Light" w:hAnsi="Calibri Light" w:cs="Calibri Light"/>
          <w:sz w:val="28"/>
          <w:szCs w:val="28"/>
        </w:rPr>
        <w:t>.</w:t>
      </w:r>
    </w:p>
    <w:p w14:paraId="0C7D4FCA" w14:textId="60333C2C" w:rsidR="0002425C" w:rsidRPr="00C52A9D" w:rsidRDefault="00D37EB4" w:rsidP="00C52A9D">
      <w:pPr>
        <w:pStyle w:val="FILHeader1"/>
        <w:numPr>
          <w:ilvl w:val="0"/>
          <w:numId w:val="23"/>
        </w:numPr>
        <w:rPr>
          <w:rFonts w:ascii="Calibri Light" w:hAnsi="Calibri Light" w:cs="Calibri Light"/>
          <w:i/>
          <w:sz w:val="28"/>
          <w:szCs w:val="28"/>
        </w:rPr>
      </w:pPr>
      <w:r w:rsidRPr="00C52A9D">
        <w:rPr>
          <w:rFonts w:ascii="Calibri Light" w:hAnsi="Calibri Light" w:cs="Calibri Light"/>
          <w:i/>
          <w:sz w:val="28"/>
          <w:szCs w:val="28"/>
        </w:rPr>
        <w:t>The Brexit and Covid shocks</w:t>
      </w:r>
      <w:r w:rsidR="0002425C" w:rsidRPr="00C52A9D">
        <w:rPr>
          <w:rFonts w:ascii="Calibri Light" w:hAnsi="Calibri Light" w:cs="Calibri Light"/>
          <w:i/>
          <w:sz w:val="28"/>
          <w:szCs w:val="28"/>
        </w:rPr>
        <w:t xml:space="preserve"> </w:t>
      </w:r>
    </w:p>
    <w:p w14:paraId="31D14FEA" w14:textId="01E0A040" w:rsidR="00F01AD2" w:rsidRPr="001361CA" w:rsidRDefault="00A526AB" w:rsidP="00D37EB4">
      <w:pPr>
        <w:rPr>
          <w:rFonts w:ascii="Calibri Light" w:hAnsi="Calibri Light" w:cs="Calibri Light"/>
          <w:i/>
          <w:sz w:val="28"/>
          <w:szCs w:val="28"/>
        </w:rPr>
      </w:pPr>
      <w:r w:rsidRPr="001361CA">
        <w:rPr>
          <w:rFonts w:ascii="Calibri Light" w:hAnsi="Calibri Light" w:cs="Calibri Light"/>
          <w:i/>
          <w:sz w:val="28"/>
          <w:szCs w:val="28"/>
        </w:rPr>
        <w:t>4.1 Overall impacts</w:t>
      </w:r>
    </w:p>
    <w:p w14:paraId="6306CFD1" w14:textId="7AAC6490" w:rsidR="00B17EE7" w:rsidRPr="001361CA" w:rsidRDefault="00B17EE7" w:rsidP="00D37EB4">
      <w:pPr>
        <w:rPr>
          <w:rFonts w:ascii="Calibri Light" w:hAnsi="Calibri Light" w:cs="Calibri Light"/>
          <w:i/>
          <w:sz w:val="28"/>
          <w:szCs w:val="28"/>
        </w:rPr>
      </w:pPr>
      <w:r w:rsidRPr="001361CA">
        <w:rPr>
          <w:rFonts w:ascii="Calibri Light" w:hAnsi="Calibri Light" w:cs="Calibri Light"/>
          <w:i/>
          <w:sz w:val="28"/>
          <w:szCs w:val="28"/>
        </w:rPr>
        <w:t>UK universities</w:t>
      </w:r>
    </w:p>
    <w:p w14:paraId="26539631" w14:textId="6E33B99D" w:rsidR="0036647C" w:rsidRDefault="00286846" w:rsidP="00F93740">
      <w:pPr>
        <w:jc w:val="both"/>
        <w:rPr>
          <w:rFonts w:ascii="Calibri Light" w:hAnsi="Calibri Light" w:cs="Calibri Light"/>
          <w:sz w:val="28"/>
          <w:szCs w:val="28"/>
        </w:rPr>
      </w:pPr>
      <w:r>
        <w:rPr>
          <w:rFonts w:ascii="Calibri Light" w:hAnsi="Calibri Light" w:cs="Calibri Light"/>
          <w:sz w:val="28"/>
          <w:szCs w:val="28"/>
        </w:rPr>
        <w:t xml:space="preserve">Having increased by only 11% between 2014/15 and 2019/20, total </w:t>
      </w:r>
      <w:r w:rsidR="00F93740">
        <w:rPr>
          <w:rFonts w:ascii="Calibri Light" w:hAnsi="Calibri Light" w:cs="Calibri Light"/>
          <w:sz w:val="28"/>
          <w:szCs w:val="28"/>
        </w:rPr>
        <w:t xml:space="preserve">UK </w:t>
      </w:r>
      <w:r>
        <w:rPr>
          <w:rFonts w:ascii="Calibri Light" w:hAnsi="Calibri Light" w:cs="Calibri Light"/>
          <w:sz w:val="28"/>
          <w:szCs w:val="28"/>
        </w:rPr>
        <w:t xml:space="preserve">offshore enrolments fell by 17% </w:t>
      </w:r>
      <w:r w:rsidR="0071034E">
        <w:rPr>
          <w:rFonts w:ascii="Calibri Light" w:hAnsi="Calibri Light" w:cs="Calibri Light"/>
          <w:sz w:val="28"/>
          <w:szCs w:val="28"/>
        </w:rPr>
        <w:t xml:space="preserve">between the end of AY 2019/20 and </w:t>
      </w:r>
      <w:r>
        <w:rPr>
          <w:rFonts w:ascii="Calibri Light" w:hAnsi="Calibri Light" w:cs="Calibri Light"/>
          <w:sz w:val="28"/>
          <w:szCs w:val="28"/>
        </w:rPr>
        <w:t>the end of the first term of AY 2020/21</w:t>
      </w:r>
      <w:r w:rsidR="00F93740">
        <w:rPr>
          <w:rFonts w:ascii="Calibri Light" w:hAnsi="Calibri Light" w:cs="Calibri Light"/>
          <w:sz w:val="28"/>
          <w:szCs w:val="28"/>
        </w:rPr>
        <w:t xml:space="preserve"> (see table </w:t>
      </w:r>
      <w:r w:rsidR="0036647C">
        <w:rPr>
          <w:rFonts w:ascii="Calibri Light" w:hAnsi="Calibri Light" w:cs="Calibri Light"/>
          <w:sz w:val="28"/>
          <w:szCs w:val="28"/>
        </w:rPr>
        <w:t>4</w:t>
      </w:r>
      <w:r w:rsidR="00F93740">
        <w:rPr>
          <w:rFonts w:ascii="Calibri Light" w:hAnsi="Calibri Light" w:cs="Calibri Light"/>
          <w:sz w:val="28"/>
          <w:szCs w:val="28"/>
        </w:rPr>
        <w:t>)</w:t>
      </w:r>
      <w:r>
        <w:rPr>
          <w:rFonts w:ascii="Calibri Light" w:hAnsi="Calibri Light" w:cs="Calibri Light"/>
          <w:sz w:val="28"/>
          <w:szCs w:val="28"/>
        </w:rPr>
        <w:t xml:space="preserve">. As will be discussed below, there are marked differences in </w:t>
      </w:r>
      <w:r w:rsidR="00196A59">
        <w:rPr>
          <w:rFonts w:ascii="Calibri Light" w:hAnsi="Calibri Light" w:cs="Calibri Light"/>
          <w:sz w:val="28"/>
          <w:szCs w:val="28"/>
        </w:rPr>
        <w:t xml:space="preserve">the overall size of these enrolment shocks </w:t>
      </w:r>
      <w:r>
        <w:rPr>
          <w:rFonts w:ascii="Calibri Light" w:hAnsi="Calibri Light" w:cs="Calibri Light"/>
          <w:sz w:val="28"/>
          <w:szCs w:val="28"/>
        </w:rPr>
        <w:t xml:space="preserve">between the EU and </w:t>
      </w:r>
      <w:r w:rsidR="003A5E32">
        <w:rPr>
          <w:rFonts w:ascii="Calibri Light" w:hAnsi="Calibri Light" w:cs="Calibri Light"/>
          <w:sz w:val="28"/>
          <w:szCs w:val="28"/>
        </w:rPr>
        <w:t xml:space="preserve">the </w:t>
      </w:r>
      <w:r w:rsidR="000D13A6">
        <w:rPr>
          <w:rFonts w:ascii="Calibri Light" w:hAnsi="Calibri Light" w:cs="Calibri Light"/>
          <w:sz w:val="28"/>
          <w:szCs w:val="28"/>
        </w:rPr>
        <w:t>rest of the world</w:t>
      </w:r>
      <w:r>
        <w:rPr>
          <w:rFonts w:ascii="Calibri Light" w:hAnsi="Calibri Light" w:cs="Calibri Light"/>
          <w:sz w:val="28"/>
          <w:szCs w:val="28"/>
        </w:rPr>
        <w:t>. Similarl</w:t>
      </w:r>
      <w:r w:rsidR="00196A59">
        <w:rPr>
          <w:rFonts w:ascii="Calibri Light" w:hAnsi="Calibri Light" w:cs="Calibri Light"/>
          <w:sz w:val="28"/>
          <w:szCs w:val="28"/>
        </w:rPr>
        <w:t xml:space="preserve">y, looking at </w:t>
      </w:r>
      <w:r>
        <w:rPr>
          <w:rFonts w:ascii="Calibri Light" w:hAnsi="Calibri Light" w:cs="Calibri Light"/>
          <w:sz w:val="28"/>
          <w:szCs w:val="28"/>
        </w:rPr>
        <w:t>UK universities as a whole</w:t>
      </w:r>
      <w:r w:rsidR="0071034E">
        <w:rPr>
          <w:rFonts w:ascii="Calibri Light" w:hAnsi="Calibri Light" w:cs="Calibri Light"/>
          <w:sz w:val="28"/>
          <w:szCs w:val="28"/>
        </w:rPr>
        <w:t>,</w:t>
      </w:r>
      <w:r>
        <w:rPr>
          <w:rFonts w:ascii="Calibri Light" w:hAnsi="Calibri Light" w:cs="Calibri Light"/>
          <w:sz w:val="28"/>
          <w:szCs w:val="28"/>
        </w:rPr>
        <w:t xml:space="preserve"> it is noticeable </w:t>
      </w:r>
      <w:r w:rsidR="0071034E">
        <w:rPr>
          <w:rFonts w:ascii="Calibri Light" w:hAnsi="Calibri Light" w:cs="Calibri Light"/>
          <w:sz w:val="28"/>
          <w:szCs w:val="28"/>
        </w:rPr>
        <w:t xml:space="preserve">just </w:t>
      </w:r>
      <w:r>
        <w:rPr>
          <w:rFonts w:ascii="Calibri Light" w:hAnsi="Calibri Light" w:cs="Calibri Light"/>
          <w:sz w:val="28"/>
          <w:szCs w:val="28"/>
        </w:rPr>
        <w:t xml:space="preserve">how variable </w:t>
      </w:r>
      <w:r w:rsidR="00F93740">
        <w:rPr>
          <w:rFonts w:ascii="Calibri Light" w:hAnsi="Calibri Light" w:cs="Calibri Light"/>
          <w:sz w:val="28"/>
          <w:szCs w:val="28"/>
        </w:rPr>
        <w:t>enrolment</w:t>
      </w:r>
      <w:r w:rsidR="000D13A6">
        <w:rPr>
          <w:rFonts w:ascii="Calibri Light" w:hAnsi="Calibri Light" w:cs="Calibri Light"/>
          <w:sz w:val="28"/>
          <w:szCs w:val="28"/>
        </w:rPr>
        <w:t xml:space="preserve"> changes </w:t>
      </w:r>
      <w:r w:rsidR="00F93740">
        <w:rPr>
          <w:rFonts w:ascii="Calibri Light" w:hAnsi="Calibri Light" w:cs="Calibri Light"/>
          <w:sz w:val="28"/>
          <w:szCs w:val="28"/>
        </w:rPr>
        <w:t>have been</w:t>
      </w:r>
      <w:r w:rsidR="0071034E">
        <w:rPr>
          <w:rFonts w:ascii="Calibri Light" w:hAnsi="Calibri Light" w:cs="Calibri Light"/>
          <w:sz w:val="28"/>
          <w:szCs w:val="28"/>
        </w:rPr>
        <w:t xml:space="preserve"> from one university to another</w:t>
      </w:r>
      <w:r w:rsidR="00196A59">
        <w:rPr>
          <w:rFonts w:ascii="Calibri Light" w:hAnsi="Calibri Light" w:cs="Calibri Light"/>
          <w:sz w:val="28"/>
          <w:szCs w:val="28"/>
        </w:rPr>
        <w:t>;</w:t>
      </w:r>
      <w:r w:rsidR="0071034E">
        <w:rPr>
          <w:rFonts w:ascii="Calibri Light" w:hAnsi="Calibri Light" w:cs="Calibri Light"/>
          <w:sz w:val="28"/>
          <w:szCs w:val="28"/>
        </w:rPr>
        <w:t xml:space="preserve"> </w:t>
      </w:r>
      <w:r w:rsidR="00196A59">
        <w:rPr>
          <w:rFonts w:ascii="Calibri Light" w:hAnsi="Calibri Light" w:cs="Calibri Light"/>
          <w:sz w:val="28"/>
          <w:szCs w:val="28"/>
        </w:rPr>
        <w:t>w</w:t>
      </w:r>
      <w:r w:rsidR="00F93740">
        <w:rPr>
          <w:rFonts w:ascii="Calibri Light" w:hAnsi="Calibri Light" w:cs="Calibri Light"/>
          <w:sz w:val="28"/>
          <w:szCs w:val="28"/>
        </w:rPr>
        <w:t>hile offshore enrolments increased by more than</w:t>
      </w:r>
      <w:r>
        <w:rPr>
          <w:rFonts w:ascii="Calibri Light" w:hAnsi="Calibri Light" w:cs="Calibri Light"/>
          <w:sz w:val="28"/>
          <w:szCs w:val="28"/>
        </w:rPr>
        <w:t xml:space="preserve"> </w:t>
      </w:r>
      <w:r w:rsidR="00196A59">
        <w:rPr>
          <w:rFonts w:ascii="Calibri Light" w:hAnsi="Calibri Light" w:cs="Calibri Light"/>
          <w:sz w:val="28"/>
          <w:szCs w:val="28"/>
        </w:rPr>
        <w:t>10% at around one-</w:t>
      </w:r>
      <w:r w:rsidR="00F93740">
        <w:rPr>
          <w:rFonts w:ascii="Calibri Light" w:hAnsi="Calibri Light" w:cs="Calibri Light"/>
          <w:sz w:val="28"/>
          <w:szCs w:val="28"/>
        </w:rPr>
        <w:t xml:space="preserve">quarter of </w:t>
      </w:r>
      <w:r w:rsidR="00F93740">
        <w:rPr>
          <w:rFonts w:ascii="Calibri Light" w:hAnsi="Calibri Light" w:cs="Calibri Light"/>
          <w:sz w:val="28"/>
          <w:szCs w:val="28"/>
        </w:rPr>
        <w:lastRenderedPageBreak/>
        <w:t>universities</w:t>
      </w:r>
      <w:r w:rsidR="00A331AC">
        <w:rPr>
          <w:rFonts w:ascii="Calibri Light" w:hAnsi="Calibri Light" w:cs="Calibri Light"/>
          <w:sz w:val="28"/>
          <w:szCs w:val="28"/>
        </w:rPr>
        <w:t xml:space="preserve"> during this five-six month period</w:t>
      </w:r>
      <w:r w:rsidR="00F93740">
        <w:rPr>
          <w:rFonts w:ascii="Calibri Light" w:hAnsi="Calibri Light" w:cs="Calibri Light"/>
          <w:sz w:val="28"/>
          <w:szCs w:val="28"/>
        </w:rPr>
        <w:t xml:space="preserve">, they fell by more than 10% at around half of </w:t>
      </w:r>
      <w:r w:rsidR="001361CA">
        <w:rPr>
          <w:rFonts w:ascii="Calibri Light" w:hAnsi="Calibri Light" w:cs="Calibri Light"/>
          <w:sz w:val="28"/>
          <w:szCs w:val="28"/>
        </w:rPr>
        <w:t xml:space="preserve">all </w:t>
      </w:r>
      <w:r w:rsidR="00F93740">
        <w:rPr>
          <w:rFonts w:ascii="Calibri Light" w:hAnsi="Calibri Light" w:cs="Calibri Light"/>
          <w:sz w:val="28"/>
          <w:szCs w:val="28"/>
        </w:rPr>
        <w:t xml:space="preserve">universities (see table </w:t>
      </w:r>
      <w:r w:rsidR="0036647C">
        <w:rPr>
          <w:rFonts w:ascii="Calibri Light" w:hAnsi="Calibri Light" w:cs="Calibri Light"/>
          <w:sz w:val="28"/>
          <w:szCs w:val="28"/>
        </w:rPr>
        <w:t>5</w:t>
      </w:r>
      <w:r w:rsidR="00F93740">
        <w:rPr>
          <w:rFonts w:ascii="Calibri Light" w:hAnsi="Calibri Light" w:cs="Calibri Light"/>
          <w:sz w:val="28"/>
          <w:szCs w:val="28"/>
        </w:rPr>
        <w:t>).</w:t>
      </w:r>
    </w:p>
    <w:tbl>
      <w:tblPr>
        <w:tblW w:w="7576" w:type="dxa"/>
        <w:tblLook w:val="04A0" w:firstRow="1" w:lastRow="0" w:firstColumn="1" w:lastColumn="0" w:noHBand="0" w:noVBand="1"/>
      </w:tblPr>
      <w:tblGrid>
        <w:gridCol w:w="1093"/>
        <w:gridCol w:w="705"/>
        <w:gridCol w:w="291"/>
        <w:gridCol w:w="743"/>
        <w:gridCol w:w="406"/>
        <w:gridCol w:w="270"/>
        <w:gridCol w:w="695"/>
        <w:gridCol w:w="595"/>
        <w:gridCol w:w="370"/>
        <w:gridCol w:w="408"/>
        <w:gridCol w:w="791"/>
        <w:gridCol w:w="169"/>
        <w:gridCol w:w="705"/>
        <w:gridCol w:w="222"/>
        <w:gridCol w:w="153"/>
        <w:gridCol w:w="965"/>
      </w:tblGrid>
      <w:tr w:rsidR="0040017D" w:rsidRPr="00C52A9D" w14:paraId="4D5EEB7A" w14:textId="77777777" w:rsidTr="003F4101">
        <w:trPr>
          <w:trHeight w:val="300"/>
        </w:trPr>
        <w:tc>
          <w:tcPr>
            <w:tcW w:w="7576" w:type="dxa"/>
            <w:gridSpan w:val="16"/>
            <w:tcBorders>
              <w:top w:val="nil"/>
              <w:left w:val="nil"/>
              <w:bottom w:val="nil"/>
              <w:right w:val="nil"/>
            </w:tcBorders>
            <w:shd w:val="clear" w:color="auto" w:fill="auto"/>
            <w:noWrap/>
            <w:vAlign w:val="bottom"/>
            <w:hideMark/>
          </w:tcPr>
          <w:p w14:paraId="2B072D3B"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Table 4: Annual rate of growth of UK TNE enrolments, 2015/16-2020/21 (%)</w:t>
            </w:r>
          </w:p>
        </w:tc>
      </w:tr>
      <w:tr w:rsidR="0040017D" w:rsidRPr="00C52A9D" w14:paraId="36AC5B9E" w14:textId="77777777" w:rsidTr="003F4101">
        <w:trPr>
          <w:trHeight w:val="288"/>
        </w:trPr>
        <w:tc>
          <w:tcPr>
            <w:tcW w:w="1786" w:type="dxa"/>
            <w:gridSpan w:val="3"/>
            <w:tcBorders>
              <w:top w:val="single" w:sz="8" w:space="0" w:color="auto"/>
              <w:left w:val="single" w:sz="8" w:space="0" w:color="auto"/>
              <w:bottom w:val="nil"/>
              <w:right w:val="nil"/>
            </w:tcBorders>
            <w:shd w:val="clear" w:color="000000" w:fill="BDD7EE"/>
            <w:noWrap/>
            <w:vAlign w:val="bottom"/>
            <w:hideMark/>
          </w:tcPr>
          <w:p w14:paraId="4D7C8641"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gridSpan w:val="2"/>
            <w:tcBorders>
              <w:top w:val="single" w:sz="8" w:space="0" w:color="auto"/>
              <w:left w:val="nil"/>
              <w:bottom w:val="nil"/>
              <w:right w:val="nil"/>
            </w:tcBorders>
            <w:shd w:val="clear" w:color="000000" w:fill="BDD7EE"/>
            <w:noWrap/>
            <w:vAlign w:val="bottom"/>
            <w:hideMark/>
          </w:tcPr>
          <w:p w14:paraId="3D374AC6"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2015/16</w:t>
            </w:r>
          </w:p>
        </w:tc>
        <w:tc>
          <w:tcPr>
            <w:tcW w:w="965" w:type="dxa"/>
            <w:gridSpan w:val="2"/>
            <w:tcBorders>
              <w:top w:val="single" w:sz="8" w:space="0" w:color="auto"/>
              <w:left w:val="nil"/>
              <w:bottom w:val="nil"/>
              <w:right w:val="nil"/>
            </w:tcBorders>
            <w:shd w:val="clear" w:color="000000" w:fill="BDD7EE"/>
            <w:noWrap/>
            <w:vAlign w:val="bottom"/>
            <w:hideMark/>
          </w:tcPr>
          <w:p w14:paraId="0D3C5BA2"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2016/17</w:t>
            </w:r>
          </w:p>
        </w:tc>
        <w:tc>
          <w:tcPr>
            <w:tcW w:w="965" w:type="dxa"/>
            <w:gridSpan w:val="2"/>
            <w:tcBorders>
              <w:top w:val="single" w:sz="8" w:space="0" w:color="auto"/>
              <w:left w:val="nil"/>
              <w:bottom w:val="nil"/>
              <w:right w:val="nil"/>
            </w:tcBorders>
            <w:shd w:val="clear" w:color="000000" w:fill="BDD7EE"/>
            <w:noWrap/>
            <w:vAlign w:val="bottom"/>
            <w:hideMark/>
          </w:tcPr>
          <w:p w14:paraId="5F941730"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2017/18</w:t>
            </w:r>
          </w:p>
        </w:tc>
        <w:tc>
          <w:tcPr>
            <w:tcW w:w="965" w:type="dxa"/>
            <w:gridSpan w:val="2"/>
            <w:tcBorders>
              <w:top w:val="single" w:sz="8" w:space="0" w:color="auto"/>
              <w:left w:val="nil"/>
              <w:bottom w:val="nil"/>
              <w:right w:val="nil"/>
            </w:tcBorders>
            <w:shd w:val="clear" w:color="000000" w:fill="BDD7EE"/>
            <w:noWrap/>
            <w:vAlign w:val="bottom"/>
            <w:hideMark/>
          </w:tcPr>
          <w:p w14:paraId="4F4A7543"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2018/19</w:t>
            </w:r>
          </w:p>
        </w:tc>
        <w:tc>
          <w:tcPr>
            <w:tcW w:w="965" w:type="dxa"/>
            <w:gridSpan w:val="4"/>
            <w:tcBorders>
              <w:top w:val="single" w:sz="8" w:space="0" w:color="auto"/>
              <w:left w:val="nil"/>
              <w:bottom w:val="nil"/>
              <w:right w:val="nil"/>
            </w:tcBorders>
            <w:shd w:val="clear" w:color="000000" w:fill="BDD7EE"/>
            <w:noWrap/>
            <w:vAlign w:val="bottom"/>
            <w:hideMark/>
          </w:tcPr>
          <w:p w14:paraId="76816999"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2019/20</w:t>
            </w:r>
          </w:p>
        </w:tc>
        <w:tc>
          <w:tcPr>
            <w:tcW w:w="965" w:type="dxa"/>
            <w:tcBorders>
              <w:top w:val="single" w:sz="8" w:space="0" w:color="auto"/>
              <w:left w:val="nil"/>
              <w:bottom w:val="nil"/>
              <w:right w:val="single" w:sz="8" w:space="0" w:color="auto"/>
            </w:tcBorders>
            <w:shd w:val="clear" w:color="000000" w:fill="BDD7EE"/>
            <w:noWrap/>
            <w:vAlign w:val="bottom"/>
            <w:hideMark/>
          </w:tcPr>
          <w:p w14:paraId="5DBCFFC0"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2020/21</w:t>
            </w:r>
          </w:p>
        </w:tc>
      </w:tr>
      <w:tr w:rsidR="0040017D" w:rsidRPr="00C52A9D" w14:paraId="4B116062" w14:textId="77777777" w:rsidTr="003F4101">
        <w:trPr>
          <w:trHeight w:val="288"/>
        </w:trPr>
        <w:tc>
          <w:tcPr>
            <w:tcW w:w="1786" w:type="dxa"/>
            <w:gridSpan w:val="3"/>
            <w:tcBorders>
              <w:top w:val="single" w:sz="4" w:space="0" w:color="auto"/>
              <w:left w:val="single" w:sz="8" w:space="0" w:color="auto"/>
              <w:bottom w:val="nil"/>
              <w:right w:val="nil"/>
            </w:tcBorders>
            <w:shd w:val="clear" w:color="000000" w:fill="F2F2F2"/>
            <w:noWrap/>
            <w:vAlign w:val="bottom"/>
            <w:hideMark/>
          </w:tcPr>
          <w:p w14:paraId="0D438156"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European Union</w:t>
            </w:r>
          </w:p>
        </w:tc>
        <w:tc>
          <w:tcPr>
            <w:tcW w:w="965" w:type="dxa"/>
            <w:gridSpan w:val="2"/>
            <w:tcBorders>
              <w:top w:val="single" w:sz="4" w:space="0" w:color="auto"/>
              <w:left w:val="nil"/>
              <w:bottom w:val="nil"/>
              <w:right w:val="nil"/>
            </w:tcBorders>
            <w:shd w:val="clear" w:color="000000" w:fill="F2F2F2"/>
            <w:noWrap/>
            <w:vAlign w:val="bottom"/>
            <w:hideMark/>
          </w:tcPr>
          <w:p w14:paraId="71C577E9"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-3.7</w:t>
            </w:r>
          </w:p>
        </w:tc>
        <w:tc>
          <w:tcPr>
            <w:tcW w:w="965" w:type="dxa"/>
            <w:gridSpan w:val="2"/>
            <w:tcBorders>
              <w:top w:val="single" w:sz="4" w:space="0" w:color="auto"/>
              <w:left w:val="nil"/>
              <w:bottom w:val="nil"/>
              <w:right w:val="nil"/>
            </w:tcBorders>
            <w:shd w:val="clear" w:color="000000" w:fill="F2F2F2"/>
            <w:noWrap/>
            <w:vAlign w:val="bottom"/>
            <w:hideMark/>
          </w:tcPr>
          <w:p w14:paraId="3F962446"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9.8</w:t>
            </w:r>
          </w:p>
        </w:tc>
        <w:tc>
          <w:tcPr>
            <w:tcW w:w="965" w:type="dxa"/>
            <w:gridSpan w:val="2"/>
            <w:tcBorders>
              <w:top w:val="single" w:sz="4" w:space="0" w:color="auto"/>
              <w:left w:val="nil"/>
              <w:bottom w:val="nil"/>
              <w:right w:val="nil"/>
            </w:tcBorders>
            <w:shd w:val="clear" w:color="000000" w:fill="F2F2F2"/>
            <w:noWrap/>
            <w:vAlign w:val="bottom"/>
            <w:hideMark/>
          </w:tcPr>
          <w:p w14:paraId="7DFA6A5E"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7.1</w:t>
            </w:r>
          </w:p>
        </w:tc>
        <w:tc>
          <w:tcPr>
            <w:tcW w:w="965" w:type="dxa"/>
            <w:gridSpan w:val="2"/>
            <w:tcBorders>
              <w:top w:val="single" w:sz="4" w:space="0" w:color="auto"/>
              <w:left w:val="nil"/>
              <w:bottom w:val="nil"/>
              <w:right w:val="nil"/>
            </w:tcBorders>
            <w:shd w:val="clear" w:color="000000" w:fill="F2F2F2"/>
            <w:noWrap/>
            <w:vAlign w:val="bottom"/>
            <w:hideMark/>
          </w:tcPr>
          <w:p w14:paraId="0ACF894B"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10</w:t>
            </w:r>
          </w:p>
        </w:tc>
        <w:tc>
          <w:tcPr>
            <w:tcW w:w="965" w:type="dxa"/>
            <w:gridSpan w:val="4"/>
            <w:tcBorders>
              <w:top w:val="single" w:sz="4" w:space="0" w:color="auto"/>
              <w:left w:val="nil"/>
              <w:bottom w:val="nil"/>
              <w:right w:val="nil"/>
            </w:tcBorders>
            <w:shd w:val="clear" w:color="000000" w:fill="F2F2F2"/>
            <w:noWrap/>
            <w:vAlign w:val="bottom"/>
            <w:hideMark/>
          </w:tcPr>
          <w:p w14:paraId="56D2C083"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7.5</w:t>
            </w:r>
          </w:p>
        </w:tc>
        <w:tc>
          <w:tcPr>
            <w:tcW w:w="965" w:type="dxa"/>
            <w:tcBorders>
              <w:top w:val="single" w:sz="4" w:space="0" w:color="auto"/>
              <w:left w:val="nil"/>
              <w:bottom w:val="nil"/>
              <w:right w:val="single" w:sz="8" w:space="0" w:color="auto"/>
            </w:tcBorders>
            <w:shd w:val="clear" w:color="000000" w:fill="F2F2F2"/>
            <w:noWrap/>
            <w:vAlign w:val="bottom"/>
            <w:hideMark/>
          </w:tcPr>
          <w:p w14:paraId="6E30394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-3.5</w:t>
            </w:r>
          </w:p>
        </w:tc>
      </w:tr>
      <w:tr w:rsidR="0040017D" w:rsidRPr="00C52A9D" w14:paraId="5B85D7AC" w14:textId="77777777" w:rsidTr="003F4101">
        <w:trPr>
          <w:trHeight w:val="288"/>
        </w:trPr>
        <w:tc>
          <w:tcPr>
            <w:tcW w:w="1786" w:type="dxa"/>
            <w:gridSpan w:val="3"/>
            <w:tcBorders>
              <w:top w:val="nil"/>
              <w:left w:val="single" w:sz="8" w:space="0" w:color="auto"/>
              <w:bottom w:val="nil"/>
              <w:right w:val="nil"/>
            </w:tcBorders>
            <w:shd w:val="clear" w:color="000000" w:fill="F2F2F2"/>
            <w:noWrap/>
            <w:vAlign w:val="bottom"/>
            <w:hideMark/>
          </w:tcPr>
          <w:p w14:paraId="74AB6D7C"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Rest of world</w:t>
            </w:r>
          </w:p>
        </w:tc>
        <w:tc>
          <w:tcPr>
            <w:tcW w:w="965" w:type="dxa"/>
            <w:gridSpan w:val="2"/>
            <w:tcBorders>
              <w:top w:val="nil"/>
              <w:left w:val="nil"/>
              <w:bottom w:val="nil"/>
              <w:right w:val="nil"/>
            </w:tcBorders>
            <w:shd w:val="clear" w:color="000000" w:fill="F2F2F2"/>
            <w:noWrap/>
            <w:vAlign w:val="bottom"/>
            <w:hideMark/>
          </w:tcPr>
          <w:p w14:paraId="6F941EBD"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1.8</w:t>
            </w:r>
          </w:p>
        </w:tc>
        <w:tc>
          <w:tcPr>
            <w:tcW w:w="965" w:type="dxa"/>
            <w:gridSpan w:val="2"/>
            <w:tcBorders>
              <w:top w:val="nil"/>
              <w:left w:val="nil"/>
              <w:bottom w:val="nil"/>
              <w:right w:val="nil"/>
            </w:tcBorders>
            <w:shd w:val="clear" w:color="000000" w:fill="F2F2F2"/>
            <w:noWrap/>
            <w:vAlign w:val="bottom"/>
            <w:hideMark/>
          </w:tcPr>
          <w:p w14:paraId="206C19B2"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3.6</w:t>
            </w:r>
          </w:p>
        </w:tc>
        <w:tc>
          <w:tcPr>
            <w:tcW w:w="965" w:type="dxa"/>
            <w:gridSpan w:val="2"/>
            <w:tcBorders>
              <w:top w:val="nil"/>
              <w:left w:val="nil"/>
              <w:bottom w:val="nil"/>
              <w:right w:val="nil"/>
            </w:tcBorders>
            <w:shd w:val="clear" w:color="000000" w:fill="F2F2F2"/>
            <w:noWrap/>
            <w:vAlign w:val="bottom"/>
            <w:hideMark/>
          </w:tcPr>
          <w:p w14:paraId="6E227DD4"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-0.9</w:t>
            </w:r>
          </w:p>
        </w:tc>
        <w:tc>
          <w:tcPr>
            <w:tcW w:w="965" w:type="dxa"/>
            <w:gridSpan w:val="2"/>
            <w:tcBorders>
              <w:top w:val="nil"/>
              <w:left w:val="nil"/>
              <w:bottom w:val="nil"/>
              <w:right w:val="nil"/>
            </w:tcBorders>
            <w:shd w:val="clear" w:color="000000" w:fill="F2F2F2"/>
            <w:noWrap/>
            <w:vAlign w:val="bottom"/>
            <w:hideMark/>
          </w:tcPr>
          <w:p w14:paraId="3C4228C0"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-0.6</w:t>
            </w:r>
          </w:p>
        </w:tc>
        <w:tc>
          <w:tcPr>
            <w:tcW w:w="965" w:type="dxa"/>
            <w:gridSpan w:val="4"/>
            <w:tcBorders>
              <w:top w:val="nil"/>
              <w:left w:val="nil"/>
              <w:bottom w:val="nil"/>
              <w:right w:val="nil"/>
            </w:tcBorders>
            <w:shd w:val="clear" w:color="000000" w:fill="F2F2F2"/>
            <w:noWrap/>
            <w:vAlign w:val="bottom"/>
            <w:hideMark/>
          </w:tcPr>
          <w:p w14:paraId="5122159B"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3.2</w:t>
            </w:r>
          </w:p>
        </w:tc>
        <w:tc>
          <w:tcPr>
            <w:tcW w:w="965" w:type="dxa"/>
            <w:tcBorders>
              <w:top w:val="nil"/>
              <w:left w:val="nil"/>
              <w:bottom w:val="nil"/>
              <w:right w:val="single" w:sz="8" w:space="0" w:color="auto"/>
            </w:tcBorders>
            <w:shd w:val="clear" w:color="000000" w:fill="F2F2F2"/>
            <w:noWrap/>
            <w:vAlign w:val="bottom"/>
            <w:hideMark/>
          </w:tcPr>
          <w:p w14:paraId="23A3BC9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-19.7</w:t>
            </w:r>
          </w:p>
        </w:tc>
      </w:tr>
      <w:tr w:rsidR="0040017D" w:rsidRPr="00C52A9D" w14:paraId="450ABB93" w14:textId="77777777" w:rsidTr="003F4101">
        <w:trPr>
          <w:trHeight w:val="300"/>
        </w:trPr>
        <w:tc>
          <w:tcPr>
            <w:tcW w:w="1786" w:type="dxa"/>
            <w:gridSpan w:val="3"/>
            <w:tcBorders>
              <w:top w:val="nil"/>
              <w:left w:val="single" w:sz="8" w:space="0" w:color="auto"/>
              <w:bottom w:val="single" w:sz="8" w:space="0" w:color="auto"/>
              <w:right w:val="nil"/>
            </w:tcBorders>
            <w:shd w:val="clear" w:color="000000" w:fill="F2F2F2"/>
            <w:noWrap/>
            <w:vAlign w:val="bottom"/>
            <w:hideMark/>
          </w:tcPr>
          <w:p w14:paraId="38AFC8E3"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Global</w:t>
            </w:r>
          </w:p>
        </w:tc>
        <w:tc>
          <w:tcPr>
            <w:tcW w:w="965" w:type="dxa"/>
            <w:gridSpan w:val="2"/>
            <w:tcBorders>
              <w:top w:val="nil"/>
              <w:left w:val="nil"/>
              <w:bottom w:val="single" w:sz="8" w:space="0" w:color="auto"/>
              <w:right w:val="nil"/>
            </w:tcBorders>
            <w:shd w:val="clear" w:color="000000" w:fill="F2F2F2"/>
            <w:noWrap/>
            <w:vAlign w:val="bottom"/>
            <w:hideMark/>
          </w:tcPr>
          <w:p w14:paraId="4ABA796A"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w:t>
            </w:r>
          </w:p>
        </w:tc>
        <w:tc>
          <w:tcPr>
            <w:tcW w:w="965" w:type="dxa"/>
            <w:gridSpan w:val="2"/>
            <w:tcBorders>
              <w:top w:val="nil"/>
              <w:left w:val="nil"/>
              <w:bottom w:val="single" w:sz="8" w:space="0" w:color="auto"/>
              <w:right w:val="nil"/>
            </w:tcBorders>
            <w:shd w:val="clear" w:color="000000" w:fill="F2F2F2"/>
            <w:noWrap/>
            <w:vAlign w:val="bottom"/>
            <w:hideMark/>
          </w:tcPr>
          <w:p w14:paraId="6ED0C640"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5.1</w:t>
            </w:r>
          </w:p>
        </w:tc>
        <w:tc>
          <w:tcPr>
            <w:tcW w:w="965" w:type="dxa"/>
            <w:gridSpan w:val="2"/>
            <w:tcBorders>
              <w:top w:val="nil"/>
              <w:left w:val="nil"/>
              <w:bottom w:val="single" w:sz="8" w:space="0" w:color="auto"/>
              <w:right w:val="nil"/>
            </w:tcBorders>
            <w:shd w:val="clear" w:color="000000" w:fill="F2F2F2"/>
            <w:noWrap/>
            <w:vAlign w:val="bottom"/>
            <w:hideMark/>
          </w:tcPr>
          <w:p w14:paraId="5A5270EC"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1.2</w:t>
            </w:r>
          </w:p>
        </w:tc>
        <w:tc>
          <w:tcPr>
            <w:tcW w:w="965" w:type="dxa"/>
            <w:gridSpan w:val="2"/>
            <w:tcBorders>
              <w:top w:val="nil"/>
              <w:left w:val="nil"/>
              <w:bottom w:val="single" w:sz="8" w:space="0" w:color="auto"/>
              <w:right w:val="nil"/>
            </w:tcBorders>
            <w:shd w:val="clear" w:color="000000" w:fill="F2F2F2"/>
            <w:noWrap/>
            <w:vAlign w:val="bottom"/>
            <w:hideMark/>
          </w:tcPr>
          <w:p w14:paraId="27C2E853"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1.2</w:t>
            </w:r>
          </w:p>
        </w:tc>
        <w:tc>
          <w:tcPr>
            <w:tcW w:w="965" w:type="dxa"/>
            <w:gridSpan w:val="4"/>
            <w:tcBorders>
              <w:top w:val="nil"/>
              <w:left w:val="nil"/>
              <w:bottom w:val="single" w:sz="8" w:space="0" w:color="auto"/>
              <w:right w:val="nil"/>
            </w:tcBorders>
            <w:shd w:val="clear" w:color="000000" w:fill="F2F2F2"/>
            <w:noWrap/>
            <w:vAlign w:val="bottom"/>
            <w:hideMark/>
          </w:tcPr>
          <w:p w14:paraId="7B5782C7"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1.2</w:t>
            </w:r>
          </w:p>
        </w:tc>
        <w:tc>
          <w:tcPr>
            <w:tcW w:w="965" w:type="dxa"/>
            <w:tcBorders>
              <w:top w:val="nil"/>
              <w:left w:val="nil"/>
              <w:bottom w:val="single" w:sz="8" w:space="0" w:color="auto"/>
              <w:right w:val="single" w:sz="8" w:space="0" w:color="auto"/>
            </w:tcBorders>
            <w:shd w:val="clear" w:color="000000" w:fill="F2F2F2"/>
            <w:noWrap/>
            <w:vAlign w:val="bottom"/>
            <w:hideMark/>
          </w:tcPr>
          <w:p w14:paraId="67410932"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-17.1</w:t>
            </w:r>
          </w:p>
        </w:tc>
      </w:tr>
      <w:tr w:rsidR="0040017D" w:rsidRPr="00C52A9D" w14:paraId="2EC70DB0" w14:textId="77777777" w:rsidTr="003F4101">
        <w:trPr>
          <w:trHeight w:val="288"/>
        </w:trPr>
        <w:tc>
          <w:tcPr>
            <w:tcW w:w="3716" w:type="dxa"/>
            <w:gridSpan w:val="7"/>
            <w:tcBorders>
              <w:top w:val="nil"/>
              <w:left w:val="nil"/>
              <w:bottom w:val="nil"/>
              <w:right w:val="nil"/>
            </w:tcBorders>
            <w:shd w:val="clear" w:color="auto" w:fill="auto"/>
            <w:noWrap/>
            <w:vAlign w:val="bottom"/>
          </w:tcPr>
          <w:p w14:paraId="6639E432" w14:textId="77777777" w:rsidR="0040017D" w:rsidRPr="00C52A9D" w:rsidRDefault="0040017D" w:rsidP="0040017D">
            <w:pPr>
              <w:spacing w:after="0" w:line="240" w:lineRule="auto"/>
              <w:rPr>
                <w:rFonts w:ascii="Calibri Light" w:eastAsia="Times New Roman" w:hAnsi="Calibri Light" w:cs="Calibri Light"/>
                <w:color w:val="000000"/>
                <w:lang w:eastAsia="en-GB"/>
              </w:rPr>
            </w:pPr>
          </w:p>
        </w:tc>
        <w:tc>
          <w:tcPr>
            <w:tcW w:w="965" w:type="dxa"/>
            <w:gridSpan w:val="2"/>
            <w:tcBorders>
              <w:top w:val="nil"/>
              <w:left w:val="nil"/>
              <w:bottom w:val="nil"/>
              <w:right w:val="nil"/>
            </w:tcBorders>
            <w:shd w:val="clear" w:color="auto" w:fill="auto"/>
            <w:noWrap/>
            <w:vAlign w:val="bottom"/>
          </w:tcPr>
          <w:p w14:paraId="55F44913" w14:textId="77777777" w:rsidR="0040017D" w:rsidRPr="00C52A9D" w:rsidRDefault="0040017D" w:rsidP="0040017D">
            <w:pPr>
              <w:spacing w:after="0" w:line="240" w:lineRule="auto"/>
              <w:rPr>
                <w:rFonts w:ascii="Calibri Light" w:eastAsia="Times New Roman" w:hAnsi="Calibri Light" w:cs="Calibri Light"/>
                <w:color w:val="000000"/>
                <w:lang w:eastAsia="en-GB"/>
              </w:rPr>
            </w:pPr>
          </w:p>
        </w:tc>
        <w:tc>
          <w:tcPr>
            <w:tcW w:w="965" w:type="dxa"/>
            <w:gridSpan w:val="2"/>
            <w:tcBorders>
              <w:top w:val="nil"/>
              <w:left w:val="nil"/>
              <w:bottom w:val="nil"/>
              <w:right w:val="nil"/>
            </w:tcBorders>
            <w:shd w:val="clear" w:color="auto" w:fill="auto"/>
            <w:noWrap/>
            <w:vAlign w:val="bottom"/>
          </w:tcPr>
          <w:p w14:paraId="17A441DC"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c>
          <w:tcPr>
            <w:tcW w:w="965" w:type="dxa"/>
            <w:gridSpan w:val="4"/>
            <w:tcBorders>
              <w:top w:val="nil"/>
              <w:left w:val="nil"/>
              <w:bottom w:val="nil"/>
              <w:right w:val="nil"/>
            </w:tcBorders>
            <w:shd w:val="clear" w:color="auto" w:fill="auto"/>
            <w:noWrap/>
            <w:vAlign w:val="bottom"/>
          </w:tcPr>
          <w:p w14:paraId="137F543D"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c>
          <w:tcPr>
            <w:tcW w:w="965" w:type="dxa"/>
            <w:tcBorders>
              <w:top w:val="nil"/>
              <w:left w:val="nil"/>
              <w:bottom w:val="nil"/>
              <w:right w:val="nil"/>
            </w:tcBorders>
            <w:shd w:val="clear" w:color="auto" w:fill="auto"/>
            <w:noWrap/>
            <w:vAlign w:val="bottom"/>
          </w:tcPr>
          <w:p w14:paraId="16CF6E4C" w14:textId="77777777" w:rsidR="0040017D" w:rsidRPr="00C52A9D" w:rsidRDefault="0040017D" w:rsidP="0040017D">
            <w:pPr>
              <w:spacing w:after="0" w:line="240" w:lineRule="auto"/>
              <w:rPr>
                <w:rFonts w:ascii="Calibri Light" w:eastAsia="Times New Roman" w:hAnsi="Calibri Light" w:cs="Calibri Light"/>
                <w:sz w:val="20"/>
                <w:szCs w:val="20"/>
                <w:lang w:eastAsia="en-GB"/>
              </w:rPr>
            </w:pPr>
          </w:p>
        </w:tc>
      </w:tr>
      <w:tr w:rsidR="003F4101" w:rsidRPr="00C52A9D" w14:paraId="16707F04" w14:textId="77777777" w:rsidTr="003F4101">
        <w:trPr>
          <w:gridAfter w:val="2"/>
          <w:wAfter w:w="1118" w:type="dxa"/>
          <w:trHeight w:val="288"/>
        </w:trPr>
        <w:tc>
          <w:tcPr>
            <w:tcW w:w="6458" w:type="dxa"/>
            <w:gridSpan w:val="14"/>
            <w:tcBorders>
              <w:top w:val="nil"/>
              <w:left w:val="nil"/>
              <w:bottom w:val="nil"/>
              <w:right w:val="nil"/>
            </w:tcBorders>
            <w:shd w:val="clear" w:color="auto" w:fill="auto"/>
            <w:noWrap/>
            <w:vAlign w:val="bottom"/>
            <w:hideMark/>
          </w:tcPr>
          <w:p w14:paraId="16BE1D23" w14:textId="1C26BA52"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xml:space="preserve">Table 5: Percentage change in 2020/21 UK TNE enrolments in the European </w:t>
            </w:r>
            <w:r>
              <w:rPr>
                <w:rFonts w:ascii="Calibri Light" w:eastAsia="Times New Roman" w:hAnsi="Calibri Light" w:cs="Calibri Light"/>
                <w:color w:val="000000"/>
                <w:lang w:eastAsia="en-GB"/>
              </w:rPr>
              <w:t>Union and the Rest of the World.</w:t>
            </w:r>
          </w:p>
        </w:tc>
      </w:tr>
      <w:tr w:rsidR="003F4101" w:rsidRPr="00C52A9D" w14:paraId="5108103F" w14:textId="77777777" w:rsidTr="003F4101">
        <w:trPr>
          <w:gridAfter w:val="2"/>
          <w:wAfter w:w="1118" w:type="dxa"/>
          <w:trHeight w:val="300"/>
        </w:trPr>
        <w:tc>
          <w:tcPr>
            <w:tcW w:w="1093" w:type="dxa"/>
            <w:tcBorders>
              <w:top w:val="nil"/>
              <w:left w:val="nil"/>
              <w:bottom w:val="nil"/>
              <w:right w:val="nil"/>
            </w:tcBorders>
            <w:shd w:val="clear" w:color="auto" w:fill="auto"/>
            <w:noWrap/>
            <w:vAlign w:val="bottom"/>
            <w:hideMark/>
          </w:tcPr>
          <w:p w14:paraId="74C571E0" w14:textId="4628AB5B" w:rsidR="003F4101" w:rsidRPr="00C52A9D" w:rsidRDefault="003F4101" w:rsidP="00F9255A">
            <w:pPr>
              <w:spacing w:after="0" w:line="240" w:lineRule="auto"/>
              <w:rPr>
                <w:rFonts w:ascii="Calibri Light" w:eastAsia="Times New Roman" w:hAnsi="Calibri Light" w:cs="Calibri Light"/>
                <w:color w:val="000000"/>
                <w:lang w:eastAsia="en-GB"/>
              </w:rPr>
            </w:pPr>
          </w:p>
        </w:tc>
        <w:tc>
          <w:tcPr>
            <w:tcW w:w="474" w:type="dxa"/>
            <w:tcBorders>
              <w:top w:val="nil"/>
              <w:left w:val="nil"/>
              <w:bottom w:val="nil"/>
              <w:right w:val="nil"/>
            </w:tcBorders>
            <w:shd w:val="clear" w:color="auto" w:fill="auto"/>
            <w:noWrap/>
            <w:vAlign w:val="bottom"/>
            <w:hideMark/>
          </w:tcPr>
          <w:p w14:paraId="55AE8BC5" w14:textId="77777777" w:rsidR="003F4101" w:rsidRPr="00C52A9D" w:rsidRDefault="003F4101" w:rsidP="00F9255A">
            <w:pPr>
              <w:spacing w:after="0" w:line="240" w:lineRule="auto"/>
              <w:rPr>
                <w:rFonts w:ascii="Calibri Light" w:eastAsia="Times New Roman" w:hAnsi="Calibri Light" w:cs="Calibri Light"/>
                <w:color w:val="000000"/>
                <w:lang w:eastAsia="en-GB"/>
              </w:rPr>
            </w:pPr>
          </w:p>
        </w:tc>
        <w:tc>
          <w:tcPr>
            <w:tcW w:w="778" w:type="dxa"/>
            <w:gridSpan w:val="2"/>
            <w:tcBorders>
              <w:top w:val="nil"/>
              <w:left w:val="nil"/>
              <w:bottom w:val="nil"/>
              <w:right w:val="nil"/>
            </w:tcBorders>
            <w:shd w:val="clear" w:color="auto" w:fill="auto"/>
            <w:noWrap/>
            <w:vAlign w:val="bottom"/>
            <w:hideMark/>
          </w:tcPr>
          <w:p w14:paraId="2434E5E6"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c>
          <w:tcPr>
            <w:tcW w:w="676" w:type="dxa"/>
            <w:gridSpan w:val="2"/>
            <w:tcBorders>
              <w:top w:val="nil"/>
              <w:left w:val="nil"/>
              <w:bottom w:val="nil"/>
              <w:right w:val="nil"/>
            </w:tcBorders>
            <w:shd w:val="clear" w:color="auto" w:fill="auto"/>
            <w:noWrap/>
            <w:vAlign w:val="bottom"/>
            <w:hideMark/>
          </w:tcPr>
          <w:p w14:paraId="1C648086"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c>
          <w:tcPr>
            <w:tcW w:w="1290" w:type="dxa"/>
            <w:gridSpan w:val="2"/>
            <w:tcBorders>
              <w:top w:val="nil"/>
              <w:left w:val="nil"/>
              <w:bottom w:val="nil"/>
              <w:right w:val="nil"/>
            </w:tcBorders>
            <w:shd w:val="clear" w:color="auto" w:fill="auto"/>
            <w:noWrap/>
            <w:vAlign w:val="bottom"/>
            <w:hideMark/>
          </w:tcPr>
          <w:p w14:paraId="56A35198"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c>
          <w:tcPr>
            <w:tcW w:w="778" w:type="dxa"/>
            <w:gridSpan w:val="2"/>
            <w:tcBorders>
              <w:top w:val="nil"/>
              <w:left w:val="nil"/>
              <w:bottom w:val="nil"/>
              <w:right w:val="nil"/>
            </w:tcBorders>
            <w:shd w:val="clear" w:color="auto" w:fill="auto"/>
            <w:noWrap/>
            <w:vAlign w:val="bottom"/>
            <w:hideMark/>
          </w:tcPr>
          <w:p w14:paraId="527E27E8"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c>
          <w:tcPr>
            <w:tcW w:w="676" w:type="dxa"/>
            <w:gridSpan w:val="2"/>
            <w:tcBorders>
              <w:top w:val="nil"/>
              <w:left w:val="nil"/>
              <w:bottom w:val="nil"/>
              <w:right w:val="nil"/>
            </w:tcBorders>
            <w:shd w:val="clear" w:color="auto" w:fill="auto"/>
            <w:noWrap/>
            <w:vAlign w:val="bottom"/>
            <w:hideMark/>
          </w:tcPr>
          <w:p w14:paraId="4CCDDA81"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c>
          <w:tcPr>
            <w:tcW w:w="474" w:type="dxa"/>
            <w:tcBorders>
              <w:top w:val="nil"/>
              <w:left w:val="nil"/>
              <w:bottom w:val="nil"/>
              <w:right w:val="nil"/>
            </w:tcBorders>
            <w:shd w:val="clear" w:color="auto" w:fill="auto"/>
            <w:noWrap/>
            <w:vAlign w:val="bottom"/>
            <w:hideMark/>
          </w:tcPr>
          <w:p w14:paraId="10445DEF"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c>
          <w:tcPr>
            <w:tcW w:w="219" w:type="dxa"/>
            <w:tcBorders>
              <w:top w:val="nil"/>
              <w:left w:val="nil"/>
              <w:bottom w:val="nil"/>
              <w:right w:val="nil"/>
            </w:tcBorders>
            <w:shd w:val="clear" w:color="auto" w:fill="auto"/>
            <w:noWrap/>
            <w:vAlign w:val="bottom"/>
            <w:hideMark/>
          </w:tcPr>
          <w:p w14:paraId="29D44FD9"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r>
      <w:tr w:rsidR="003F4101" w:rsidRPr="00C52A9D" w14:paraId="4B093344" w14:textId="77777777" w:rsidTr="003F4101">
        <w:trPr>
          <w:gridAfter w:val="2"/>
          <w:wAfter w:w="1118" w:type="dxa"/>
          <w:trHeight w:val="288"/>
        </w:trPr>
        <w:tc>
          <w:tcPr>
            <w:tcW w:w="1093" w:type="dxa"/>
            <w:tcBorders>
              <w:top w:val="single" w:sz="8" w:space="0" w:color="auto"/>
              <w:left w:val="single" w:sz="8" w:space="0" w:color="auto"/>
              <w:bottom w:val="nil"/>
              <w:right w:val="nil"/>
            </w:tcBorders>
            <w:shd w:val="clear" w:color="000000" w:fill="BDD7EE"/>
            <w:noWrap/>
            <w:vAlign w:val="bottom"/>
            <w:hideMark/>
          </w:tcPr>
          <w:p w14:paraId="3D64279D"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474" w:type="dxa"/>
            <w:tcBorders>
              <w:top w:val="single" w:sz="8" w:space="0" w:color="auto"/>
              <w:left w:val="nil"/>
              <w:bottom w:val="nil"/>
              <w:right w:val="nil"/>
            </w:tcBorders>
            <w:shd w:val="clear" w:color="000000" w:fill="BDD7EE"/>
            <w:noWrap/>
            <w:vAlign w:val="bottom"/>
            <w:hideMark/>
          </w:tcPr>
          <w:p w14:paraId="46508CFF"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778" w:type="dxa"/>
            <w:gridSpan w:val="2"/>
            <w:tcBorders>
              <w:top w:val="single" w:sz="8" w:space="0" w:color="auto"/>
              <w:left w:val="nil"/>
              <w:bottom w:val="nil"/>
              <w:right w:val="nil"/>
            </w:tcBorders>
            <w:shd w:val="clear" w:color="000000" w:fill="BDD7EE"/>
            <w:noWrap/>
            <w:vAlign w:val="bottom"/>
            <w:hideMark/>
          </w:tcPr>
          <w:p w14:paraId="1B3E001C"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Decrease</w:t>
            </w:r>
          </w:p>
        </w:tc>
        <w:tc>
          <w:tcPr>
            <w:tcW w:w="676" w:type="dxa"/>
            <w:gridSpan w:val="2"/>
            <w:tcBorders>
              <w:top w:val="single" w:sz="8" w:space="0" w:color="auto"/>
              <w:left w:val="nil"/>
              <w:bottom w:val="nil"/>
              <w:right w:val="nil"/>
            </w:tcBorders>
            <w:shd w:val="clear" w:color="000000" w:fill="BDD7EE"/>
            <w:noWrap/>
            <w:vAlign w:val="bottom"/>
            <w:hideMark/>
          </w:tcPr>
          <w:p w14:paraId="3496F41C"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1290" w:type="dxa"/>
            <w:gridSpan w:val="2"/>
            <w:tcBorders>
              <w:top w:val="single" w:sz="8" w:space="0" w:color="auto"/>
              <w:left w:val="single" w:sz="4" w:space="0" w:color="auto"/>
              <w:bottom w:val="nil"/>
              <w:right w:val="single" w:sz="4" w:space="0" w:color="auto"/>
            </w:tcBorders>
            <w:shd w:val="clear" w:color="000000" w:fill="BDD7EE"/>
            <w:noWrap/>
            <w:vAlign w:val="bottom"/>
            <w:hideMark/>
          </w:tcPr>
          <w:p w14:paraId="1E1FAA05"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No major change</w:t>
            </w:r>
          </w:p>
        </w:tc>
        <w:tc>
          <w:tcPr>
            <w:tcW w:w="778" w:type="dxa"/>
            <w:gridSpan w:val="2"/>
            <w:tcBorders>
              <w:top w:val="single" w:sz="8" w:space="0" w:color="auto"/>
              <w:left w:val="nil"/>
              <w:bottom w:val="nil"/>
              <w:right w:val="nil"/>
            </w:tcBorders>
            <w:shd w:val="clear" w:color="000000" w:fill="BDD7EE"/>
            <w:noWrap/>
            <w:vAlign w:val="bottom"/>
            <w:hideMark/>
          </w:tcPr>
          <w:p w14:paraId="3FCA3F1C"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676" w:type="dxa"/>
            <w:gridSpan w:val="2"/>
            <w:tcBorders>
              <w:top w:val="single" w:sz="8" w:space="0" w:color="auto"/>
              <w:left w:val="nil"/>
              <w:bottom w:val="nil"/>
              <w:right w:val="nil"/>
            </w:tcBorders>
            <w:shd w:val="clear" w:color="000000" w:fill="BDD7EE"/>
            <w:noWrap/>
            <w:vAlign w:val="bottom"/>
            <w:hideMark/>
          </w:tcPr>
          <w:p w14:paraId="4CE3DEFA"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Increase</w:t>
            </w:r>
          </w:p>
        </w:tc>
        <w:tc>
          <w:tcPr>
            <w:tcW w:w="474" w:type="dxa"/>
            <w:tcBorders>
              <w:top w:val="single" w:sz="8" w:space="0" w:color="auto"/>
              <w:left w:val="nil"/>
              <w:bottom w:val="nil"/>
              <w:right w:val="single" w:sz="8" w:space="0" w:color="auto"/>
            </w:tcBorders>
            <w:shd w:val="clear" w:color="000000" w:fill="BDD7EE"/>
            <w:noWrap/>
            <w:vAlign w:val="bottom"/>
            <w:hideMark/>
          </w:tcPr>
          <w:p w14:paraId="5CEDF370"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219" w:type="dxa"/>
            <w:tcBorders>
              <w:top w:val="nil"/>
              <w:left w:val="nil"/>
              <w:bottom w:val="nil"/>
              <w:right w:val="nil"/>
            </w:tcBorders>
            <w:shd w:val="clear" w:color="auto" w:fill="auto"/>
            <w:noWrap/>
            <w:vAlign w:val="bottom"/>
            <w:hideMark/>
          </w:tcPr>
          <w:p w14:paraId="2FA0E8A1"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p>
        </w:tc>
      </w:tr>
      <w:tr w:rsidR="003F4101" w:rsidRPr="00C52A9D" w14:paraId="13F4590F" w14:textId="77777777" w:rsidTr="003F4101">
        <w:trPr>
          <w:gridAfter w:val="2"/>
          <w:wAfter w:w="1118" w:type="dxa"/>
          <w:trHeight w:val="288"/>
        </w:trPr>
        <w:tc>
          <w:tcPr>
            <w:tcW w:w="1093" w:type="dxa"/>
            <w:tcBorders>
              <w:top w:val="nil"/>
              <w:left w:val="single" w:sz="8" w:space="0" w:color="auto"/>
              <w:bottom w:val="nil"/>
              <w:right w:val="nil"/>
            </w:tcBorders>
            <w:shd w:val="clear" w:color="000000" w:fill="BDD7EE"/>
            <w:noWrap/>
            <w:vAlign w:val="bottom"/>
            <w:hideMark/>
          </w:tcPr>
          <w:p w14:paraId="3B009C2F"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Region</w:t>
            </w:r>
          </w:p>
        </w:tc>
        <w:tc>
          <w:tcPr>
            <w:tcW w:w="474" w:type="dxa"/>
            <w:tcBorders>
              <w:top w:val="nil"/>
              <w:left w:val="nil"/>
              <w:bottom w:val="nil"/>
              <w:right w:val="nil"/>
            </w:tcBorders>
            <w:shd w:val="clear" w:color="000000" w:fill="BDD7EE"/>
            <w:noWrap/>
            <w:vAlign w:val="bottom"/>
            <w:hideMark/>
          </w:tcPr>
          <w:p w14:paraId="217480CE"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&gt;75%</w:t>
            </w:r>
          </w:p>
        </w:tc>
        <w:tc>
          <w:tcPr>
            <w:tcW w:w="778" w:type="dxa"/>
            <w:gridSpan w:val="2"/>
            <w:tcBorders>
              <w:top w:val="nil"/>
              <w:left w:val="nil"/>
              <w:bottom w:val="nil"/>
              <w:right w:val="nil"/>
            </w:tcBorders>
            <w:shd w:val="clear" w:color="000000" w:fill="BDD7EE"/>
            <w:noWrap/>
            <w:vAlign w:val="bottom"/>
            <w:hideMark/>
          </w:tcPr>
          <w:p w14:paraId="0D7E2E7D"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50%-75%</w:t>
            </w:r>
          </w:p>
        </w:tc>
        <w:tc>
          <w:tcPr>
            <w:tcW w:w="676" w:type="dxa"/>
            <w:gridSpan w:val="2"/>
            <w:tcBorders>
              <w:top w:val="nil"/>
              <w:left w:val="nil"/>
              <w:bottom w:val="nil"/>
              <w:right w:val="nil"/>
            </w:tcBorders>
            <w:shd w:val="clear" w:color="000000" w:fill="BDD7EE"/>
            <w:noWrap/>
            <w:vAlign w:val="bottom"/>
            <w:hideMark/>
          </w:tcPr>
          <w:p w14:paraId="3CCA281C"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10%-49%</w:t>
            </w:r>
          </w:p>
        </w:tc>
        <w:tc>
          <w:tcPr>
            <w:tcW w:w="1290" w:type="dxa"/>
            <w:gridSpan w:val="2"/>
            <w:tcBorders>
              <w:top w:val="nil"/>
              <w:left w:val="single" w:sz="4" w:space="0" w:color="auto"/>
              <w:bottom w:val="nil"/>
              <w:right w:val="single" w:sz="4" w:space="0" w:color="auto"/>
            </w:tcBorders>
            <w:shd w:val="clear" w:color="000000" w:fill="BDD7EE"/>
            <w:noWrap/>
            <w:vAlign w:val="bottom"/>
            <w:hideMark/>
          </w:tcPr>
          <w:p w14:paraId="32718494"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minus10% to 10%</w:t>
            </w:r>
          </w:p>
        </w:tc>
        <w:tc>
          <w:tcPr>
            <w:tcW w:w="778" w:type="dxa"/>
            <w:gridSpan w:val="2"/>
            <w:tcBorders>
              <w:top w:val="nil"/>
              <w:left w:val="nil"/>
              <w:bottom w:val="nil"/>
              <w:right w:val="nil"/>
            </w:tcBorders>
            <w:shd w:val="clear" w:color="000000" w:fill="BDD7EE"/>
            <w:noWrap/>
            <w:vAlign w:val="bottom"/>
            <w:hideMark/>
          </w:tcPr>
          <w:p w14:paraId="47F7E367"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10%-49%</w:t>
            </w:r>
          </w:p>
        </w:tc>
        <w:tc>
          <w:tcPr>
            <w:tcW w:w="676" w:type="dxa"/>
            <w:gridSpan w:val="2"/>
            <w:tcBorders>
              <w:top w:val="nil"/>
              <w:left w:val="nil"/>
              <w:bottom w:val="nil"/>
              <w:right w:val="nil"/>
            </w:tcBorders>
            <w:shd w:val="clear" w:color="000000" w:fill="BDD7EE"/>
            <w:noWrap/>
            <w:vAlign w:val="bottom"/>
            <w:hideMark/>
          </w:tcPr>
          <w:p w14:paraId="0BDBC4C2"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50%-75%</w:t>
            </w:r>
          </w:p>
        </w:tc>
        <w:tc>
          <w:tcPr>
            <w:tcW w:w="474" w:type="dxa"/>
            <w:tcBorders>
              <w:top w:val="nil"/>
              <w:left w:val="nil"/>
              <w:bottom w:val="nil"/>
              <w:right w:val="single" w:sz="8" w:space="0" w:color="auto"/>
            </w:tcBorders>
            <w:shd w:val="clear" w:color="000000" w:fill="BDD7EE"/>
            <w:noWrap/>
            <w:vAlign w:val="bottom"/>
            <w:hideMark/>
          </w:tcPr>
          <w:p w14:paraId="0917EDE4"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&gt;75%</w:t>
            </w:r>
          </w:p>
        </w:tc>
        <w:tc>
          <w:tcPr>
            <w:tcW w:w="219" w:type="dxa"/>
            <w:tcBorders>
              <w:top w:val="nil"/>
              <w:left w:val="nil"/>
              <w:bottom w:val="nil"/>
              <w:right w:val="nil"/>
            </w:tcBorders>
            <w:shd w:val="clear" w:color="auto" w:fill="auto"/>
            <w:noWrap/>
            <w:vAlign w:val="bottom"/>
            <w:hideMark/>
          </w:tcPr>
          <w:p w14:paraId="760E0C22"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p>
        </w:tc>
      </w:tr>
      <w:tr w:rsidR="003F4101" w:rsidRPr="00C52A9D" w14:paraId="2295ED7C" w14:textId="77777777" w:rsidTr="003F4101">
        <w:trPr>
          <w:gridAfter w:val="2"/>
          <w:wAfter w:w="1118" w:type="dxa"/>
          <w:trHeight w:val="288"/>
        </w:trPr>
        <w:tc>
          <w:tcPr>
            <w:tcW w:w="1093" w:type="dxa"/>
            <w:tcBorders>
              <w:top w:val="single" w:sz="4" w:space="0" w:color="auto"/>
              <w:left w:val="single" w:sz="8" w:space="0" w:color="auto"/>
              <w:bottom w:val="nil"/>
              <w:right w:val="nil"/>
            </w:tcBorders>
            <w:shd w:val="clear" w:color="000000" w:fill="F2F2F2"/>
            <w:noWrap/>
            <w:vAlign w:val="bottom"/>
            <w:hideMark/>
          </w:tcPr>
          <w:p w14:paraId="20094CB9"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European Union</w:t>
            </w:r>
          </w:p>
        </w:tc>
        <w:tc>
          <w:tcPr>
            <w:tcW w:w="474" w:type="dxa"/>
            <w:tcBorders>
              <w:top w:val="single" w:sz="4" w:space="0" w:color="auto"/>
              <w:left w:val="nil"/>
              <w:bottom w:val="nil"/>
              <w:right w:val="nil"/>
            </w:tcBorders>
            <w:shd w:val="clear" w:color="000000" w:fill="F2F2F2"/>
            <w:noWrap/>
            <w:vAlign w:val="bottom"/>
            <w:hideMark/>
          </w:tcPr>
          <w:p w14:paraId="1FD1187F"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8</w:t>
            </w:r>
          </w:p>
        </w:tc>
        <w:tc>
          <w:tcPr>
            <w:tcW w:w="778" w:type="dxa"/>
            <w:gridSpan w:val="2"/>
            <w:tcBorders>
              <w:top w:val="single" w:sz="4" w:space="0" w:color="auto"/>
              <w:left w:val="nil"/>
              <w:bottom w:val="nil"/>
              <w:right w:val="nil"/>
            </w:tcBorders>
            <w:shd w:val="clear" w:color="000000" w:fill="F2F2F2"/>
            <w:noWrap/>
            <w:vAlign w:val="bottom"/>
            <w:hideMark/>
          </w:tcPr>
          <w:p w14:paraId="33A577F6"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11</w:t>
            </w:r>
          </w:p>
        </w:tc>
        <w:tc>
          <w:tcPr>
            <w:tcW w:w="676" w:type="dxa"/>
            <w:gridSpan w:val="2"/>
            <w:tcBorders>
              <w:top w:val="single" w:sz="4" w:space="0" w:color="auto"/>
              <w:left w:val="nil"/>
              <w:bottom w:val="nil"/>
              <w:right w:val="nil"/>
            </w:tcBorders>
            <w:shd w:val="clear" w:color="000000" w:fill="F2F2F2"/>
            <w:noWrap/>
            <w:vAlign w:val="bottom"/>
            <w:hideMark/>
          </w:tcPr>
          <w:p w14:paraId="6DF7D834"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30</w:t>
            </w:r>
          </w:p>
        </w:tc>
        <w:tc>
          <w:tcPr>
            <w:tcW w:w="1290" w:type="dxa"/>
            <w:gridSpan w:val="2"/>
            <w:tcBorders>
              <w:top w:val="single" w:sz="4" w:space="0" w:color="auto"/>
              <w:left w:val="single" w:sz="4" w:space="0" w:color="auto"/>
              <w:bottom w:val="nil"/>
              <w:right w:val="single" w:sz="4" w:space="0" w:color="auto"/>
            </w:tcBorders>
            <w:shd w:val="clear" w:color="000000" w:fill="F2F2F2"/>
            <w:noWrap/>
            <w:vAlign w:val="bottom"/>
            <w:hideMark/>
          </w:tcPr>
          <w:p w14:paraId="582E39CD"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25</w:t>
            </w:r>
          </w:p>
        </w:tc>
        <w:tc>
          <w:tcPr>
            <w:tcW w:w="778" w:type="dxa"/>
            <w:gridSpan w:val="2"/>
            <w:tcBorders>
              <w:top w:val="single" w:sz="4" w:space="0" w:color="auto"/>
              <w:left w:val="nil"/>
              <w:bottom w:val="nil"/>
              <w:right w:val="nil"/>
            </w:tcBorders>
            <w:shd w:val="clear" w:color="000000" w:fill="F2F2F2"/>
            <w:noWrap/>
            <w:vAlign w:val="bottom"/>
            <w:hideMark/>
          </w:tcPr>
          <w:p w14:paraId="006C5182"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11</w:t>
            </w:r>
          </w:p>
        </w:tc>
        <w:tc>
          <w:tcPr>
            <w:tcW w:w="676" w:type="dxa"/>
            <w:gridSpan w:val="2"/>
            <w:tcBorders>
              <w:top w:val="single" w:sz="4" w:space="0" w:color="auto"/>
              <w:left w:val="nil"/>
              <w:bottom w:val="nil"/>
              <w:right w:val="nil"/>
            </w:tcBorders>
            <w:shd w:val="clear" w:color="000000" w:fill="F2F2F2"/>
            <w:noWrap/>
            <w:vAlign w:val="bottom"/>
            <w:hideMark/>
          </w:tcPr>
          <w:p w14:paraId="567F8825"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w:t>
            </w:r>
          </w:p>
        </w:tc>
        <w:tc>
          <w:tcPr>
            <w:tcW w:w="474" w:type="dxa"/>
            <w:tcBorders>
              <w:top w:val="single" w:sz="4" w:space="0" w:color="auto"/>
              <w:left w:val="nil"/>
              <w:bottom w:val="nil"/>
              <w:right w:val="single" w:sz="8" w:space="0" w:color="auto"/>
            </w:tcBorders>
            <w:shd w:val="clear" w:color="000000" w:fill="F2F2F2"/>
            <w:noWrap/>
            <w:vAlign w:val="bottom"/>
            <w:hideMark/>
          </w:tcPr>
          <w:p w14:paraId="7596DBD1"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12</w:t>
            </w:r>
          </w:p>
        </w:tc>
        <w:tc>
          <w:tcPr>
            <w:tcW w:w="219" w:type="dxa"/>
            <w:tcBorders>
              <w:top w:val="nil"/>
              <w:left w:val="nil"/>
              <w:bottom w:val="nil"/>
              <w:right w:val="nil"/>
            </w:tcBorders>
            <w:shd w:val="clear" w:color="auto" w:fill="auto"/>
            <w:noWrap/>
            <w:vAlign w:val="bottom"/>
            <w:hideMark/>
          </w:tcPr>
          <w:p w14:paraId="377BC734"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p>
        </w:tc>
      </w:tr>
      <w:tr w:rsidR="003F4101" w:rsidRPr="00C52A9D" w14:paraId="15C469C7" w14:textId="77777777" w:rsidTr="003F4101">
        <w:trPr>
          <w:gridAfter w:val="2"/>
          <w:wAfter w:w="1118" w:type="dxa"/>
          <w:trHeight w:val="288"/>
        </w:trPr>
        <w:tc>
          <w:tcPr>
            <w:tcW w:w="1093" w:type="dxa"/>
            <w:tcBorders>
              <w:top w:val="nil"/>
              <w:left w:val="single" w:sz="8" w:space="0" w:color="auto"/>
              <w:bottom w:val="nil"/>
              <w:right w:val="nil"/>
            </w:tcBorders>
            <w:shd w:val="clear" w:color="000000" w:fill="F2F2F2"/>
            <w:noWrap/>
            <w:vAlign w:val="bottom"/>
            <w:hideMark/>
          </w:tcPr>
          <w:p w14:paraId="6CC46E7C"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Rest of World</w:t>
            </w:r>
          </w:p>
        </w:tc>
        <w:tc>
          <w:tcPr>
            <w:tcW w:w="474" w:type="dxa"/>
            <w:tcBorders>
              <w:top w:val="nil"/>
              <w:left w:val="nil"/>
              <w:bottom w:val="nil"/>
              <w:right w:val="nil"/>
            </w:tcBorders>
            <w:shd w:val="clear" w:color="000000" w:fill="F2F2F2"/>
            <w:noWrap/>
            <w:vAlign w:val="bottom"/>
            <w:hideMark/>
          </w:tcPr>
          <w:p w14:paraId="46CF6CFA"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12</w:t>
            </w:r>
          </w:p>
        </w:tc>
        <w:tc>
          <w:tcPr>
            <w:tcW w:w="778" w:type="dxa"/>
            <w:gridSpan w:val="2"/>
            <w:tcBorders>
              <w:top w:val="nil"/>
              <w:left w:val="nil"/>
              <w:bottom w:val="nil"/>
              <w:right w:val="nil"/>
            </w:tcBorders>
            <w:shd w:val="clear" w:color="000000" w:fill="F2F2F2"/>
            <w:noWrap/>
            <w:vAlign w:val="bottom"/>
            <w:hideMark/>
          </w:tcPr>
          <w:p w14:paraId="1E949C3F"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6</w:t>
            </w:r>
          </w:p>
        </w:tc>
        <w:tc>
          <w:tcPr>
            <w:tcW w:w="676" w:type="dxa"/>
            <w:gridSpan w:val="2"/>
            <w:tcBorders>
              <w:top w:val="nil"/>
              <w:left w:val="nil"/>
              <w:bottom w:val="nil"/>
              <w:right w:val="nil"/>
            </w:tcBorders>
            <w:shd w:val="clear" w:color="000000" w:fill="F2F2F2"/>
            <w:noWrap/>
            <w:vAlign w:val="bottom"/>
            <w:hideMark/>
          </w:tcPr>
          <w:p w14:paraId="463AE62B"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37</w:t>
            </w:r>
          </w:p>
        </w:tc>
        <w:tc>
          <w:tcPr>
            <w:tcW w:w="1290" w:type="dxa"/>
            <w:gridSpan w:val="2"/>
            <w:tcBorders>
              <w:top w:val="nil"/>
              <w:left w:val="single" w:sz="4" w:space="0" w:color="auto"/>
              <w:bottom w:val="nil"/>
              <w:right w:val="single" w:sz="4" w:space="0" w:color="auto"/>
            </w:tcBorders>
            <w:shd w:val="clear" w:color="000000" w:fill="F2F2F2"/>
            <w:noWrap/>
            <w:vAlign w:val="bottom"/>
            <w:hideMark/>
          </w:tcPr>
          <w:p w14:paraId="5C9CCBD2"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27</w:t>
            </w:r>
          </w:p>
        </w:tc>
        <w:tc>
          <w:tcPr>
            <w:tcW w:w="778" w:type="dxa"/>
            <w:gridSpan w:val="2"/>
            <w:tcBorders>
              <w:top w:val="nil"/>
              <w:left w:val="nil"/>
              <w:bottom w:val="nil"/>
              <w:right w:val="nil"/>
            </w:tcBorders>
            <w:shd w:val="clear" w:color="000000" w:fill="F2F2F2"/>
            <w:noWrap/>
            <w:vAlign w:val="bottom"/>
            <w:hideMark/>
          </w:tcPr>
          <w:p w14:paraId="06442D15"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14</w:t>
            </w:r>
          </w:p>
        </w:tc>
        <w:tc>
          <w:tcPr>
            <w:tcW w:w="676" w:type="dxa"/>
            <w:gridSpan w:val="2"/>
            <w:tcBorders>
              <w:top w:val="nil"/>
              <w:left w:val="nil"/>
              <w:bottom w:val="nil"/>
              <w:right w:val="nil"/>
            </w:tcBorders>
            <w:shd w:val="clear" w:color="000000" w:fill="F2F2F2"/>
            <w:noWrap/>
            <w:vAlign w:val="bottom"/>
            <w:hideMark/>
          </w:tcPr>
          <w:p w14:paraId="0082206D"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w:t>
            </w:r>
          </w:p>
        </w:tc>
        <w:tc>
          <w:tcPr>
            <w:tcW w:w="474" w:type="dxa"/>
            <w:tcBorders>
              <w:top w:val="nil"/>
              <w:left w:val="nil"/>
              <w:bottom w:val="nil"/>
              <w:right w:val="single" w:sz="8" w:space="0" w:color="auto"/>
            </w:tcBorders>
            <w:shd w:val="clear" w:color="000000" w:fill="F2F2F2"/>
            <w:noWrap/>
            <w:vAlign w:val="bottom"/>
            <w:hideMark/>
          </w:tcPr>
          <w:p w14:paraId="1B22A601"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w:t>
            </w:r>
          </w:p>
        </w:tc>
        <w:tc>
          <w:tcPr>
            <w:tcW w:w="219" w:type="dxa"/>
            <w:tcBorders>
              <w:top w:val="nil"/>
              <w:left w:val="nil"/>
              <w:bottom w:val="nil"/>
              <w:right w:val="nil"/>
            </w:tcBorders>
            <w:shd w:val="clear" w:color="auto" w:fill="auto"/>
            <w:noWrap/>
            <w:vAlign w:val="bottom"/>
            <w:hideMark/>
          </w:tcPr>
          <w:p w14:paraId="1B4734E1"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p>
        </w:tc>
      </w:tr>
      <w:tr w:rsidR="003F4101" w:rsidRPr="00C52A9D" w14:paraId="6F6C880A" w14:textId="77777777" w:rsidTr="003F4101">
        <w:trPr>
          <w:gridAfter w:val="2"/>
          <w:wAfter w:w="1118" w:type="dxa"/>
          <w:trHeight w:val="300"/>
        </w:trPr>
        <w:tc>
          <w:tcPr>
            <w:tcW w:w="1093" w:type="dxa"/>
            <w:tcBorders>
              <w:top w:val="nil"/>
              <w:left w:val="single" w:sz="8" w:space="0" w:color="auto"/>
              <w:bottom w:val="single" w:sz="8" w:space="0" w:color="auto"/>
              <w:right w:val="nil"/>
            </w:tcBorders>
            <w:shd w:val="clear" w:color="000000" w:fill="F2F2F2"/>
            <w:noWrap/>
            <w:vAlign w:val="bottom"/>
            <w:hideMark/>
          </w:tcPr>
          <w:p w14:paraId="2B1AC4CF"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Total global</w:t>
            </w:r>
          </w:p>
        </w:tc>
        <w:tc>
          <w:tcPr>
            <w:tcW w:w="474" w:type="dxa"/>
            <w:tcBorders>
              <w:top w:val="nil"/>
              <w:left w:val="nil"/>
              <w:bottom w:val="single" w:sz="8" w:space="0" w:color="auto"/>
              <w:right w:val="nil"/>
            </w:tcBorders>
            <w:shd w:val="clear" w:color="000000" w:fill="F2F2F2"/>
            <w:noWrap/>
            <w:vAlign w:val="bottom"/>
            <w:hideMark/>
          </w:tcPr>
          <w:p w14:paraId="3CFCFC4C"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7</w:t>
            </w:r>
          </w:p>
        </w:tc>
        <w:tc>
          <w:tcPr>
            <w:tcW w:w="778" w:type="dxa"/>
            <w:gridSpan w:val="2"/>
            <w:tcBorders>
              <w:top w:val="nil"/>
              <w:left w:val="nil"/>
              <w:bottom w:val="single" w:sz="8" w:space="0" w:color="auto"/>
              <w:right w:val="nil"/>
            </w:tcBorders>
            <w:shd w:val="clear" w:color="000000" w:fill="F2F2F2"/>
            <w:noWrap/>
            <w:vAlign w:val="bottom"/>
            <w:hideMark/>
          </w:tcPr>
          <w:p w14:paraId="5067CF8E"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7</w:t>
            </w:r>
          </w:p>
        </w:tc>
        <w:tc>
          <w:tcPr>
            <w:tcW w:w="676" w:type="dxa"/>
            <w:gridSpan w:val="2"/>
            <w:tcBorders>
              <w:top w:val="nil"/>
              <w:left w:val="nil"/>
              <w:bottom w:val="single" w:sz="8" w:space="0" w:color="auto"/>
              <w:right w:val="nil"/>
            </w:tcBorders>
            <w:shd w:val="clear" w:color="000000" w:fill="F2F2F2"/>
            <w:noWrap/>
            <w:vAlign w:val="bottom"/>
            <w:hideMark/>
          </w:tcPr>
          <w:p w14:paraId="399257F3"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36</w:t>
            </w:r>
          </w:p>
        </w:tc>
        <w:tc>
          <w:tcPr>
            <w:tcW w:w="1290" w:type="dxa"/>
            <w:gridSpan w:val="2"/>
            <w:tcBorders>
              <w:top w:val="nil"/>
              <w:left w:val="single" w:sz="4" w:space="0" w:color="auto"/>
              <w:bottom w:val="single" w:sz="8" w:space="0" w:color="auto"/>
              <w:right w:val="single" w:sz="4" w:space="0" w:color="auto"/>
            </w:tcBorders>
            <w:shd w:val="clear" w:color="000000" w:fill="F2F2F2"/>
            <w:noWrap/>
            <w:vAlign w:val="bottom"/>
            <w:hideMark/>
          </w:tcPr>
          <w:p w14:paraId="3E44C531"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26</w:t>
            </w:r>
          </w:p>
        </w:tc>
        <w:tc>
          <w:tcPr>
            <w:tcW w:w="778" w:type="dxa"/>
            <w:gridSpan w:val="2"/>
            <w:tcBorders>
              <w:top w:val="nil"/>
              <w:left w:val="nil"/>
              <w:bottom w:val="single" w:sz="8" w:space="0" w:color="auto"/>
              <w:right w:val="nil"/>
            </w:tcBorders>
            <w:shd w:val="clear" w:color="000000" w:fill="F2F2F2"/>
            <w:noWrap/>
            <w:vAlign w:val="bottom"/>
            <w:hideMark/>
          </w:tcPr>
          <w:p w14:paraId="6F4DC051"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18</w:t>
            </w:r>
          </w:p>
        </w:tc>
        <w:tc>
          <w:tcPr>
            <w:tcW w:w="676" w:type="dxa"/>
            <w:gridSpan w:val="2"/>
            <w:tcBorders>
              <w:top w:val="nil"/>
              <w:left w:val="nil"/>
              <w:bottom w:val="single" w:sz="8" w:space="0" w:color="auto"/>
              <w:right w:val="nil"/>
            </w:tcBorders>
            <w:shd w:val="clear" w:color="000000" w:fill="F2F2F2"/>
            <w:noWrap/>
            <w:vAlign w:val="bottom"/>
            <w:hideMark/>
          </w:tcPr>
          <w:p w14:paraId="14D7C343"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w:t>
            </w:r>
          </w:p>
        </w:tc>
        <w:tc>
          <w:tcPr>
            <w:tcW w:w="474" w:type="dxa"/>
            <w:tcBorders>
              <w:top w:val="nil"/>
              <w:left w:val="nil"/>
              <w:bottom w:val="single" w:sz="8" w:space="0" w:color="auto"/>
              <w:right w:val="single" w:sz="8" w:space="0" w:color="auto"/>
            </w:tcBorders>
            <w:shd w:val="clear" w:color="000000" w:fill="F2F2F2"/>
            <w:noWrap/>
            <w:vAlign w:val="bottom"/>
            <w:hideMark/>
          </w:tcPr>
          <w:p w14:paraId="346AA11B"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w:t>
            </w:r>
          </w:p>
        </w:tc>
        <w:tc>
          <w:tcPr>
            <w:tcW w:w="219" w:type="dxa"/>
            <w:tcBorders>
              <w:top w:val="nil"/>
              <w:left w:val="nil"/>
              <w:bottom w:val="nil"/>
              <w:right w:val="nil"/>
            </w:tcBorders>
            <w:shd w:val="clear" w:color="auto" w:fill="auto"/>
            <w:noWrap/>
            <w:vAlign w:val="bottom"/>
            <w:hideMark/>
          </w:tcPr>
          <w:p w14:paraId="79B35263"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p>
        </w:tc>
      </w:tr>
      <w:tr w:rsidR="003F4101" w:rsidRPr="00C52A9D" w14:paraId="26E4BCCA" w14:textId="77777777" w:rsidTr="003F4101">
        <w:trPr>
          <w:gridAfter w:val="2"/>
          <w:wAfter w:w="1118" w:type="dxa"/>
          <w:trHeight w:val="288"/>
        </w:trPr>
        <w:tc>
          <w:tcPr>
            <w:tcW w:w="6458" w:type="dxa"/>
            <w:gridSpan w:val="14"/>
            <w:tcBorders>
              <w:top w:val="nil"/>
              <w:left w:val="single" w:sz="8" w:space="0" w:color="auto"/>
              <w:bottom w:val="nil"/>
              <w:right w:val="nil"/>
            </w:tcBorders>
            <w:shd w:val="clear" w:color="auto" w:fill="auto"/>
            <w:noWrap/>
            <w:vAlign w:val="bottom"/>
            <w:hideMark/>
          </w:tcPr>
          <w:p w14:paraId="31ABCD03"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Note: For example, 8% of UK universities had a greater than 75% enrolment decline in EU TNE enrolments</w:t>
            </w:r>
          </w:p>
        </w:tc>
      </w:tr>
      <w:tr w:rsidR="003F4101" w:rsidRPr="00C52A9D" w14:paraId="7350734F" w14:textId="77777777" w:rsidTr="003F4101">
        <w:trPr>
          <w:gridAfter w:val="2"/>
          <w:wAfter w:w="1118" w:type="dxa"/>
          <w:trHeight w:val="288"/>
        </w:trPr>
        <w:tc>
          <w:tcPr>
            <w:tcW w:w="3021" w:type="dxa"/>
            <w:gridSpan w:val="6"/>
            <w:tcBorders>
              <w:top w:val="nil"/>
              <w:left w:val="nil"/>
              <w:bottom w:val="nil"/>
              <w:right w:val="nil"/>
            </w:tcBorders>
            <w:shd w:val="clear" w:color="auto" w:fill="auto"/>
            <w:noWrap/>
            <w:vAlign w:val="bottom"/>
            <w:hideMark/>
          </w:tcPr>
          <w:p w14:paraId="302B5CE9" w14:textId="0035C7B2" w:rsidR="003F4101" w:rsidRPr="00C52A9D" w:rsidRDefault="003F4101" w:rsidP="003F4101">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xml:space="preserve">Source: HESA, FOIA responses </w:t>
            </w:r>
          </w:p>
        </w:tc>
        <w:tc>
          <w:tcPr>
            <w:tcW w:w="1290" w:type="dxa"/>
            <w:gridSpan w:val="2"/>
            <w:tcBorders>
              <w:top w:val="nil"/>
              <w:left w:val="nil"/>
              <w:bottom w:val="nil"/>
              <w:right w:val="nil"/>
            </w:tcBorders>
            <w:shd w:val="clear" w:color="auto" w:fill="auto"/>
            <w:noWrap/>
            <w:vAlign w:val="bottom"/>
            <w:hideMark/>
          </w:tcPr>
          <w:p w14:paraId="0A983415" w14:textId="77777777" w:rsidR="003F4101" w:rsidRPr="00C52A9D" w:rsidRDefault="003F4101" w:rsidP="00F9255A">
            <w:pPr>
              <w:spacing w:after="0" w:line="240" w:lineRule="auto"/>
              <w:rPr>
                <w:rFonts w:ascii="Calibri Light" w:eastAsia="Times New Roman" w:hAnsi="Calibri Light" w:cs="Calibri Light"/>
                <w:color w:val="000000"/>
                <w:lang w:eastAsia="en-GB"/>
              </w:rPr>
            </w:pPr>
          </w:p>
        </w:tc>
        <w:tc>
          <w:tcPr>
            <w:tcW w:w="778" w:type="dxa"/>
            <w:gridSpan w:val="2"/>
            <w:tcBorders>
              <w:top w:val="nil"/>
              <w:left w:val="nil"/>
              <w:bottom w:val="nil"/>
              <w:right w:val="nil"/>
            </w:tcBorders>
            <w:shd w:val="clear" w:color="auto" w:fill="auto"/>
            <w:noWrap/>
            <w:vAlign w:val="bottom"/>
            <w:hideMark/>
          </w:tcPr>
          <w:p w14:paraId="0C12D084"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c>
          <w:tcPr>
            <w:tcW w:w="676" w:type="dxa"/>
            <w:gridSpan w:val="2"/>
            <w:tcBorders>
              <w:top w:val="nil"/>
              <w:left w:val="nil"/>
              <w:bottom w:val="nil"/>
              <w:right w:val="nil"/>
            </w:tcBorders>
            <w:shd w:val="clear" w:color="auto" w:fill="auto"/>
            <w:noWrap/>
            <w:vAlign w:val="bottom"/>
            <w:hideMark/>
          </w:tcPr>
          <w:p w14:paraId="48D604FC"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c>
          <w:tcPr>
            <w:tcW w:w="474" w:type="dxa"/>
            <w:tcBorders>
              <w:top w:val="nil"/>
              <w:left w:val="nil"/>
              <w:bottom w:val="nil"/>
              <w:right w:val="nil"/>
            </w:tcBorders>
            <w:shd w:val="clear" w:color="auto" w:fill="auto"/>
            <w:noWrap/>
            <w:vAlign w:val="bottom"/>
            <w:hideMark/>
          </w:tcPr>
          <w:p w14:paraId="558A17C1"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c>
          <w:tcPr>
            <w:tcW w:w="219" w:type="dxa"/>
            <w:tcBorders>
              <w:top w:val="nil"/>
              <w:left w:val="nil"/>
              <w:bottom w:val="nil"/>
              <w:right w:val="nil"/>
            </w:tcBorders>
            <w:shd w:val="clear" w:color="auto" w:fill="auto"/>
            <w:noWrap/>
            <w:vAlign w:val="bottom"/>
            <w:hideMark/>
          </w:tcPr>
          <w:p w14:paraId="2DBE29A5"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r>
    </w:tbl>
    <w:p w14:paraId="2A3AA5E5" w14:textId="77777777" w:rsidR="003F4101" w:rsidRDefault="003F4101" w:rsidP="00051299">
      <w:pPr>
        <w:jc w:val="both"/>
        <w:rPr>
          <w:rFonts w:ascii="Calibri Light" w:hAnsi="Calibri Light" w:cs="Calibri Light"/>
          <w:sz w:val="28"/>
          <w:szCs w:val="28"/>
        </w:rPr>
      </w:pPr>
    </w:p>
    <w:p w14:paraId="72124242" w14:textId="6D197A7A" w:rsidR="0036647C" w:rsidRDefault="00F93740" w:rsidP="00051299">
      <w:pPr>
        <w:jc w:val="both"/>
        <w:rPr>
          <w:rFonts w:ascii="Calibri Light" w:hAnsi="Calibri Light" w:cs="Calibri Light"/>
          <w:sz w:val="28"/>
          <w:szCs w:val="28"/>
        </w:rPr>
      </w:pPr>
      <w:r>
        <w:rPr>
          <w:rFonts w:ascii="Calibri Light" w:hAnsi="Calibri Light" w:cs="Calibri Light"/>
          <w:sz w:val="28"/>
          <w:szCs w:val="28"/>
        </w:rPr>
        <w:t xml:space="preserve">More research is needed in order to understand just why some universities have been enrolment gainers and some </w:t>
      </w:r>
      <w:r w:rsidR="0071034E">
        <w:rPr>
          <w:rFonts w:ascii="Calibri Light" w:hAnsi="Calibri Light" w:cs="Calibri Light"/>
          <w:sz w:val="28"/>
          <w:szCs w:val="28"/>
        </w:rPr>
        <w:t xml:space="preserve">enrolment </w:t>
      </w:r>
      <w:r>
        <w:rPr>
          <w:rFonts w:ascii="Calibri Light" w:hAnsi="Calibri Light" w:cs="Calibri Light"/>
          <w:sz w:val="28"/>
          <w:szCs w:val="28"/>
        </w:rPr>
        <w:t>losers</w:t>
      </w:r>
      <w:r w:rsidR="0071034E">
        <w:rPr>
          <w:rFonts w:ascii="Calibri Light" w:hAnsi="Calibri Light" w:cs="Calibri Light"/>
          <w:sz w:val="28"/>
          <w:szCs w:val="28"/>
        </w:rPr>
        <w:t xml:space="preserve"> and also</w:t>
      </w:r>
      <w:r w:rsidR="001361CA">
        <w:rPr>
          <w:rFonts w:ascii="Calibri Light" w:hAnsi="Calibri Light" w:cs="Calibri Light"/>
          <w:sz w:val="28"/>
          <w:szCs w:val="28"/>
        </w:rPr>
        <w:t>, over the next two-three years,</w:t>
      </w:r>
      <w:r w:rsidR="0071034E">
        <w:rPr>
          <w:rFonts w:ascii="Calibri Light" w:hAnsi="Calibri Light" w:cs="Calibri Light"/>
          <w:sz w:val="28"/>
          <w:szCs w:val="28"/>
        </w:rPr>
        <w:t xml:space="preserve"> the extent to which enrolments recover </w:t>
      </w:r>
      <w:r w:rsidR="001361CA">
        <w:rPr>
          <w:rFonts w:ascii="Calibri Light" w:hAnsi="Calibri Light" w:cs="Calibri Light"/>
          <w:sz w:val="28"/>
          <w:szCs w:val="28"/>
        </w:rPr>
        <w:t>(</w:t>
      </w:r>
      <w:r w:rsidR="0071034E">
        <w:rPr>
          <w:rFonts w:ascii="Calibri Light" w:hAnsi="Calibri Light" w:cs="Calibri Light"/>
          <w:sz w:val="28"/>
          <w:szCs w:val="28"/>
        </w:rPr>
        <w:t>or fall back</w:t>
      </w:r>
      <w:r w:rsidR="001361CA">
        <w:rPr>
          <w:rFonts w:ascii="Calibri Light" w:hAnsi="Calibri Light" w:cs="Calibri Light"/>
          <w:sz w:val="28"/>
          <w:szCs w:val="28"/>
        </w:rPr>
        <w:t>)</w:t>
      </w:r>
      <w:r w:rsidR="0071034E">
        <w:rPr>
          <w:rFonts w:ascii="Calibri Light" w:hAnsi="Calibri Light" w:cs="Calibri Light"/>
          <w:sz w:val="28"/>
          <w:szCs w:val="28"/>
        </w:rPr>
        <w:t xml:space="preserve"> at some </w:t>
      </w:r>
      <w:r w:rsidR="00A331AC">
        <w:rPr>
          <w:rFonts w:ascii="Calibri Light" w:hAnsi="Calibri Light" w:cs="Calibri Light"/>
          <w:sz w:val="28"/>
          <w:szCs w:val="28"/>
        </w:rPr>
        <w:t>universities and</w:t>
      </w:r>
      <w:r w:rsidR="0071034E">
        <w:rPr>
          <w:rFonts w:ascii="Calibri Light" w:hAnsi="Calibri Light" w:cs="Calibri Light"/>
          <w:sz w:val="28"/>
          <w:szCs w:val="28"/>
        </w:rPr>
        <w:t xml:space="preserve"> not others</w:t>
      </w:r>
      <w:r>
        <w:rPr>
          <w:rFonts w:ascii="Calibri Light" w:hAnsi="Calibri Light" w:cs="Calibri Light"/>
          <w:sz w:val="28"/>
          <w:szCs w:val="28"/>
        </w:rPr>
        <w:t xml:space="preserve">. </w:t>
      </w:r>
      <w:r w:rsidR="0006115D">
        <w:rPr>
          <w:rFonts w:ascii="Calibri Light" w:hAnsi="Calibri Light" w:cs="Calibri Light"/>
          <w:sz w:val="28"/>
          <w:szCs w:val="28"/>
        </w:rPr>
        <w:t xml:space="preserve">However, </w:t>
      </w:r>
      <w:r w:rsidR="0071034E">
        <w:rPr>
          <w:rFonts w:ascii="Calibri Light" w:hAnsi="Calibri Light" w:cs="Calibri Light"/>
          <w:sz w:val="28"/>
          <w:szCs w:val="28"/>
        </w:rPr>
        <w:t>among those universities where offshore enrolments have declined appreciably during the preceding five years, the negative net impact of the twin B</w:t>
      </w:r>
      <w:r w:rsidR="0080729D">
        <w:rPr>
          <w:rFonts w:ascii="Calibri Light" w:hAnsi="Calibri Light" w:cs="Calibri Light"/>
          <w:sz w:val="28"/>
          <w:szCs w:val="28"/>
        </w:rPr>
        <w:t>C</w:t>
      </w:r>
      <w:r w:rsidR="0071034E">
        <w:rPr>
          <w:rFonts w:ascii="Calibri Light" w:hAnsi="Calibri Light" w:cs="Calibri Light"/>
          <w:sz w:val="28"/>
          <w:szCs w:val="28"/>
        </w:rPr>
        <w:t xml:space="preserve"> shocks has </w:t>
      </w:r>
      <w:r w:rsidR="0006115D">
        <w:rPr>
          <w:rFonts w:ascii="Calibri Light" w:hAnsi="Calibri Light" w:cs="Calibri Light"/>
          <w:sz w:val="28"/>
          <w:szCs w:val="28"/>
        </w:rPr>
        <w:t>tended to be</w:t>
      </w:r>
      <w:r w:rsidR="0071034E">
        <w:rPr>
          <w:rFonts w:ascii="Calibri Light" w:hAnsi="Calibri Light" w:cs="Calibri Light"/>
          <w:sz w:val="28"/>
          <w:szCs w:val="28"/>
        </w:rPr>
        <w:t xml:space="preserve"> that much greater (see table</w:t>
      </w:r>
      <w:r w:rsidR="0036647C">
        <w:rPr>
          <w:rFonts w:ascii="Calibri Light" w:hAnsi="Calibri Light" w:cs="Calibri Light"/>
          <w:sz w:val="28"/>
          <w:szCs w:val="28"/>
        </w:rPr>
        <w:t xml:space="preserve"> 6</w:t>
      </w:r>
      <w:r w:rsidR="0071034E">
        <w:rPr>
          <w:rFonts w:ascii="Calibri Light" w:hAnsi="Calibri Light" w:cs="Calibri Light"/>
          <w:sz w:val="28"/>
          <w:szCs w:val="28"/>
        </w:rPr>
        <w:t xml:space="preserve">).  </w:t>
      </w:r>
      <w:r w:rsidR="001361CA">
        <w:rPr>
          <w:rFonts w:ascii="Calibri Light" w:hAnsi="Calibri Light" w:cs="Calibri Light"/>
          <w:sz w:val="28"/>
          <w:szCs w:val="28"/>
        </w:rPr>
        <w:t>On balance</w:t>
      </w:r>
      <w:r w:rsidR="0071034E">
        <w:rPr>
          <w:rFonts w:ascii="Calibri Light" w:hAnsi="Calibri Light" w:cs="Calibri Light"/>
          <w:sz w:val="28"/>
          <w:szCs w:val="28"/>
        </w:rPr>
        <w:t xml:space="preserve">, </w:t>
      </w:r>
      <w:r w:rsidR="001361CA">
        <w:rPr>
          <w:rFonts w:ascii="Calibri Light" w:hAnsi="Calibri Light" w:cs="Calibri Light"/>
          <w:sz w:val="28"/>
          <w:szCs w:val="28"/>
        </w:rPr>
        <w:t xml:space="preserve">therefore, </w:t>
      </w:r>
      <w:r w:rsidR="0071034E">
        <w:rPr>
          <w:rFonts w:ascii="Calibri Light" w:hAnsi="Calibri Light" w:cs="Calibri Light"/>
          <w:sz w:val="28"/>
          <w:szCs w:val="28"/>
        </w:rPr>
        <w:t xml:space="preserve">the current crisis </w:t>
      </w:r>
      <w:r w:rsidR="001361CA">
        <w:rPr>
          <w:rFonts w:ascii="Calibri Light" w:hAnsi="Calibri Light" w:cs="Calibri Light"/>
          <w:sz w:val="28"/>
          <w:szCs w:val="28"/>
        </w:rPr>
        <w:t xml:space="preserve">is likely to have </w:t>
      </w:r>
      <w:r w:rsidR="0071034E">
        <w:rPr>
          <w:rFonts w:ascii="Calibri Light" w:hAnsi="Calibri Light" w:cs="Calibri Light"/>
          <w:sz w:val="28"/>
          <w:szCs w:val="28"/>
        </w:rPr>
        <w:t xml:space="preserve">accentuated the pressures leading to the marked slowdown in offshore enrolments </w:t>
      </w:r>
      <w:r w:rsidR="001361CA">
        <w:rPr>
          <w:rFonts w:ascii="Calibri Light" w:hAnsi="Calibri Light" w:cs="Calibri Light"/>
          <w:sz w:val="28"/>
          <w:szCs w:val="28"/>
        </w:rPr>
        <w:t xml:space="preserve">in recent years which was </w:t>
      </w:r>
      <w:r w:rsidR="0071034E">
        <w:rPr>
          <w:rFonts w:ascii="Calibri Light" w:hAnsi="Calibri Light" w:cs="Calibri Light"/>
          <w:sz w:val="28"/>
          <w:szCs w:val="28"/>
        </w:rPr>
        <w:t>discussed earlier.</w:t>
      </w:r>
      <w:r>
        <w:rPr>
          <w:rFonts w:ascii="Calibri Light" w:hAnsi="Calibri Light" w:cs="Calibri Light"/>
          <w:sz w:val="28"/>
          <w:szCs w:val="28"/>
        </w:rPr>
        <w:t xml:space="preserve"> </w:t>
      </w:r>
      <w:r w:rsidR="001361CA">
        <w:rPr>
          <w:rFonts w:ascii="Calibri Light" w:hAnsi="Calibri Light" w:cs="Calibri Light"/>
          <w:sz w:val="28"/>
          <w:szCs w:val="28"/>
        </w:rPr>
        <w:t>In particular, among those universities which have decided to withdraw or significantly downside their offshore provision, the crisis is likely to have provided added confirmation of th</w:t>
      </w:r>
      <w:r w:rsidR="00A331AC">
        <w:rPr>
          <w:rFonts w:ascii="Calibri Light" w:hAnsi="Calibri Light" w:cs="Calibri Light"/>
          <w:sz w:val="28"/>
          <w:szCs w:val="28"/>
        </w:rPr>
        <w:t xml:space="preserve">e need for </w:t>
      </w:r>
      <w:r w:rsidR="0080729D">
        <w:rPr>
          <w:rFonts w:ascii="Calibri Light" w:hAnsi="Calibri Light" w:cs="Calibri Light"/>
          <w:sz w:val="28"/>
          <w:szCs w:val="28"/>
        </w:rPr>
        <w:t>th</w:t>
      </w:r>
      <w:r w:rsidR="001361CA">
        <w:rPr>
          <w:rFonts w:ascii="Calibri Light" w:hAnsi="Calibri Light" w:cs="Calibri Light"/>
          <w:sz w:val="28"/>
          <w:szCs w:val="28"/>
        </w:rPr>
        <w:t>is strategic global repositioning</w:t>
      </w:r>
      <w:r w:rsidR="008E4D20">
        <w:rPr>
          <w:rStyle w:val="FootnoteReference"/>
          <w:rFonts w:ascii="Calibri Light" w:hAnsi="Calibri Light" w:cs="Calibri Light"/>
          <w:sz w:val="28"/>
          <w:szCs w:val="28"/>
        </w:rPr>
        <w:footnoteReference w:id="17"/>
      </w:r>
      <w:r w:rsidR="001361CA">
        <w:rPr>
          <w:rFonts w:ascii="Calibri Light" w:hAnsi="Calibri Light" w:cs="Calibri Light"/>
          <w:sz w:val="28"/>
          <w:szCs w:val="28"/>
        </w:rPr>
        <w:t xml:space="preserve">. </w:t>
      </w:r>
    </w:p>
    <w:tbl>
      <w:tblPr>
        <w:tblW w:w="6458" w:type="dxa"/>
        <w:tblLook w:val="04A0" w:firstRow="1" w:lastRow="0" w:firstColumn="1" w:lastColumn="0" w:noHBand="0" w:noVBand="1"/>
      </w:tblPr>
      <w:tblGrid>
        <w:gridCol w:w="2037"/>
        <w:gridCol w:w="1660"/>
        <w:gridCol w:w="1473"/>
        <w:gridCol w:w="1288"/>
      </w:tblGrid>
      <w:tr w:rsidR="0040017D" w:rsidRPr="00C52A9D" w14:paraId="7C342BC8" w14:textId="77777777" w:rsidTr="0040017D">
        <w:trPr>
          <w:trHeight w:val="288"/>
        </w:trPr>
        <w:tc>
          <w:tcPr>
            <w:tcW w:w="5655" w:type="dxa"/>
            <w:gridSpan w:val="4"/>
            <w:tcBorders>
              <w:top w:val="nil"/>
              <w:left w:val="nil"/>
              <w:bottom w:val="nil"/>
              <w:right w:val="nil"/>
            </w:tcBorders>
            <w:shd w:val="clear" w:color="auto" w:fill="auto"/>
            <w:noWrap/>
            <w:vAlign w:val="bottom"/>
          </w:tcPr>
          <w:p w14:paraId="0DC290A8" w14:textId="6527F063" w:rsidR="0040017D" w:rsidRPr="00C52A9D" w:rsidRDefault="00231A6F" w:rsidP="00DB316A">
            <w:pPr>
              <w:spacing w:after="0" w:line="240" w:lineRule="auto"/>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lastRenderedPageBreak/>
              <w:t>T</w:t>
            </w:r>
            <w:r w:rsidR="0040017D" w:rsidRPr="00C52A9D">
              <w:rPr>
                <w:rFonts w:ascii="Calibri Light" w:eastAsia="Times New Roman" w:hAnsi="Calibri Light" w:cs="Calibri Light"/>
                <w:color w:val="000000"/>
                <w:lang w:eastAsia="en-GB"/>
              </w:rPr>
              <w:t>able 6: Relationship between previous enrolment trend (2014/15-2019/20)</w:t>
            </w:r>
            <w:r w:rsidR="00DB316A">
              <w:rPr>
                <w:rFonts w:ascii="Calibri Light" w:eastAsia="Times New Roman" w:hAnsi="Calibri Light" w:cs="Calibri Light"/>
                <w:color w:val="000000"/>
                <w:lang w:eastAsia="en-GB"/>
              </w:rPr>
              <w:t xml:space="preserve"> and enrolment change in 2020/21 (%)</w:t>
            </w:r>
            <w:r w:rsidR="0040017D" w:rsidRPr="00C52A9D">
              <w:rPr>
                <w:rFonts w:ascii="Calibri Light" w:eastAsia="Times New Roman" w:hAnsi="Calibri Light" w:cs="Calibri Light"/>
                <w:color w:val="000000"/>
                <w:lang w:eastAsia="en-GB"/>
              </w:rPr>
              <w:t xml:space="preserve"> </w:t>
            </w:r>
          </w:p>
        </w:tc>
      </w:tr>
      <w:tr w:rsidR="0040017D" w:rsidRPr="00C52A9D" w14:paraId="7A488DE7" w14:textId="77777777" w:rsidTr="0040017D">
        <w:trPr>
          <w:trHeight w:val="300"/>
        </w:trPr>
        <w:tc>
          <w:tcPr>
            <w:tcW w:w="5655" w:type="dxa"/>
            <w:gridSpan w:val="4"/>
            <w:tcBorders>
              <w:top w:val="nil"/>
              <w:left w:val="nil"/>
              <w:bottom w:val="nil"/>
              <w:right w:val="nil"/>
            </w:tcBorders>
            <w:shd w:val="clear" w:color="auto" w:fill="auto"/>
            <w:noWrap/>
            <w:vAlign w:val="bottom"/>
          </w:tcPr>
          <w:p w14:paraId="7880A50B" w14:textId="24ECD8EA" w:rsidR="0040017D" w:rsidRPr="00C52A9D" w:rsidRDefault="0040017D" w:rsidP="0040017D">
            <w:pPr>
              <w:spacing w:after="0" w:line="240" w:lineRule="auto"/>
              <w:rPr>
                <w:rFonts w:ascii="Calibri Light" w:eastAsia="Times New Roman" w:hAnsi="Calibri Light" w:cs="Calibri Light"/>
                <w:color w:val="000000"/>
                <w:lang w:eastAsia="en-GB"/>
              </w:rPr>
            </w:pPr>
          </w:p>
        </w:tc>
      </w:tr>
      <w:tr w:rsidR="0040017D" w:rsidRPr="00C52A9D" w14:paraId="48137837" w14:textId="77777777" w:rsidTr="0040017D">
        <w:trPr>
          <w:trHeight w:val="288"/>
        </w:trPr>
        <w:tc>
          <w:tcPr>
            <w:tcW w:w="1783" w:type="dxa"/>
            <w:tcBorders>
              <w:top w:val="single" w:sz="8" w:space="0" w:color="auto"/>
              <w:left w:val="single" w:sz="8" w:space="0" w:color="auto"/>
              <w:bottom w:val="nil"/>
              <w:right w:val="nil"/>
            </w:tcBorders>
            <w:shd w:val="clear" w:color="000000" w:fill="BDD7EE"/>
            <w:noWrap/>
            <w:vAlign w:val="bottom"/>
          </w:tcPr>
          <w:p w14:paraId="4C78E14F"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Enrolment trend</w:t>
            </w:r>
          </w:p>
        </w:tc>
        <w:tc>
          <w:tcPr>
            <w:tcW w:w="3872" w:type="dxa"/>
            <w:gridSpan w:val="3"/>
            <w:tcBorders>
              <w:top w:val="single" w:sz="8" w:space="0" w:color="auto"/>
              <w:left w:val="nil"/>
              <w:bottom w:val="nil"/>
              <w:right w:val="single" w:sz="8" w:space="0" w:color="000000"/>
            </w:tcBorders>
            <w:shd w:val="clear" w:color="000000" w:fill="BDD7EE"/>
            <w:noWrap/>
            <w:vAlign w:val="bottom"/>
          </w:tcPr>
          <w:p w14:paraId="5468806B" w14:textId="77777777" w:rsidR="0040017D" w:rsidRPr="00C52A9D" w:rsidRDefault="0040017D" w:rsidP="0040017D">
            <w:pPr>
              <w:spacing w:after="0" w:line="240" w:lineRule="auto"/>
              <w:ind w:firstLineChars="900" w:firstLine="1980"/>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Enrolment growth 2020/21</w:t>
            </w:r>
          </w:p>
        </w:tc>
      </w:tr>
      <w:tr w:rsidR="0040017D" w:rsidRPr="00C52A9D" w14:paraId="4C2501CB" w14:textId="77777777" w:rsidTr="0040017D">
        <w:trPr>
          <w:trHeight w:val="288"/>
        </w:trPr>
        <w:tc>
          <w:tcPr>
            <w:tcW w:w="1783" w:type="dxa"/>
            <w:tcBorders>
              <w:top w:val="nil"/>
              <w:left w:val="single" w:sz="8" w:space="0" w:color="auto"/>
              <w:bottom w:val="single" w:sz="4" w:space="0" w:color="auto"/>
              <w:right w:val="nil"/>
            </w:tcBorders>
            <w:shd w:val="clear" w:color="000000" w:fill="BDD7EE"/>
            <w:noWrap/>
            <w:vAlign w:val="bottom"/>
          </w:tcPr>
          <w:p w14:paraId="2DF7ACAD"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2014-2019</w:t>
            </w:r>
          </w:p>
        </w:tc>
        <w:tc>
          <w:tcPr>
            <w:tcW w:w="1454" w:type="dxa"/>
            <w:tcBorders>
              <w:top w:val="nil"/>
              <w:left w:val="nil"/>
              <w:bottom w:val="single" w:sz="4" w:space="0" w:color="auto"/>
              <w:right w:val="nil"/>
            </w:tcBorders>
            <w:shd w:val="clear" w:color="000000" w:fill="BDD7EE"/>
            <w:noWrap/>
            <w:vAlign w:val="bottom"/>
          </w:tcPr>
          <w:p w14:paraId="11A82265"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Negative</w:t>
            </w:r>
          </w:p>
        </w:tc>
        <w:tc>
          <w:tcPr>
            <w:tcW w:w="1290" w:type="dxa"/>
            <w:tcBorders>
              <w:top w:val="nil"/>
              <w:left w:val="nil"/>
              <w:bottom w:val="single" w:sz="4" w:space="0" w:color="auto"/>
              <w:right w:val="nil"/>
            </w:tcBorders>
            <w:shd w:val="clear" w:color="000000" w:fill="BDD7EE"/>
            <w:noWrap/>
            <w:vAlign w:val="bottom"/>
          </w:tcPr>
          <w:p w14:paraId="7A3C4358"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Limited</w:t>
            </w:r>
          </w:p>
        </w:tc>
        <w:tc>
          <w:tcPr>
            <w:tcW w:w="1128" w:type="dxa"/>
            <w:tcBorders>
              <w:top w:val="nil"/>
              <w:left w:val="nil"/>
              <w:bottom w:val="single" w:sz="4" w:space="0" w:color="auto"/>
              <w:right w:val="single" w:sz="8" w:space="0" w:color="auto"/>
            </w:tcBorders>
            <w:shd w:val="clear" w:color="000000" w:fill="BDD7EE"/>
            <w:noWrap/>
            <w:vAlign w:val="bottom"/>
          </w:tcPr>
          <w:p w14:paraId="74F0922F"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Positive</w:t>
            </w:r>
          </w:p>
        </w:tc>
      </w:tr>
      <w:tr w:rsidR="0040017D" w:rsidRPr="00C52A9D" w14:paraId="1357AF6F" w14:textId="77777777" w:rsidTr="0040017D">
        <w:trPr>
          <w:trHeight w:val="288"/>
        </w:trPr>
        <w:tc>
          <w:tcPr>
            <w:tcW w:w="1783" w:type="dxa"/>
            <w:tcBorders>
              <w:top w:val="nil"/>
              <w:left w:val="single" w:sz="8" w:space="0" w:color="auto"/>
              <w:bottom w:val="nil"/>
              <w:right w:val="nil"/>
            </w:tcBorders>
            <w:shd w:val="clear" w:color="000000" w:fill="F2F2F2"/>
            <w:noWrap/>
            <w:vAlign w:val="bottom"/>
          </w:tcPr>
          <w:p w14:paraId="42C2B82A"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Increasing</w:t>
            </w:r>
          </w:p>
        </w:tc>
        <w:tc>
          <w:tcPr>
            <w:tcW w:w="1454" w:type="dxa"/>
            <w:tcBorders>
              <w:top w:val="nil"/>
              <w:left w:val="nil"/>
              <w:bottom w:val="nil"/>
              <w:right w:val="nil"/>
            </w:tcBorders>
            <w:shd w:val="clear" w:color="000000" w:fill="F2F2F2"/>
            <w:noWrap/>
            <w:vAlign w:val="bottom"/>
          </w:tcPr>
          <w:p w14:paraId="432000EB"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41</w:t>
            </w:r>
          </w:p>
        </w:tc>
        <w:tc>
          <w:tcPr>
            <w:tcW w:w="1290" w:type="dxa"/>
            <w:tcBorders>
              <w:top w:val="nil"/>
              <w:left w:val="nil"/>
              <w:bottom w:val="nil"/>
              <w:right w:val="nil"/>
            </w:tcBorders>
            <w:shd w:val="clear" w:color="000000" w:fill="F2F2F2"/>
            <w:noWrap/>
            <w:vAlign w:val="bottom"/>
          </w:tcPr>
          <w:p w14:paraId="3DD01329"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27</w:t>
            </w:r>
          </w:p>
        </w:tc>
        <w:tc>
          <w:tcPr>
            <w:tcW w:w="1128" w:type="dxa"/>
            <w:tcBorders>
              <w:top w:val="nil"/>
              <w:left w:val="nil"/>
              <w:bottom w:val="nil"/>
              <w:right w:val="single" w:sz="8" w:space="0" w:color="auto"/>
            </w:tcBorders>
            <w:shd w:val="clear" w:color="000000" w:fill="F2F2F2"/>
            <w:noWrap/>
            <w:vAlign w:val="bottom"/>
          </w:tcPr>
          <w:p w14:paraId="727BD2EC"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32</w:t>
            </w:r>
          </w:p>
        </w:tc>
      </w:tr>
      <w:tr w:rsidR="0040017D" w:rsidRPr="00C52A9D" w14:paraId="0889A835" w14:textId="77777777" w:rsidTr="0040017D">
        <w:trPr>
          <w:trHeight w:val="288"/>
        </w:trPr>
        <w:tc>
          <w:tcPr>
            <w:tcW w:w="1783" w:type="dxa"/>
            <w:tcBorders>
              <w:top w:val="nil"/>
              <w:left w:val="single" w:sz="8" w:space="0" w:color="auto"/>
              <w:bottom w:val="nil"/>
              <w:right w:val="nil"/>
            </w:tcBorders>
            <w:shd w:val="clear" w:color="000000" w:fill="F2F2F2"/>
            <w:noWrap/>
            <w:vAlign w:val="bottom"/>
          </w:tcPr>
          <w:p w14:paraId="25F1E701"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No growth</w:t>
            </w:r>
          </w:p>
        </w:tc>
        <w:tc>
          <w:tcPr>
            <w:tcW w:w="1454" w:type="dxa"/>
            <w:tcBorders>
              <w:top w:val="nil"/>
              <w:left w:val="nil"/>
              <w:bottom w:val="nil"/>
              <w:right w:val="nil"/>
            </w:tcBorders>
            <w:shd w:val="clear" w:color="000000" w:fill="F2F2F2"/>
            <w:noWrap/>
            <w:vAlign w:val="bottom"/>
          </w:tcPr>
          <w:p w14:paraId="4C37D53F"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58</w:t>
            </w:r>
          </w:p>
        </w:tc>
        <w:tc>
          <w:tcPr>
            <w:tcW w:w="1290" w:type="dxa"/>
            <w:tcBorders>
              <w:top w:val="nil"/>
              <w:left w:val="nil"/>
              <w:bottom w:val="nil"/>
              <w:right w:val="nil"/>
            </w:tcBorders>
            <w:shd w:val="clear" w:color="000000" w:fill="F2F2F2"/>
            <w:noWrap/>
            <w:vAlign w:val="bottom"/>
          </w:tcPr>
          <w:p w14:paraId="14FCC175"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32</w:t>
            </w:r>
          </w:p>
        </w:tc>
        <w:tc>
          <w:tcPr>
            <w:tcW w:w="1128" w:type="dxa"/>
            <w:tcBorders>
              <w:top w:val="nil"/>
              <w:left w:val="nil"/>
              <w:bottom w:val="nil"/>
              <w:right w:val="single" w:sz="8" w:space="0" w:color="auto"/>
            </w:tcBorders>
            <w:shd w:val="clear" w:color="000000" w:fill="F2F2F2"/>
            <w:noWrap/>
            <w:vAlign w:val="bottom"/>
          </w:tcPr>
          <w:p w14:paraId="3F966ABD"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12</w:t>
            </w:r>
          </w:p>
        </w:tc>
      </w:tr>
      <w:tr w:rsidR="0040017D" w:rsidRPr="00C52A9D" w14:paraId="3A6A8D5D" w14:textId="77777777" w:rsidTr="0040017D">
        <w:trPr>
          <w:trHeight w:val="300"/>
        </w:trPr>
        <w:tc>
          <w:tcPr>
            <w:tcW w:w="1783" w:type="dxa"/>
            <w:tcBorders>
              <w:top w:val="nil"/>
              <w:left w:val="single" w:sz="8" w:space="0" w:color="auto"/>
              <w:bottom w:val="single" w:sz="8" w:space="0" w:color="auto"/>
              <w:right w:val="nil"/>
            </w:tcBorders>
            <w:shd w:val="clear" w:color="000000" w:fill="F2F2F2"/>
            <w:noWrap/>
            <w:vAlign w:val="bottom"/>
          </w:tcPr>
          <w:p w14:paraId="2406C10A"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Declining</w:t>
            </w:r>
          </w:p>
        </w:tc>
        <w:tc>
          <w:tcPr>
            <w:tcW w:w="1454" w:type="dxa"/>
            <w:tcBorders>
              <w:top w:val="nil"/>
              <w:left w:val="nil"/>
              <w:bottom w:val="single" w:sz="8" w:space="0" w:color="auto"/>
              <w:right w:val="nil"/>
            </w:tcBorders>
            <w:shd w:val="clear" w:color="000000" w:fill="F2F2F2"/>
            <w:noWrap/>
            <w:vAlign w:val="bottom"/>
          </w:tcPr>
          <w:p w14:paraId="3228508F"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58</w:t>
            </w:r>
          </w:p>
        </w:tc>
        <w:tc>
          <w:tcPr>
            <w:tcW w:w="1290" w:type="dxa"/>
            <w:tcBorders>
              <w:top w:val="nil"/>
              <w:left w:val="nil"/>
              <w:bottom w:val="single" w:sz="8" w:space="0" w:color="auto"/>
              <w:right w:val="nil"/>
            </w:tcBorders>
            <w:shd w:val="clear" w:color="000000" w:fill="F2F2F2"/>
            <w:noWrap/>
            <w:vAlign w:val="bottom"/>
          </w:tcPr>
          <w:p w14:paraId="4FA75311"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21</w:t>
            </w:r>
          </w:p>
        </w:tc>
        <w:tc>
          <w:tcPr>
            <w:tcW w:w="1128" w:type="dxa"/>
            <w:tcBorders>
              <w:top w:val="nil"/>
              <w:left w:val="nil"/>
              <w:bottom w:val="single" w:sz="8" w:space="0" w:color="auto"/>
              <w:right w:val="single" w:sz="8" w:space="0" w:color="auto"/>
            </w:tcBorders>
            <w:shd w:val="clear" w:color="000000" w:fill="F2F2F2"/>
            <w:noWrap/>
            <w:vAlign w:val="bottom"/>
          </w:tcPr>
          <w:p w14:paraId="612A9A33" w14:textId="77777777" w:rsidR="0040017D" w:rsidRPr="00C52A9D" w:rsidRDefault="0040017D" w:rsidP="0040017D">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21</w:t>
            </w:r>
          </w:p>
        </w:tc>
      </w:tr>
      <w:tr w:rsidR="0040017D" w:rsidRPr="00C52A9D" w14:paraId="23E21BE9" w14:textId="77777777" w:rsidTr="0040017D">
        <w:trPr>
          <w:trHeight w:val="288"/>
        </w:trPr>
        <w:tc>
          <w:tcPr>
            <w:tcW w:w="4527" w:type="dxa"/>
            <w:gridSpan w:val="3"/>
            <w:tcBorders>
              <w:top w:val="nil"/>
              <w:left w:val="nil"/>
              <w:bottom w:val="nil"/>
              <w:right w:val="nil"/>
            </w:tcBorders>
            <w:shd w:val="clear" w:color="auto" w:fill="auto"/>
            <w:noWrap/>
            <w:vAlign w:val="bottom"/>
          </w:tcPr>
          <w:p w14:paraId="24BE05C6" w14:textId="77777777" w:rsidR="0040017D" w:rsidRPr="00C52A9D" w:rsidRDefault="0040017D" w:rsidP="0040017D">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Source: HESA, FOIA responses (2020/21)</w:t>
            </w:r>
          </w:p>
        </w:tc>
        <w:tc>
          <w:tcPr>
            <w:tcW w:w="1128" w:type="dxa"/>
            <w:tcBorders>
              <w:top w:val="nil"/>
              <w:left w:val="nil"/>
              <w:bottom w:val="nil"/>
              <w:right w:val="nil"/>
            </w:tcBorders>
            <w:shd w:val="clear" w:color="auto" w:fill="auto"/>
            <w:noWrap/>
            <w:vAlign w:val="bottom"/>
          </w:tcPr>
          <w:p w14:paraId="28F0405E" w14:textId="77777777" w:rsidR="0040017D" w:rsidRPr="00C52A9D" w:rsidRDefault="0040017D" w:rsidP="0040017D">
            <w:pPr>
              <w:spacing w:after="0" w:line="240" w:lineRule="auto"/>
              <w:rPr>
                <w:rFonts w:ascii="Calibri Light" w:eastAsia="Times New Roman" w:hAnsi="Calibri Light" w:cs="Calibri Light"/>
                <w:color w:val="000000"/>
                <w:lang w:eastAsia="en-GB"/>
              </w:rPr>
            </w:pPr>
          </w:p>
        </w:tc>
      </w:tr>
    </w:tbl>
    <w:p w14:paraId="09B57E29" w14:textId="77777777" w:rsidR="00156AAE" w:rsidRDefault="00156AAE" w:rsidP="00231A6F">
      <w:pPr>
        <w:tabs>
          <w:tab w:val="left" w:pos="1167"/>
        </w:tabs>
        <w:rPr>
          <w:rFonts w:ascii="Calibri Light" w:hAnsi="Calibri Light" w:cs="Calibri Light"/>
          <w:i/>
          <w:sz w:val="28"/>
          <w:szCs w:val="28"/>
        </w:rPr>
      </w:pPr>
    </w:p>
    <w:p w14:paraId="47FD41C3" w14:textId="0933413B" w:rsidR="00D37EB4" w:rsidRPr="001361CA" w:rsidRDefault="00C7573E" w:rsidP="00231A6F">
      <w:pPr>
        <w:tabs>
          <w:tab w:val="left" w:pos="1167"/>
        </w:tabs>
        <w:rPr>
          <w:rFonts w:ascii="Calibri Light" w:hAnsi="Calibri Light" w:cs="Calibri Light"/>
          <w:i/>
          <w:sz w:val="28"/>
          <w:szCs w:val="28"/>
        </w:rPr>
      </w:pPr>
      <w:r w:rsidRPr="001361CA">
        <w:rPr>
          <w:rFonts w:ascii="Calibri Light" w:hAnsi="Calibri Light" w:cs="Calibri Light"/>
          <w:i/>
          <w:sz w:val="28"/>
          <w:szCs w:val="28"/>
        </w:rPr>
        <w:t xml:space="preserve">The European Union </w:t>
      </w:r>
    </w:p>
    <w:p w14:paraId="7257D680" w14:textId="5381C0C4" w:rsidR="00F01AD2" w:rsidRDefault="0006115D" w:rsidP="00F01AD2">
      <w:pPr>
        <w:jc w:val="both"/>
        <w:rPr>
          <w:rFonts w:ascii="Calibri Light" w:hAnsi="Calibri Light" w:cs="Calibri Light"/>
          <w:sz w:val="28"/>
          <w:szCs w:val="28"/>
        </w:rPr>
      </w:pPr>
      <w:r>
        <w:rPr>
          <w:rFonts w:ascii="Calibri Light" w:hAnsi="Calibri Light" w:cs="Calibri Light"/>
          <w:sz w:val="28"/>
          <w:szCs w:val="28"/>
        </w:rPr>
        <w:t>T</w:t>
      </w:r>
      <w:r w:rsidR="00F01AD2">
        <w:rPr>
          <w:rFonts w:ascii="Calibri Light" w:hAnsi="Calibri Light" w:cs="Calibri Light"/>
          <w:sz w:val="28"/>
          <w:szCs w:val="28"/>
        </w:rPr>
        <w:t xml:space="preserve">he </w:t>
      </w:r>
      <w:r w:rsidR="00A72A62">
        <w:rPr>
          <w:rFonts w:ascii="Calibri Light" w:hAnsi="Calibri Light" w:cs="Calibri Light"/>
          <w:sz w:val="28"/>
          <w:szCs w:val="28"/>
        </w:rPr>
        <w:t xml:space="preserve">overall </w:t>
      </w:r>
      <w:r w:rsidR="00F01AD2">
        <w:rPr>
          <w:rFonts w:ascii="Calibri Light" w:hAnsi="Calibri Light" w:cs="Calibri Light"/>
          <w:sz w:val="28"/>
          <w:szCs w:val="28"/>
        </w:rPr>
        <w:t xml:space="preserve">impact </w:t>
      </w:r>
      <w:r w:rsidR="00A331AC">
        <w:rPr>
          <w:rFonts w:ascii="Calibri Light" w:hAnsi="Calibri Light" w:cs="Calibri Light"/>
          <w:sz w:val="28"/>
          <w:szCs w:val="28"/>
        </w:rPr>
        <w:t xml:space="preserve">of Brexit on UK </w:t>
      </w:r>
      <w:r w:rsidR="00F01AD2">
        <w:rPr>
          <w:rFonts w:ascii="Calibri Light" w:hAnsi="Calibri Light" w:cs="Calibri Light"/>
          <w:sz w:val="28"/>
          <w:szCs w:val="28"/>
        </w:rPr>
        <w:t xml:space="preserve">offshore enrolments </w:t>
      </w:r>
      <w:r w:rsidR="00A331AC">
        <w:rPr>
          <w:rFonts w:ascii="Calibri Light" w:hAnsi="Calibri Light" w:cs="Calibri Light"/>
          <w:sz w:val="28"/>
          <w:szCs w:val="28"/>
        </w:rPr>
        <w:t xml:space="preserve">in the EU </w:t>
      </w:r>
      <w:r w:rsidR="00935A52">
        <w:rPr>
          <w:rFonts w:ascii="Calibri Light" w:hAnsi="Calibri Light" w:cs="Calibri Light"/>
          <w:sz w:val="28"/>
          <w:szCs w:val="28"/>
        </w:rPr>
        <w:t>since t</w:t>
      </w:r>
      <w:r w:rsidR="00F01AD2">
        <w:rPr>
          <w:rFonts w:ascii="Calibri Light" w:hAnsi="Calibri Light" w:cs="Calibri Light"/>
          <w:sz w:val="28"/>
          <w:szCs w:val="28"/>
        </w:rPr>
        <w:t xml:space="preserve">he </w:t>
      </w:r>
      <w:r w:rsidR="00A72A62">
        <w:rPr>
          <w:rFonts w:ascii="Calibri Light" w:hAnsi="Calibri Light" w:cs="Calibri Light"/>
          <w:sz w:val="28"/>
          <w:szCs w:val="28"/>
        </w:rPr>
        <w:t>decision t</w:t>
      </w:r>
      <w:r w:rsidR="00935A52">
        <w:rPr>
          <w:rFonts w:ascii="Calibri Light" w:hAnsi="Calibri Light" w:cs="Calibri Light"/>
          <w:sz w:val="28"/>
          <w:szCs w:val="28"/>
        </w:rPr>
        <w:t>o leave in June 2016</w:t>
      </w:r>
      <w:r w:rsidR="00A331AC">
        <w:rPr>
          <w:rFonts w:ascii="Calibri Light" w:hAnsi="Calibri Light" w:cs="Calibri Light"/>
          <w:sz w:val="28"/>
          <w:szCs w:val="28"/>
        </w:rPr>
        <w:t xml:space="preserve"> </w:t>
      </w:r>
      <w:r w:rsidR="00A72A62">
        <w:rPr>
          <w:rFonts w:ascii="Calibri Light" w:hAnsi="Calibri Light" w:cs="Calibri Light"/>
          <w:sz w:val="28"/>
          <w:szCs w:val="28"/>
        </w:rPr>
        <w:t>appears to be quite positive</w:t>
      </w:r>
      <w:r w:rsidR="00935A52">
        <w:rPr>
          <w:rFonts w:ascii="Calibri Light" w:hAnsi="Calibri Light" w:cs="Calibri Light"/>
          <w:sz w:val="28"/>
          <w:szCs w:val="28"/>
        </w:rPr>
        <w:t xml:space="preserve">. </w:t>
      </w:r>
      <w:r w:rsidR="00D36A64">
        <w:rPr>
          <w:rFonts w:ascii="Calibri Light" w:hAnsi="Calibri Light" w:cs="Calibri Light"/>
          <w:sz w:val="28"/>
          <w:szCs w:val="28"/>
        </w:rPr>
        <w:t>In the five</w:t>
      </w:r>
      <w:r w:rsidR="00935A52">
        <w:rPr>
          <w:rFonts w:ascii="Calibri Light" w:hAnsi="Calibri Light" w:cs="Calibri Light"/>
          <w:sz w:val="28"/>
          <w:szCs w:val="28"/>
        </w:rPr>
        <w:t xml:space="preserve"> </w:t>
      </w:r>
      <w:r w:rsidR="00BE17CD">
        <w:rPr>
          <w:rFonts w:ascii="Calibri Light" w:hAnsi="Calibri Light" w:cs="Calibri Light"/>
          <w:sz w:val="28"/>
          <w:szCs w:val="28"/>
        </w:rPr>
        <w:t xml:space="preserve">years leading up to the Brexit </w:t>
      </w:r>
      <w:r w:rsidR="00A72A62">
        <w:rPr>
          <w:rFonts w:ascii="Calibri Light" w:hAnsi="Calibri Light" w:cs="Calibri Light"/>
          <w:sz w:val="28"/>
          <w:szCs w:val="28"/>
        </w:rPr>
        <w:t>referendum</w:t>
      </w:r>
      <w:r w:rsidR="00A331AC">
        <w:rPr>
          <w:rFonts w:ascii="Calibri Light" w:hAnsi="Calibri Light" w:cs="Calibri Light"/>
          <w:sz w:val="28"/>
          <w:szCs w:val="28"/>
        </w:rPr>
        <w:t>,</w:t>
      </w:r>
      <w:r w:rsidR="00647342">
        <w:rPr>
          <w:rFonts w:ascii="Calibri Light" w:hAnsi="Calibri Light" w:cs="Calibri Light"/>
          <w:sz w:val="28"/>
          <w:szCs w:val="28"/>
        </w:rPr>
        <w:t xml:space="preserve"> </w:t>
      </w:r>
      <w:r w:rsidR="00935A52">
        <w:rPr>
          <w:rFonts w:ascii="Calibri Light" w:hAnsi="Calibri Light" w:cs="Calibri Light"/>
          <w:sz w:val="28"/>
          <w:szCs w:val="28"/>
        </w:rPr>
        <w:t xml:space="preserve">offshore </w:t>
      </w:r>
      <w:r w:rsidR="00D36A64">
        <w:rPr>
          <w:rFonts w:ascii="Calibri Light" w:hAnsi="Calibri Light" w:cs="Calibri Light"/>
          <w:sz w:val="28"/>
          <w:szCs w:val="28"/>
        </w:rPr>
        <w:t xml:space="preserve">enrolments </w:t>
      </w:r>
      <w:r w:rsidR="0080729D">
        <w:rPr>
          <w:rFonts w:ascii="Calibri Light" w:hAnsi="Calibri Light" w:cs="Calibri Light"/>
          <w:sz w:val="28"/>
          <w:szCs w:val="28"/>
        </w:rPr>
        <w:t xml:space="preserve">in the EU region </w:t>
      </w:r>
      <w:r w:rsidR="00D36A64">
        <w:rPr>
          <w:rFonts w:ascii="Calibri Light" w:hAnsi="Calibri Light" w:cs="Calibri Light"/>
          <w:sz w:val="28"/>
          <w:szCs w:val="28"/>
        </w:rPr>
        <w:t>were stagnant at around 50-55,000 students</w:t>
      </w:r>
      <w:r w:rsidR="00A72A62">
        <w:rPr>
          <w:rFonts w:ascii="Calibri Light" w:hAnsi="Calibri Light" w:cs="Calibri Light"/>
          <w:sz w:val="28"/>
          <w:szCs w:val="28"/>
        </w:rPr>
        <w:t xml:space="preserve"> but</w:t>
      </w:r>
      <w:r>
        <w:rPr>
          <w:rFonts w:ascii="Calibri Light" w:hAnsi="Calibri Light" w:cs="Calibri Light"/>
          <w:sz w:val="28"/>
          <w:szCs w:val="28"/>
        </w:rPr>
        <w:t>, during</w:t>
      </w:r>
      <w:r w:rsidR="00D36A64">
        <w:rPr>
          <w:rFonts w:ascii="Calibri Light" w:hAnsi="Calibri Light" w:cs="Calibri Light"/>
          <w:sz w:val="28"/>
          <w:szCs w:val="28"/>
        </w:rPr>
        <w:t xml:space="preserve"> the </w:t>
      </w:r>
      <w:r w:rsidR="00935A52">
        <w:rPr>
          <w:rFonts w:ascii="Calibri Light" w:hAnsi="Calibri Light" w:cs="Calibri Light"/>
          <w:sz w:val="28"/>
          <w:szCs w:val="28"/>
        </w:rPr>
        <w:t xml:space="preserve">three </w:t>
      </w:r>
      <w:r w:rsidR="00D36A64">
        <w:rPr>
          <w:rFonts w:ascii="Calibri Light" w:hAnsi="Calibri Light" w:cs="Calibri Light"/>
          <w:sz w:val="28"/>
          <w:szCs w:val="28"/>
        </w:rPr>
        <w:t xml:space="preserve">years </w:t>
      </w:r>
      <w:r w:rsidR="00935A52">
        <w:rPr>
          <w:rFonts w:ascii="Calibri Light" w:hAnsi="Calibri Light" w:cs="Calibri Light"/>
          <w:sz w:val="28"/>
          <w:szCs w:val="28"/>
        </w:rPr>
        <w:t xml:space="preserve">following </w:t>
      </w:r>
      <w:r w:rsidR="00D36A64">
        <w:rPr>
          <w:rFonts w:ascii="Calibri Light" w:hAnsi="Calibri Light" w:cs="Calibri Light"/>
          <w:sz w:val="28"/>
          <w:szCs w:val="28"/>
        </w:rPr>
        <w:t xml:space="preserve">the vote, enrolments </w:t>
      </w:r>
      <w:r w:rsidR="00BE17CD">
        <w:rPr>
          <w:rFonts w:ascii="Calibri Light" w:hAnsi="Calibri Light" w:cs="Calibri Light"/>
          <w:sz w:val="28"/>
          <w:szCs w:val="28"/>
        </w:rPr>
        <w:t xml:space="preserve">grew </w:t>
      </w:r>
      <w:r w:rsidR="004C03AF">
        <w:rPr>
          <w:rFonts w:ascii="Calibri Light" w:hAnsi="Calibri Light" w:cs="Calibri Light"/>
          <w:sz w:val="28"/>
          <w:szCs w:val="28"/>
        </w:rPr>
        <w:t>by over one-quarter</w:t>
      </w:r>
      <w:r w:rsidR="00BE17CD">
        <w:rPr>
          <w:rFonts w:ascii="Calibri Light" w:hAnsi="Calibri Light" w:cs="Calibri Light"/>
          <w:sz w:val="28"/>
          <w:szCs w:val="28"/>
        </w:rPr>
        <w:t xml:space="preserve"> to 65,000 in 2018/19</w:t>
      </w:r>
      <w:r w:rsidR="00D36A64">
        <w:rPr>
          <w:rFonts w:ascii="Calibri Light" w:hAnsi="Calibri Light" w:cs="Calibri Light"/>
          <w:sz w:val="28"/>
          <w:szCs w:val="28"/>
        </w:rPr>
        <w:t xml:space="preserve">. </w:t>
      </w:r>
      <w:r w:rsidR="00BE17CD">
        <w:rPr>
          <w:rFonts w:ascii="Calibri Light" w:hAnsi="Calibri Light" w:cs="Calibri Light"/>
          <w:sz w:val="28"/>
          <w:szCs w:val="28"/>
        </w:rPr>
        <w:t>Over the next two academic years, t</w:t>
      </w:r>
      <w:r w:rsidR="00D36A64">
        <w:rPr>
          <w:rFonts w:ascii="Calibri Light" w:hAnsi="Calibri Light" w:cs="Calibri Light"/>
          <w:sz w:val="28"/>
          <w:szCs w:val="28"/>
        </w:rPr>
        <w:t xml:space="preserve">he combined </w:t>
      </w:r>
      <w:r w:rsidR="00A331AC">
        <w:rPr>
          <w:rFonts w:ascii="Calibri Light" w:hAnsi="Calibri Light" w:cs="Calibri Light"/>
          <w:sz w:val="28"/>
          <w:szCs w:val="28"/>
        </w:rPr>
        <w:t xml:space="preserve">enrolment </w:t>
      </w:r>
      <w:r w:rsidR="00D36A64">
        <w:rPr>
          <w:rFonts w:ascii="Calibri Light" w:hAnsi="Calibri Light" w:cs="Calibri Light"/>
          <w:sz w:val="28"/>
          <w:szCs w:val="28"/>
        </w:rPr>
        <w:t xml:space="preserve">impact </w:t>
      </w:r>
      <w:r w:rsidR="00BE17CD">
        <w:rPr>
          <w:rFonts w:ascii="Calibri Light" w:hAnsi="Calibri Light" w:cs="Calibri Light"/>
          <w:sz w:val="28"/>
          <w:szCs w:val="28"/>
        </w:rPr>
        <w:t xml:space="preserve">of </w:t>
      </w:r>
      <w:r w:rsidR="00D36A64">
        <w:rPr>
          <w:rFonts w:ascii="Calibri Light" w:hAnsi="Calibri Light" w:cs="Calibri Light"/>
          <w:sz w:val="28"/>
          <w:szCs w:val="28"/>
        </w:rPr>
        <w:t xml:space="preserve">the COVID pandemic </w:t>
      </w:r>
      <w:r w:rsidR="00BE17CD">
        <w:rPr>
          <w:rFonts w:ascii="Calibri Light" w:hAnsi="Calibri Light" w:cs="Calibri Light"/>
          <w:sz w:val="28"/>
          <w:szCs w:val="28"/>
        </w:rPr>
        <w:t xml:space="preserve">(which began in </w:t>
      </w:r>
      <w:r w:rsidR="00D36A64">
        <w:rPr>
          <w:rFonts w:ascii="Calibri Light" w:hAnsi="Calibri Light" w:cs="Calibri Light"/>
          <w:sz w:val="28"/>
          <w:szCs w:val="28"/>
        </w:rPr>
        <w:t>March 2020</w:t>
      </w:r>
      <w:r w:rsidR="00BE17CD">
        <w:rPr>
          <w:rFonts w:ascii="Calibri Light" w:hAnsi="Calibri Light" w:cs="Calibri Light"/>
          <w:sz w:val="28"/>
          <w:szCs w:val="28"/>
        </w:rPr>
        <w:t>)</w:t>
      </w:r>
      <w:r w:rsidR="00D36A64">
        <w:rPr>
          <w:rFonts w:ascii="Calibri Light" w:hAnsi="Calibri Light" w:cs="Calibri Light"/>
          <w:sz w:val="28"/>
          <w:szCs w:val="28"/>
        </w:rPr>
        <w:t xml:space="preserve"> and the</w:t>
      </w:r>
      <w:r w:rsidR="00A526AB">
        <w:rPr>
          <w:rFonts w:ascii="Calibri Light" w:hAnsi="Calibri Light" w:cs="Calibri Light"/>
          <w:sz w:val="28"/>
          <w:szCs w:val="28"/>
        </w:rPr>
        <w:t xml:space="preserve"> UK’s</w:t>
      </w:r>
      <w:r w:rsidR="00D36A64">
        <w:rPr>
          <w:rFonts w:ascii="Calibri Light" w:hAnsi="Calibri Light" w:cs="Calibri Light"/>
          <w:sz w:val="28"/>
          <w:szCs w:val="28"/>
        </w:rPr>
        <w:t xml:space="preserve"> final departure from the EU </w:t>
      </w:r>
      <w:r w:rsidR="0080729D">
        <w:rPr>
          <w:rFonts w:ascii="Calibri Light" w:hAnsi="Calibri Light" w:cs="Calibri Light"/>
          <w:sz w:val="28"/>
          <w:szCs w:val="28"/>
        </w:rPr>
        <w:t>in J</w:t>
      </w:r>
      <w:r w:rsidR="00A331AC">
        <w:rPr>
          <w:rFonts w:ascii="Calibri Light" w:hAnsi="Calibri Light" w:cs="Calibri Light"/>
          <w:sz w:val="28"/>
          <w:szCs w:val="28"/>
        </w:rPr>
        <w:t>anuary 20</w:t>
      </w:r>
      <w:r w:rsidR="004C03AF">
        <w:rPr>
          <w:rFonts w:ascii="Calibri Light" w:hAnsi="Calibri Light" w:cs="Calibri Light"/>
          <w:sz w:val="28"/>
          <w:szCs w:val="28"/>
        </w:rPr>
        <w:t>21</w:t>
      </w:r>
      <w:r w:rsidR="00D36A64">
        <w:rPr>
          <w:rFonts w:ascii="Calibri Light" w:hAnsi="Calibri Light" w:cs="Calibri Light"/>
          <w:sz w:val="28"/>
          <w:szCs w:val="28"/>
        </w:rPr>
        <w:t xml:space="preserve"> </w:t>
      </w:r>
      <w:r w:rsidR="00BF4587">
        <w:rPr>
          <w:rFonts w:ascii="Calibri Light" w:hAnsi="Calibri Light" w:cs="Calibri Light"/>
          <w:sz w:val="28"/>
          <w:szCs w:val="28"/>
        </w:rPr>
        <w:t>has been relatively li</w:t>
      </w:r>
      <w:r w:rsidR="00493CB2">
        <w:rPr>
          <w:rFonts w:ascii="Calibri Light" w:hAnsi="Calibri Light" w:cs="Calibri Light"/>
          <w:sz w:val="28"/>
          <w:szCs w:val="28"/>
        </w:rPr>
        <w:t>mited</w:t>
      </w:r>
      <w:r w:rsidR="00A526AB">
        <w:rPr>
          <w:rFonts w:ascii="Calibri Light" w:hAnsi="Calibri Light" w:cs="Calibri Light"/>
          <w:sz w:val="28"/>
          <w:szCs w:val="28"/>
        </w:rPr>
        <w:t xml:space="preserve">. Enrolments </w:t>
      </w:r>
      <w:r w:rsidR="00A72A62">
        <w:rPr>
          <w:rFonts w:ascii="Calibri Light" w:hAnsi="Calibri Light" w:cs="Calibri Light"/>
          <w:sz w:val="28"/>
          <w:szCs w:val="28"/>
        </w:rPr>
        <w:t xml:space="preserve">actually </w:t>
      </w:r>
      <w:r w:rsidR="00A526AB">
        <w:rPr>
          <w:rFonts w:ascii="Calibri Light" w:hAnsi="Calibri Light" w:cs="Calibri Light"/>
          <w:sz w:val="28"/>
          <w:szCs w:val="28"/>
        </w:rPr>
        <w:t xml:space="preserve">increased by 7.0% in AY 2019/20 and only declined by 3.5% in AY 2020/21. Given that </w:t>
      </w:r>
      <w:r w:rsidR="0080729D">
        <w:rPr>
          <w:rFonts w:ascii="Calibri Light" w:hAnsi="Calibri Light" w:cs="Calibri Light"/>
          <w:sz w:val="28"/>
          <w:szCs w:val="28"/>
        </w:rPr>
        <w:t xml:space="preserve">UK offshore </w:t>
      </w:r>
      <w:r w:rsidR="00A526AB">
        <w:rPr>
          <w:rFonts w:ascii="Calibri Light" w:hAnsi="Calibri Light" w:cs="Calibri Light"/>
          <w:sz w:val="28"/>
          <w:szCs w:val="28"/>
        </w:rPr>
        <w:t>enrolments</w:t>
      </w:r>
      <w:r w:rsidR="0080729D">
        <w:rPr>
          <w:rFonts w:ascii="Calibri Light" w:hAnsi="Calibri Light" w:cs="Calibri Light"/>
          <w:sz w:val="28"/>
          <w:szCs w:val="28"/>
        </w:rPr>
        <w:t xml:space="preserve"> in the UK</w:t>
      </w:r>
      <w:r w:rsidR="00A526AB">
        <w:rPr>
          <w:rFonts w:ascii="Calibri Light" w:hAnsi="Calibri Light" w:cs="Calibri Light"/>
          <w:sz w:val="28"/>
          <w:szCs w:val="28"/>
        </w:rPr>
        <w:t xml:space="preserve"> only account for around 14% of UK offshore enrolments worldwide, </w:t>
      </w:r>
      <w:r w:rsidR="00BF4587">
        <w:rPr>
          <w:rFonts w:ascii="Calibri Light" w:hAnsi="Calibri Light" w:cs="Calibri Light"/>
          <w:sz w:val="28"/>
          <w:szCs w:val="28"/>
        </w:rPr>
        <w:t xml:space="preserve">any immediate negative </w:t>
      </w:r>
      <w:r w:rsidR="00A526AB">
        <w:rPr>
          <w:rFonts w:ascii="Calibri Light" w:hAnsi="Calibri Light" w:cs="Calibri Light"/>
          <w:sz w:val="28"/>
          <w:szCs w:val="28"/>
        </w:rPr>
        <w:t xml:space="preserve">impact of </w:t>
      </w:r>
      <w:r w:rsidR="00BF4587">
        <w:rPr>
          <w:rFonts w:ascii="Calibri Light" w:hAnsi="Calibri Light" w:cs="Calibri Light"/>
          <w:sz w:val="28"/>
          <w:szCs w:val="28"/>
        </w:rPr>
        <w:t>the final departure of the UK from the EU on overall UK offshore provision appears, therefore,</w:t>
      </w:r>
      <w:r w:rsidR="00A526AB">
        <w:rPr>
          <w:rFonts w:ascii="Calibri Light" w:hAnsi="Calibri Light" w:cs="Calibri Light"/>
          <w:sz w:val="28"/>
          <w:szCs w:val="28"/>
        </w:rPr>
        <w:t xml:space="preserve"> </w:t>
      </w:r>
      <w:r w:rsidR="00BF4587">
        <w:rPr>
          <w:rFonts w:ascii="Calibri Light" w:hAnsi="Calibri Light" w:cs="Calibri Light"/>
          <w:sz w:val="28"/>
          <w:szCs w:val="28"/>
        </w:rPr>
        <w:t xml:space="preserve">to have </w:t>
      </w:r>
      <w:r w:rsidR="00A526AB">
        <w:rPr>
          <w:rFonts w:ascii="Calibri Light" w:hAnsi="Calibri Light" w:cs="Calibri Light"/>
          <w:sz w:val="28"/>
          <w:szCs w:val="28"/>
        </w:rPr>
        <w:t>been minimal.</w:t>
      </w:r>
    </w:p>
    <w:p w14:paraId="029D105D" w14:textId="56C8203B" w:rsidR="00E71AB5" w:rsidRDefault="00A526AB" w:rsidP="00F01AD2">
      <w:pPr>
        <w:jc w:val="both"/>
        <w:rPr>
          <w:rFonts w:ascii="Calibri Light" w:hAnsi="Calibri Light" w:cs="Calibri Light"/>
          <w:sz w:val="28"/>
          <w:szCs w:val="28"/>
        </w:rPr>
      </w:pPr>
      <w:r>
        <w:rPr>
          <w:rFonts w:ascii="Calibri Light" w:hAnsi="Calibri Light" w:cs="Calibri Light"/>
          <w:sz w:val="28"/>
          <w:szCs w:val="28"/>
        </w:rPr>
        <w:t>The</w:t>
      </w:r>
      <w:r w:rsidR="003E07A8">
        <w:rPr>
          <w:rFonts w:ascii="Calibri Light" w:hAnsi="Calibri Light" w:cs="Calibri Light"/>
          <w:sz w:val="28"/>
          <w:szCs w:val="28"/>
        </w:rPr>
        <w:t xml:space="preserve">re are probably </w:t>
      </w:r>
      <w:r w:rsidR="007106DC">
        <w:rPr>
          <w:rFonts w:ascii="Calibri Light" w:hAnsi="Calibri Light" w:cs="Calibri Light"/>
          <w:sz w:val="28"/>
          <w:szCs w:val="28"/>
        </w:rPr>
        <w:t>three</w:t>
      </w:r>
      <w:r w:rsidR="00177C4D">
        <w:rPr>
          <w:rFonts w:ascii="Calibri Light" w:hAnsi="Calibri Light" w:cs="Calibri Light"/>
          <w:sz w:val="28"/>
          <w:szCs w:val="28"/>
        </w:rPr>
        <w:t xml:space="preserve"> </w:t>
      </w:r>
      <w:r w:rsidR="003E07A8">
        <w:rPr>
          <w:rFonts w:ascii="Calibri Light" w:hAnsi="Calibri Light" w:cs="Calibri Light"/>
          <w:sz w:val="28"/>
          <w:szCs w:val="28"/>
        </w:rPr>
        <w:t>main reasons for th</w:t>
      </w:r>
      <w:r w:rsidR="00DD7420">
        <w:rPr>
          <w:rFonts w:ascii="Calibri Light" w:hAnsi="Calibri Light" w:cs="Calibri Light"/>
          <w:sz w:val="28"/>
          <w:szCs w:val="28"/>
        </w:rPr>
        <w:t xml:space="preserve">e overall </w:t>
      </w:r>
      <w:r>
        <w:rPr>
          <w:rFonts w:ascii="Calibri Light" w:hAnsi="Calibri Light" w:cs="Calibri Light"/>
          <w:sz w:val="28"/>
          <w:szCs w:val="28"/>
        </w:rPr>
        <w:t>positive impact</w:t>
      </w:r>
      <w:r w:rsidR="007106DC">
        <w:rPr>
          <w:rFonts w:ascii="Calibri Light" w:hAnsi="Calibri Light" w:cs="Calibri Light"/>
          <w:sz w:val="28"/>
          <w:szCs w:val="28"/>
        </w:rPr>
        <w:t>, to date,</w:t>
      </w:r>
      <w:r>
        <w:rPr>
          <w:rFonts w:ascii="Calibri Light" w:hAnsi="Calibri Light" w:cs="Calibri Light"/>
          <w:sz w:val="28"/>
          <w:szCs w:val="28"/>
        </w:rPr>
        <w:t xml:space="preserve"> of Brexit</w:t>
      </w:r>
      <w:r w:rsidR="00177C4D">
        <w:rPr>
          <w:rFonts w:ascii="Calibri Light" w:hAnsi="Calibri Light" w:cs="Calibri Light"/>
          <w:sz w:val="28"/>
          <w:szCs w:val="28"/>
        </w:rPr>
        <w:t xml:space="preserve"> on </w:t>
      </w:r>
      <w:r w:rsidR="00DD7420">
        <w:rPr>
          <w:rFonts w:ascii="Calibri Light" w:hAnsi="Calibri Light" w:cs="Calibri Light"/>
          <w:sz w:val="28"/>
          <w:szCs w:val="28"/>
        </w:rPr>
        <w:t xml:space="preserve">UK </w:t>
      </w:r>
      <w:r w:rsidR="00177C4D">
        <w:rPr>
          <w:rFonts w:ascii="Calibri Light" w:hAnsi="Calibri Light" w:cs="Calibri Light"/>
          <w:sz w:val="28"/>
          <w:szCs w:val="28"/>
        </w:rPr>
        <w:t>offshore enrolments</w:t>
      </w:r>
      <w:r w:rsidR="007106DC">
        <w:rPr>
          <w:rFonts w:ascii="Calibri Light" w:hAnsi="Calibri Light" w:cs="Calibri Light"/>
          <w:sz w:val="28"/>
          <w:szCs w:val="28"/>
        </w:rPr>
        <w:t xml:space="preserve"> in the EU</w:t>
      </w:r>
      <w:r w:rsidR="003E07A8">
        <w:rPr>
          <w:rFonts w:ascii="Calibri Light" w:hAnsi="Calibri Light" w:cs="Calibri Light"/>
          <w:sz w:val="28"/>
          <w:szCs w:val="28"/>
        </w:rPr>
        <w:t xml:space="preserve">. Firstly, while the vote to leave obviously increased uncertainty about the nature of the UK’s future relationship with the EU, it did not have any immediate effect on TNE provision. If anything, </w:t>
      </w:r>
      <w:r w:rsidR="00DD7420">
        <w:rPr>
          <w:rFonts w:ascii="Calibri Light" w:hAnsi="Calibri Light" w:cs="Calibri Light"/>
          <w:sz w:val="28"/>
          <w:szCs w:val="28"/>
        </w:rPr>
        <w:t xml:space="preserve">higher levels of </w:t>
      </w:r>
      <w:r w:rsidR="003E07A8">
        <w:rPr>
          <w:rFonts w:ascii="Calibri Light" w:hAnsi="Calibri Light" w:cs="Calibri Light"/>
          <w:sz w:val="28"/>
          <w:szCs w:val="28"/>
        </w:rPr>
        <w:t xml:space="preserve">uncertainty may have increased the short-term demand </w:t>
      </w:r>
      <w:r w:rsidR="00177C4D">
        <w:rPr>
          <w:rFonts w:ascii="Calibri Light" w:hAnsi="Calibri Light" w:cs="Calibri Light"/>
          <w:sz w:val="28"/>
          <w:szCs w:val="28"/>
        </w:rPr>
        <w:t xml:space="preserve">both </w:t>
      </w:r>
      <w:r w:rsidR="003E07A8">
        <w:rPr>
          <w:rFonts w:ascii="Calibri Light" w:hAnsi="Calibri Light" w:cs="Calibri Light"/>
          <w:sz w:val="28"/>
          <w:szCs w:val="28"/>
        </w:rPr>
        <w:t xml:space="preserve">for collaborative degree courses at </w:t>
      </w:r>
      <w:r w:rsidR="00806337">
        <w:rPr>
          <w:rFonts w:ascii="Calibri Light" w:hAnsi="Calibri Light" w:cs="Calibri Light"/>
          <w:sz w:val="28"/>
          <w:szCs w:val="28"/>
        </w:rPr>
        <w:t xml:space="preserve">offshore </w:t>
      </w:r>
      <w:r w:rsidR="003E07A8">
        <w:rPr>
          <w:rFonts w:ascii="Calibri Light" w:hAnsi="Calibri Light" w:cs="Calibri Light"/>
          <w:sz w:val="28"/>
          <w:szCs w:val="28"/>
        </w:rPr>
        <w:t xml:space="preserve">institutional partners in the </w:t>
      </w:r>
      <w:r w:rsidR="00806337">
        <w:rPr>
          <w:rFonts w:ascii="Calibri Light" w:hAnsi="Calibri Light" w:cs="Calibri Light"/>
          <w:sz w:val="28"/>
          <w:szCs w:val="28"/>
        </w:rPr>
        <w:t>EU</w:t>
      </w:r>
      <w:r w:rsidR="00177C4D">
        <w:rPr>
          <w:rFonts w:ascii="Calibri Light" w:hAnsi="Calibri Light" w:cs="Calibri Light"/>
          <w:sz w:val="28"/>
          <w:szCs w:val="28"/>
        </w:rPr>
        <w:t xml:space="preserve"> as well as for ODL courses which </w:t>
      </w:r>
      <w:r w:rsidR="00DD7420">
        <w:rPr>
          <w:rFonts w:ascii="Calibri Light" w:hAnsi="Calibri Light" w:cs="Calibri Light"/>
          <w:sz w:val="28"/>
          <w:szCs w:val="28"/>
        </w:rPr>
        <w:t>sh</w:t>
      </w:r>
      <w:r w:rsidR="00177C4D">
        <w:rPr>
          <w:rFonts w:ascii="Calibri Light" w:hAnsi="Calibri Light" w:cs="Calibri Light"/>
          <w:sz w:val="28"/>
          <w:szCs w:val="28"/>
        </w:rPr>
        <w:t xml:space="preserve">ould not be </w:t>
      </w:r>
      <w:r w:rsidR="00DD7420">
        <w:rPr>
          <w:rFonts w:ascii="Calibri Light" w:hAnsi="Calibri Light" w:cs="Calibri Light"/>
          <w:sz w:val="28"/>
          <w:szCs w:val="28"/>
        </w:rPr>
        <w:t xml:space="preserve">unduly </w:t>
      </w:r>
      <w:r w:rsidR="00177C4D">
        <w:rPr>
          <w:rFonts w:ascii="Calibri Light" w:hAnsi="Calibri Light" w:cs="Calibri Light"/>
          <w:sz w:val="28"/>
          <w:szCs w:val="28"/>
        </w:rPr>
        <w:t>affected by the UK departure from the EU (see below)</w:t>
      </w:r>
      <w:r w:rsidR="003E07A8">
        <w:rPr>
          <w:rFonts w:ascii="Calibri Light" w:hAnsi="Calibri Light" w:cs="Calibri Light"/>
          <w:sz w:val="28"/>
          <w:szCs w:val="28"/>
        </w:rPr>
        <w:t xml:space="preserve">. Secondly, </w:t>
      </w:r>
      <w:r w:rsidR="00E71AB5">
        <w:rPr>
          <w:rFonts w:ascii="Calibri Light" w:hAnsi="Calibri Light" w:cs="Calibri Light"/>
          <w:sz w:val="28"/>
          <w:szCs w:val="28"/>
        </w:rPr>
        <w:t>well over half of all EU offshore collaborative enrolments are accounted for by just two countries, Gr</w:t>
      </w:r>
      <w:r w:rsidR="007106DC">
        <w:rPr>
          <w:rFonts w:ascii="Calibri Light" w:hAnsi="Calibri Light" w:cs="Calibri Light"/>
          <w:sz w:val="28"/>
          <w:szCs w:val="28"/>
        </w:rPr>
        <w:t xml:space="preserve">eece and Cyprus. These </w:t>
      </w:r>
      <w:r w:rsidR="007106DC">
        <w:rPr>
          <w:rFonts w:ascii="Calibri Light" w:hAnsi="Calibri Light" w:cs="Calibri Light"/>
          <w:sz w:val="28"/>
          <w:szCs w:val="28"/>
        </w:rPr>
        <w:lastRenderedPageBreak/>
        <w:t xml:space="preserve">are </w:t>
      </w:r>
      <w:r w:rsidR="00E71AB5">
        <w:rPr>
          <w:rFonts w:ascii="Calibri Light" w:hAnsi="Calibri Light" w:cs="Calibri Light"/>
          <w:sz w:val="28"/>
          <w:szCs w:val="28"/>
        </w:rPr>
        <w:t>well established markets</w:t>
      </w:r>
      <w:r w:rsidR="00DD7420">
        <w:rPr>
          <w:rFonts w:ascii="Calibri Light" w:hAnsi="Calibri Light" w:cs="Calibri Light"/>
          <w:sz w:val="28"/>
          <w:szCs w:val="28"/>
        </w:rPr>
        <w:t xml:space="preserve"> (with their own peculiarities)</w:t>
      </w:r>
      <w:r w:rsidR="00DD7420">
        <w:rPr>
          <w:rStyle w:val="FootnoteReference"/>
          <w:rFonts w:ascii="Calibri Light" w:hAnsi="Calibri Light" w:cs="Calibri Light"/>
          <w:sz w:val="28"/>
          <w:szCs w:val="28"/>
        </w:rPr>
        <w:footnoteReference w:id="18"/>
      </w:r>
      <w:r w:rsidR="00E71AB5">
        <w:rPr>
          <w:rFonts w:ascii="Calibri Light" w:hAnsi="Calibri Light" w:cs="Calibri Light"/>
          <w:sz w:val="28"/>
          <w:szCs w:val="28"/>
        </w:rPr>
        <w:t xml:space="preserve"> which are unlikely to be seriously affected by even a hard Brexit. And thirdly, </w:t>
      </w:r>
      <w:r w:rsidR="00806337">
        <w:rPr>
          <w:rFonts w:ascii="Calibri Light" w:hAnsi="Calibri Light" w:cs="Calibri Light"/>
          <w:sz w:val="28"/>
          <w:szCs w:val="28"/>
        </w:rPr>
        <w:t xml:space="preserve">Brexit </w:t>
      </w:r>
      <w:r w:rsidR="00935A52">
        <w:rPr>
          <w:rFonts w:ascii="Calibri Light" w:hAnsi="Calibri Light" w:cs="Calibri Light"/>
          <w:sz w:val="28"/>
          <w:szCs w:val="28"/>
        </w:rPr>
        <w:t xml:space="preserve">has </w:t>
      </w:r>
      <w:r w:rsidR="00806337">
        <w:rPr>
          <w:rFonts w:ascii="Calibri Light" w:hAnsi="Calibri Light" w:cs="Calibri Light"/>
          <w:sz w:val="28"/>
          <w:szCs w:val="28"/>
        </w:rPr>
        <w:t xml:space="preserve">not led to any immediate change in the relative attractiveness of offshore courses vis a vis onshore courses </w:t>
      </w:r>
      <w:r w:rsidR="0080729D">
        <w:rPr>
          <w:rFonts w:ascii="Calibri Light" w:hAnsi="Calibri Light" w:cs="Calibri Light"/>
          <w:sz w:val="28"/>
          <w:szCs w:val="28"/>
        </w:rPr>
        <w:t xml:space="preserve">among overseas students </w:t>
      </w:r>
      <w:r w:rsidR="00806337">
        <w:rPr>
          <w:rFonts w:ascii="Calibri Light" w:hAnsi="Calibri Light" w:cs="Calibri Light"/>
          <w:sz w:val="28"/>
          <w:szCs w:val="28"/>
        </w:rPr>
        <w:t xml:space="preserve">mainly because EU students </w:t>
      </w:r>
      <w:r w:rsidR="00493CB2">
        <w:rPr>
          <w:rFonts w:ascii="Calibri Light" w:hAnsi="Calibri Light" w:cs="Calibri Light"/>
          <w:sz w:val="28"/>
          <w:szCs w:val="28"/>
        </w:rPr>
        <w:t xml:space="preserve">have </w:t>
      </w:r>
      <w:r w:rsidR="00806337">
        <w:rPr>
          <w:rFonts w:ascii="Calibri Light" w:hAnsi="Calibri Light" w:cs="Calibri Light"/>
          <w:sz w:val="28"/>
          <w:szCs w:val="28"/>
        </w:rPr>
        <w:t xml:space="preserve">continued to have preferential </w:t>
      </w:r>
      <w:r w:rsidR="007106DC">
        <w:rPr>
          <w:rFonts w:ascii="Calibri Light" w:hAnsi="Calibri Light" w:cs="Calibri Light"/>
          <w:sz w:val="28"/>
          <w:szCs w:val="28"/>
        </w:rPr>
        <w:t xml:space="preserve">(fee) </w:t>
      </w:r>
      <w:r w:rsidR="00806337">
        <w:rPr>
          <w:rFonts w:ascii="Calibri Light" w:hAnsi="Calibri Light" w:cs="Calibri Light"/>
          <w:sz w:val="28"/>
          <w:szCs w:val="28"/>
        </w:rPr>
        <w:t xml:space="preserve">access to </w:t>
      </w:r>
      <w:r w:rsidR="003E07A8">
        <w:rPr>
          <w:rFonts w:ascii="Calibri Light" w:hAnsi="Calibri Light" w:cs="Calibri Light"/>
          <w:sz w:val="28"/>
          <w:szCs w:val="28"/>
        </w:rPr>
        <w:t xml:space="preserve">UK </w:t>
      </w:r>
      <w:r w:rsidR="00806337">
        <w:rPr>
          <w:rFonts w:ascii="Calibri Light" w:hAnsi="Calibri Light" w:cs="Calibri Light"/>
          <w:sz w:val="28"/>
          <w:szCs w:val="28"/>
        </w:rPr>
        <w:t>onshore courses during the protracted withdrawal process</w:t>
      </w:r>
      <w:r w:rsidR="00177C4D">
        <w:rPr>
          <w:rStyle w:val="FootnoteReference"/>
          <w:rFonts w:ascii="Calibri Light" w:hAnsi="Calibri Light" w:cs="Calibri Light"/>
          <w:sz w:val="28"/>
          <w:szCs w:val="28"/>
        </w:rPr>
        <w:footnoteReference w:id="19"/>
      </w:r>
      <w:r w:rsidR="00806337">
        <w:rPr>
          <w:rFonts w:ascii="Calibri Light" w:hAnsi="Calibri Light" w:cs="Calibri Light"/>
          <w:sz w:val="28"/>
          <w:szCs w:val="28"/>
        </w:rPr>
        <w:t xml:space="preserve">. However, this will change in in AY 2021/22 when </w:t>
      </w:r>
      <w:r w:rsidR="007106DC">
        <w:rPr>
          <w:rFonts w:ascii="Calibri Light" w:hAnsi="Calibri Light" w:cs="Calibri Light"/>
          <w:sz w:val="28"/>
          <w:szCs w:val="28"/>
        </w:rPr>
        <w:t xml:space="preserve">newly enrolling </w:t>
      </w:r>
      <w:r w:rsidR="00493CB2">
        <w:rPr>
          <w:rFonts w:ascii="Calibri Light" w:hAnsi="Calibri Light" w:cs="Calibri Light"/>
          <w:sz w:val="28"/>
          <w:szCs w:val="28"/>
        </w:rPr>
        <w:t xml:space="preserve">(onshore) </w:t>
      </w:r>
      <w:r w:rsidR="00806337">
        <w:rPr>
          <w:rFonts w:ascii="Calibri Light" w:hAnsi="Calibri Light" w:cs="Calibri Light"/>
          <w:sz w:val="28"/>
          <w:szCs w:val="28"/>
        </w:rPr>
        <w:t xml:space="preserve">EU students will have to pay the same tuition fees as other overseas students which, for undergraduate courses, are </w:t>
      </w:r>
      <w:r w:rsidR="0006115D">
        <w:rPr>
          <w:rFonts w:ascii="Calibri Light" w:hAnsi="Calibri Light" w:cs="Calibri Light"/>
          <w:sz w:val="28"/>
          <w:szCs w:val="28"/>
        </w:rPr>
        <w:t xml:space="preserve">typically </w:t>
      </w:r>
      <w:r w:rsidR="00806337">
        <w:rPr>
          <w:rFonts w:ascii="Calibri Light" w:hAnsi="Calibri Light" w:cs="Calibri Light"/>
          <w:sz w:val="28"/>
          <w:szCs w:val="28"/>
        </w:rPr>
        <w:t>roughly double the fees for UK</w:t>
      </w:r>
      <w:r w:rsidR="00177C4D">
        <w:rPr>
          <w:rFonts w:ascii="Calibri Light" w:hAnsi="Calibri Light" w:cs="Calibri Light"/>
          <w:sz w:val="28"/>
          <w:szCs w:val="28"/>
        </w:rPr>
        <w:t xml:space="preserve"> home students </w:t>
      </w:r>
      <w:r w:rsidR="00F01AD2" w:rsidRPr="00B84A66">
        <w:rPr>
          <w:rFonts w:ascii="Calibri Light" w:hAnsi="Calibri Light" w:cs="Calibri Light"/>
          <w:sz w:val="28"/>
          <w:szCs w:val="28"/>
        </w:rPr>
        <w:t xml:space="preserve">and around 50% higher than </w:t>
      </w:r>
      <w:r w:rsidR="00F01AD2">
        <w:rPr>
          <w:rFonts w:ascii="Calibri Light" w:hAnsi="Calibri Light" w:cs="Calibri Light"/>
          <w:sz w:val="28"/>
          <w:szCs w:val="28"/>
        </w:rPr>
        <w:t xml:space="preserve">for </w:t>
      </w:r>
      <w:r w:rsidR="00F01AD2" w:rsidRPr="00B84A66">
        <w:rPr>
          <w:rFonts w:ascii="Calibri Light" w:hAnsi="Calibri Light" w:cs="Calibri Light"/>
          <w:sz w:val="28"/>
          <w:szCs w:val="28"/>
        </w:rPr>
        <w:t xml:space="preserve">post-graduate </w:t>
      </w:r>
      <w:r w:rsidR="00F01AD2">
        <w:rPr>
          <w:rFonts w:ascii="Calibri Light" w:hAnsi="Calibri Light" w:cs="Calibri Light"/>
          <w:sz w:val="28"/>
          <w:szCs w:val="28"/>
        </w:rPr>
        <w:t>courses</w:t>
      </w:r>
      <w:r w:rsidR="00F01AD2" w:rsidRPr="00B84A66">
        <w:rPr>
          <w:rFonts w:ascii="Calibri Light" w:hAnsi="Calibri Light" w:cs="Calibri Light"/>
          <w:sz w:val="28"/>
          <w:szCs w:val="28"/>
        </w:rPr>
        <w:t>.</w:t>
      </w:r>
      <w:r w:rsidR="006A1E45">
        <w:rPr>
          <w:rFonts w:ascii="Calibri Light" w:hAnsi="Calibri Light" w:cs="Calibri Light"/>
          <w:sz w:val="28"/>
          <w:szCs w:val="28"/>
        </w:rPr>
        <w:t xml:space="preserve"> Assuming that tuition fees for offshore </w:t>
      </w:r>
      <w:r w:rsidR="00493CB2">
        <w:rPr>
          <w:rFonts w:ascii="Calibri Light" w:hAnsi="Calibri Light" w:cs="Calibri Light"/>
          <w:sz w:val="28"/>
          <w:szCs w:val="28"/>
        </w:rPr>
        <w:t xml:space="preserve">overseas </w:t>
      </w:r>
      <w:r w:rsidR="006A1E45">
        <w:rPr>
          <w:rFonts w:ascii="Calibri Light" w:hAnsi="Calibri Light" w:cs="Calibri Light"/>
          <w:sz w:val="28"/>
          <w:szCs w:val="28"/>
        </w:rPr>
        <w:t>courses do no</w:t>
      </w:r>
      <w:r w:rsidR="0080729D">
        <w:rPr>
          <w:rFonts w:ascii="Calibri Light" w:hAnsi="Calibri Light" w:cs="Calibri Light"/>
          <w:sz w:val="28"/>
          <w:szCs w:val="28"/>
        </w:rPr>
        <w:t>t</w:t>
      </w:r>
      <w:r w:rsidR="006A1E45">
        <w:rPr>
          <w:rFonts w:ascii="Calibri Light" w:hAnsi="Calibri Light" w:cs="Calibri Light"/>
          <w:sz w:val="28"/>
          <w:szCs w:val="28"/>
        </w:rPr>
        <w:t xml:space="preserve"> change appreciably, then the relative demand for these courses </w:t>
      </w:r>
      <w:r w:rsidR="00935A52">
        <w:rPr>
          <w:rFonts w:ascii="Calibri Light" w:hAnsi="Calibri Light" w:cs="Calibri Light"/>
          <w:sz w:val="28"/>
          <w:szCs w:val="28"/>
        </w:rPr>
        <w:t xml:space="preserve">could </w:t>
      </w:r>
      <w:r w:rsidR="006A1E45">
        <w:rPr>
          <w:rFonts w:ascii="Calibri Light" w:hAnsi="Calibri Light" w:cs="Calibri Light"/>
          <w:sz w:val="28"/>
          <w:szCs w:val="28"/>
        </w:rPr>
        <w:t xml:space="preserve">increase appreciably in the medium and long term. </w:t>
      </w:r>
    </w:p>
    <w:p w14:paraId="487B7FE0" w14:textId="1BCBFB47" w:rsidR="00F01AD2" w:rsidRDefault="006A1E45" w:rsidP="00F01AD2">
      <w:pPr>
        <w:jc w:val="both"/>
        <w:rPr>
          <w:rFonts w:ascii="Calibri Light" w:hAnsi="Calibri Light" w:cs="Calibri Light"/>
          <w:sz w:val="28"/>
          <w:szCs w:val="28"/>
        </w:rPr>
      </w:pPr>
      <w:r>
        <w:rPr>
          <w:rFonts w:ascii="Calibri Light" w:hAnsi="Calibri Light" w:cs="Calibri Light"/>
          <w:sz w:val="28"/>
          <w:szCs w:val="28"/>
        </w:rPr>
        <w:t>The extent to which UK universities are both willing and able to take advantage of this increased demand will de</w:t>
      </w:r>
      <w:r w:rsidR="00CB6BA3">
        <w:rPr>
          <w:rFonts w:ascii="Calibri Light" w:hAnsi="Calibri Light" w:cs="Calibri Light"/>
          <w:sz w:val="28"/>
          <w:szCs w:val="28"/>
        </w:rPr>
        <w:t xml:space="preserve">pend </w:t>
      </w:r>
      <w:r>
        <w:rPr>
          <w:rFonts w:ascii="Calibri Light" w:hAnsi="Calibri Light" w:cs="Calibri Light"/>
          <w:sz w:val="28"/>
          <w:szCs w:val="28"/>
        </w:rPr>
        <w:t xml:space="preserve">on numerous factors including the </w:t>
      </w:r>
      <w:r w:rsidR="00CB6BA3">
        <w:rPr>
          <w:rFonts w:ascii="Calibri Light" w:hAnsi="Calibri Light" w:cs="Calibri Light"/>
          <w:sz w:val="28"/>
          <w:szCs w:val="28"/>
        </w:rPr>
        <w:t xml:space="preserve">level of interest among </w:t>
      </w:r>
      <w:r>
        <w:rPr>
          <w:rFonts w:ascii="Calibri Light" w:hAnsi="Calibri Light" w:cs="Calibri Light"/>
          <w:sz w:val="28"/>
          <w:szCs w:val="28"/>
        </w:rPr>
        <w:t>existing and new institutional partners</w:t>
      </w:r>
      <w:r w:rsidR="00D84D41">
        <w:rPr>
          <w:rFonts w:ascii="Calibri Light" w:hAnsi="Calibri Light" w:cs="Calibri Light"/>
          <w:sz w:val="28"/>
          <w:szCs w:val="28"/>
        </w:rPr>
        <w:t xml:space="preserve"> in EU countries</w:t>
      </w:r>
      <w:r w:rsidR="00CB6BA3">
        <w:rPr>
          <w:rFonts w:ascii="Calibri Light" w:hAnsi="Calibri Light" w:cs="Calibri Light"/>
          <w:sz w:val="28"/>
          <w:szCs w:val="28"/>
        </w:rPr>
        <w:t xml:space="preserve"> </w:t>
      </w:r>
      <w:r>
        <w:rPr>
          <w:rFonts w:ascii="Calibri Light" w:hAnsi="Calibri Light" w:cs="Calibri Light"/>
          <w:sz w:val="28"/>
          <w:szCs w:val="28"/>
        </w:rPr>
        <w:t>(</w:t>
      </w:r>
      <w:r w:rsidR="00D84D41">
        <w:rPr>
          <w:rFonts w:ascii="Calibri Light" w:hAnsi="Calibri Light" w:cs="Calibri Light"/>
          <w:sz w:val="28"/>
          <w:szCs w:val="28"/>
        </w:rPr>
        <w:t xml:space="preserve">especially in view of </w:t>
      </w:r>
      <w:r>
        <w:rPr>
          <w:rFonts w:ascii="Calibri Light" w:hAnsi="Calibri Light" w:cs="Calibri Light"/>
          <w:sz w:val="28"/>
          <w:szCs w:val="28"/>
        </w:rPr>
        <w:t xml:space="preserve">the very different political and economic relationships between the EU and UK) and the feasibility of establishing </w:t>
      </w:r>
      <w:r w:rsidR="00CB6BA3">
        <w:rPr>
          <w:rFonts w:ascii="Calibri Light" w:hAnsi="Calibri Light" w:cs="Calibri Light"/>
          <w:sz w:val="28"/>
          <w:szCs w:val="28"/>
        </w:rPr>
        <w:t xml:space="preserve">UK </w:t>
      </w:r>
      <w:r>
        <w:rPr>
          <w:rFonts w:ascii="Calibri Light" w:hAnsi="Calibri Light" w:cs="Calibri Light"/>
          <w:sz w:val="28"/>
          <w:szCs w:val="28"/>
        </w:rPr>
        <w:t>branch campuses in EU countries</w:t>
      </w:r>
      <w:r w:rsidR="00E71AB5">
        <w:rPr>
          <w:rFonts w:ascii="Calibri Light" w:hAnsi="Calibri Light" w:cs="Calibri Light"/>
          <w:sz w:val="28"/>
          <w:szCs w:val="28"/>
        </w:rPr>
        <w:t xml:space="preserve">. </w:t>
      </w:r>
      <w:r w:rsidR="00D84D41">
        <w:rPr>
          <w:rFonts w:ascii="Calibri Light" w:hAnsi="Calibri Light" w:cs="Calibri Light"/>
          <w:sz w:val="28"/>
          <w:szCs w:val="28"/>
        </w:rPr>
        <w:t xml:space="preserve">It is also important to </w:t>
      </w:r>
      <w:r w:rsidR="0080729D">
        <w:rPr>
          <w:rFonts w:ascii="Calibri Light" w:hAnsi="Calibri Light" w:cs="Calibri Light"/>
          <w:sz w:val="28"/>
          <w:szCs w:val="28"/>
        </w:rPr>
        <w:t xml:space="preserve">reiterate </w:t>
      </w:r>
      <w:r w:rsidR="00D84D41">
        <w:rPr>
          <w:rFonts w:ascii="Calibri Light" w:hAnsi="Calibri Light" w:cs="Calibri Light"/>
          <w:sz w:val="28"/>
          <w:szCs w:val="28"/>
        </w:rPr>
        <w:t xml:space="preserve">that the </w:t>
      </w:r>
      <w:r w:rsidR="00CB6BA3">
        <w:rPr>
          <w:rFonts w:ascii="Calibri Light" w:hAnsi="Calibri Light" w:cs="Calibri Light"/>
          <w:sz w:val="28"/>
          <w:szCs w:val="28"/>
        </w:rPr>
        <w:t xml:space="preserve">overall </w:t>
      </w:r>
      <w:r w:rsidR="00D84D41">
        <w:rPr>
          <w:rFonts w:ascii="Calibri Light" w:hAnsi="Calibri Light" w:cs="Calibri Light"/>
          <w:sz w:val="28"/>
          <w:szCs w:val="28"/>
        </w:rPr>
        <w:t>l</w:t>
      </w:r>
      <w:r w:rsidR="00CB6BA3">
        <w:rPr>
          <w:rFonts w:ascii="Calibri Light" w:hAnsi="Calibri Light" w:cs="Calibri Light"/>
          <w:sz w:val="28"/>
          <w:szCs w:val="28"/>
        </w:rPr>
        <w:t xml:space="preserve">evel </w:t>
      </w:r>
      <w:r w:rsidR="00E71AB5">
        <w:rPr>
          <w:rFonts w:ascii="Calibri Light" w:hAnsi="Calibri Light" w:cs="Calibri Light"/>
          <w:sz w:val="28"/>
          <w:szCs w:val="28"/>
        </w:rPr>
        <w:t xml:space="preserve">of involvement of UK universities in offshore provision in the 27 countries of the EU </w:t>
      </w:r>
      <w:r w:rsidR="00D84D41">
        <w:rPr>
          <w:rFonts w:ascii="Calibri Light" w:hAnsi="Calibri Light" w:cs="Calibri Light"/>
          <w:sz w:val="28"/>
          <w:szCs w:val="28"/>
        </w:rPr>
        <w:t xml:space="preserve">has </w:t>
      </w:r>
      <w:r w:rsidR="0006115D">
        <w:rPr>
          <w:rFonts w:ascii="Calibri Light" w:hAnsi="Calibri Light" w:cs="Calibri Light"/>
          <w:sz w:val="28"/>
          <w:szCs w:val="28"/>
        </w:rPr>
        <w:t xml:space="preserve">always </w:t>
      </w:r>
      <w:r w:rsidR="00D84D41">
        <w:rPr>
          <w:rFonts w:ascii="Calibri Light" w:hAnsi="Calibri Light" w:cs="Calibri Light"/>
          <w:sz w:val="28"/>
          <w:szCs w:val="28"/>
        </w:rPr>
        <w:t xml:space="preserve">been very </w:t>
      </w:r>
      <w:r w:rsidR="00E71AB5">
        <w:rPr>
          <w:rFonts w:ascii="Calibri Light" w:hAnsi="Calibri Light" w:cs="Calibri Light"/>
          <w:sz w:val="28"/>
          <w:szCs w:val="28"/>
        </w:rPr>
        <w:t>limited</w:t>
      </w:r>
      <w:r w:rsidR="009E1FBB">
        <w:rPr>
          <w:rStyle w:val="FootnoteReference"/>
          <w:rFonts w:ascii="Calibri Light" w:hAnsi="Calibri Light" w:cs="Calibri Light"/>
          <w:sz w:val="28"/>
          <w:szCs w:val="28"/>
        </w:rPr>
        <w:footnoteReference w:id="20"/>
      </w:r>
      <w:r w:rsidR="00D84D41">
        <w:rPr>
          <w:rFonts w:ascii="Calibri Light" w:hAnsi="Calibri Light" w:cs="Calibri Light"/>
          <w:sz w:val="28"/>
          <w:szCs w:val="28"/>
        </w:rPr>
        <w:t xml:space="preserve">. </w:t>
      </w:r>
      <w:r w:rsidR="0080729D">
        <w:rPr>
          <w:rFonts w:ascii="Calibri Light" w:hAnsi="Calibri Light" w:cs="Calibri Light"/>
          <w:sz w:val="28"/>
          <w:szCs w:val="28"/>
        </w:rPr>
        <w:t>In fact</w:t>
      </w:r>
      <w:r w:rsidR="00CB6BA3">
        <w:rPr>
          <w:rFonts w:ascii="Calibri Light" w:hAnsi="Calibri Light" w:cs="Calibri Light"/>
          <w:sz w:val="28"/>
          <w:szCs w:val="28"/>
        </w:rPr>
        <w:t>, only a handful of EU countries</w:t>
      </w:r>
      <w:r w:rsidR="00D84D41">
        <w:rPr>
          <w:rFonts w:ascii="Calibri Light" w:hAnsi="Calibri Light" w:cs="Calibri Light"/>
          <w:sz w:val="28"/>
          <w:szCs w:val="28"/>
        </w:rPr>
        <w:t xml:space="preserve"> </w:t>
      </w:r>
      <w:r w:rsidR="00CB6BA3">
        <w:rPr>
          <w:rFonts w:ascii="Calibri Light" w:hAnsi="Calibri Light" w:cs="Calibri Light"/>
          <w:sz w:val="28"/>
          <w:szCs w:val="28"/>
        </w:rPr>
        <w:t>have si</w:t>
      </w:r>
      <w:r w:rsidR="00D84D41">
        <w:rPr>
          <w:rFonts w:ascii="Calibri Light" w:hAnsi="Calibri Light" w:cs="Calibri Light"/>
          <w:sz w:val="28"/>
          <w:szCs w:val="28"/>
        </w:rPr>
        <w:t xml:space="preserve">zeable </w:t>
      </w:r>
      <w:r w:rsidR="00CB6BA3">
        <w:rPr>
          <w:rFonts w:ascii="Calibri Light" w:hAnsi="Calibri Light" w:cs="Calibri Light"/>
          <w:sz w:val="28"/>
          <w:szCs w:val="28"/>
        </w:rPr>
        <w:t>number</w:t>
      </w:r>
      <w:r w:rsidR="00D84D41">
        <w:rPr>
          <w:rFonts w:ascii="Calibri Light" w:hAnsi="Calibri Light" w:cs="Calibri Light"/>
          <w:sz w:val="28"/>
          <w:szCs w:val="28"/>
        </w:rPr>
        <w:t>s</w:t>
      </w:r>
      <w:r w:rsidR="00CB6BA3">
        <w:rPr>
          <w:rFonts w:ascii="Calibri Light" w:hAnsi="Calibri Light" w:cs="Calibri Light"/>
          <w:sz w:val="28"/>
          <w:szCs w:val="28"/>
        </w:rPr>
        <w:t xml:space="preserve"> of UK offshore collaborative </w:t>
      </w:r>
      <w:r w:rsidR="00E71AB5">
        <w:rPr>
          <w:rFonts w:ascii="Calibri Light" w:hAnsi="Calibri Light" w:cs="Calibri Light"/>
          <w:sz w:val="28"/>
          <w:szCs w:val="28"/>
        </w:rPr>
        <w:t>enrolments</w:t>
      </w:r>
      <w:r w:rsidR="00D84D41">
        <w:rPr>
          <w:rFonts w:ascii="Calibri Light" w:hAnsi="Calibri Light" w:cs="Calibri Light"/>
          <w:sz w:val="28"/>
          <w:szCs w:val="28"/>
        </w:rPr>
        <w:t xml:space="preserve"> and the involvement of private sector universities and other higher education providers has been limited in most countries</w:t>
      </w:r>
      <w:r w:rsidR="009E1FBB">
        <w:rPr>
          <w:rFonts w:ascii="Calibri Light" w:hAnsi="Calibri Light" w:cs="Calibri Light"/>
          <w:sz w:val="28"/>
          <w:szCs w:val="28"/>
        </w:rPr>
        <w:t>.</w:t>
      </w:r>
      <w:r w:rsidR="00CB6BA3">
        <w:rPr>
          <w:rStyle w:val="FootnoteReference"/>
          <w:rFonts w:ascii="Calibri Light" w:hAnsi="Calibri Light" w:cs="Calibri Light"/>
          <w:sz w:val="28"/>
          <w:szCs w:val="28"/>
        </w:rPr>
        <w:footnoteReference w:id="21"/>
      </w:r>
      <w:r w:rsidR="00E71AB5">
        <w:rPr>
          <w:rFonts w:ascii="Calibri Light" w:hAnsi="Calibri Light" w:cs="Calibri Light"/>
          <w:sz w:val="28"/>
          <w:szCs w:val="28"/>
        </w:rPr>
        <w:t xml:space="preserve"> </w:t>
      </w:r>
    </w:p>
    <w:p w14:paraId="61E80BF0" w14:textId="5A7A3D2F" w:rsidR="00C7573E" w:rsidRPr="00D32B25" w:rsidRDefault="00C7573E" w:rsidP="001361CA">
      <w:pPr>
        <w:rPr>
          <w:rFonts w:ascii="Calibri Light" w:hAnsi="Calibri Light" w:cs="Calibri Light"/>
          <w:i/>
          <w:sz w:val="28"/>
          <w:szCs w:val="28"/>
        </w:rPr>
      </w:pPr>
      <w:r w:rsidRPr="00D32B25">
        <w:rPr>
          <w:rFonts w:ascii="Calibri Light" w:hAnsi="Calibri Light" w:cs="Calibri Light"/>
          <w:i/>
          <w:sz w:val="28"/>
          <w:szCs w:val="28"/>
        </w:rPr>
        <w:t>The Rest of the World</w:t>
      </w:r>
    </w:p>
    <w:p w14:paraId="49BF1877" w14:textId="777ECF46" w:rsidR="003114AC" w:rsidRDefault="00C7573E" w:rsidP="00D32B25">
      <w:pPr>
        <w:jc w:val="both"/>
        <w:rPr>
          <w:rFonts w:ascii="Calibri Light" w:hAnsi="Calibri Light" w:cs="Calibri Light"/>
          <w:sz w:val="28"/>
          <w:szCs w:val="28"/>
        </w:rPr>
      </w:pPr>
      <w:r>
        <w:rPr>
          <w:rFonts w:ascii="Calibri Light" w:hAnsi="Calibri Light" w:cs="Calibri Light"/>
          <w:sz w:val="28"/>
          <w:szCs w:val="28"/>
        </w:rPr>
        <w:t xml:space="preserve">In marked contrast to the EU, </w:t>
      </w:r>
      <w:r w:rsidR="0006115D">
        <w:rPr>
          <w:rFonts w:ascii="Calibri Light" w:hAnsi="Calibri Light" w:cs="Calibri Light"/>
          <w:sz w:val="28"/>
          <w:szCs w:val="28"/>
        </w:rPr>
        <w:t xml:space="preserve">the </w:t>
      </w:r>
      <w:r>
        <w:rPr>
          <w:rFonts w:ascii="Calibri Light" w:hAnsi="Calibri Light" w:cs="Calibri Light"/>
          <w:sz w:val="28"/>
          <w:szCs w:val="28"/>
        </w:rPr>
        <w:t xml:space="preserve">COVID pandemic has </w:t>
      </w:r>
      <w:r w:rsidR="004B5EE0">
        <w:rPr>
          <w:rFonts w:ascii="Calibri Light" w:hAnsi="Calibri Light" w:cs="Calibri Light"/>
          <w:sz w:val="28"/>
          <w:szCs w:val="28"/>
        </w:rPr>
        <w:t xml:space="preserve">had a </w:t>
      </w:r>
      <w:r>
        <w:rPr>
          <w:rFonts w:ascii="Calibri Light" w:hAnsi="Calibri Light" w:cs="Calibri Light"/>
          <w:sz w:val="28"/>
          <w:szCs w:val="28"/>
        </w:rPr>
        <w:t>sizeable</w:t>
      </w:r>
      <w:r w:rsidR="004B5EE0">
        <w:rPr>
          <w:rFonts w:ascii="Calibri Light" w:hAnsi="Calibri Light" w:cs="Calibri Light"/>
          <w:sz w:val="28"/>
          <w:szCs w:val="28"/>
        </w:rPr>
        <w:t xml:space="preserve"> although somewhat delayed </w:t>
      </w:r>
      <w:r w:rsidR="00D32B25">
        <w:rPr>
          <w:rFonts w:ascii="Calibri Light" w:hAnsi="Calibri Light" w:cs="Calibri Light"/>
          <w:sz w:val="28"/>
          <w:szCs w:val="28"/>
        </w:rPr>
        <w:t xml:space="preserve">negative </w:t>
      </w:r>
      <w:r w:rsidR="004B5EE0">
        <w:rPr>
          <w:rFonts w:ascii="Calibri Light" w:hAnsi="Calibri Light" w:cs="Calibri Light"/>
          <w:sz w:val="28"/>
          <w:szCs w:val="28"/>
        </w:rPr>
        <w:t xml:space="preserve">impact on </w:t>
      </w:r>
      <w:r>
        <w:rPr>
          <w:rFonts w:ascii="Calibri Light" w:hAnsi="Calibri Light" w:cs="Calibri Light"/>
          <w:sz w:val="28"/>
          <w:szCs w:val="28"/>
        </w:rPr>
        <w:t xml:space="preserve">UK offshore </w:t>
      </w:r>
      <w:r w:rsidR="009E1FBB">
        <w:rPr>
          <w:rFonts w:ascii="Calibri Light" w:hAnsi="Calibri Light" w:cs="Calibri Light"/>
          <w:sz w:val="28"/>
          <w:szCs w:val="28"/>
        </w:rPr>
        <w:t xml:space="preserve">overseas </w:t>
      </w:r>
      <w:r>
        <w:rPr>
          <w:rFonts w:ascii="Calibri Light" w:hAnsi="Calibri Light" w:cs="Calibri Light"/>
          <w:sz w:val="28"/>
          <w:szCs w:val="28"/>
        </w:rPr>
        <w:t xml:space="preserve">enrolments in the rest of the world. </w:t>
      </w:r>
      <w:r w:rsidR="00D32B25">
        <w:rPr>
          <w:rFonts w:ascii="Calibri Light" w:hAnsi="Calibri Light" w:cs="Calibri Light"/>
          <w:sz w:val="28"/>
          <w:szCs w:val="28"/>
        </w:rPr>
        <w:t xml:space="preserve">ROW offshore enrolments actually increased by 3.2% in AY </w:t>
      </w:r>
      <w:r w:rsidR="00D32B25">
        <w:rPr>
          <w:rFonts w:ascii="Calibri Light" w:hAnsi="Calibri Light" w:cs="Calibri Light"/>
          <w:sz w:val="28"/>
          <w:szCs w:val="28"/>
        </w:rPr>
        <w:lastRenderedPageBreak/>
        <w:t xml:space="preserve">2019/20. This is </w:t>
      </w:r>
      <w:r w:rsidR="00A10F4D">
        <w:rPr>
          <w:rFonts w:ascii="Calibri Light" w:hAnsi="Calibri Light" w:cs="Calibri Light"/>
          <w:sz w:val="28"/>
          <w:szCs w:val="28"/>
        </w:rPr>
        <w:t xml:space="preserve">perhaps </w:t>
      </w:r>
      <w:r w:rsidR="00D32B25">
        <w:rPr>
          <w:rFonts w:ascii="Calibri Light" w:hAnsi="Calibri Light" w:cs="Calibri Light"/>
          <w:sz w:val="28"/>
          <w:szCs w:val="28"/>
        </w:rPr>
        <w:t>not that surprising since</w:t>
      </w:r>
      <w:r w:rsidR="004B5EE0">
        <w:rPr>
          <w:rFonts w:ascii="Calibri Light" w:hAnsi="Calibri Light" w:cs="Calibri Light"/>
          <w:sz w:val="28"/>
          <w:szCs w:val="28"/>
        </w:rPr>
        <w:t xml:space="preserve"> the </w:t>
      </w:r>
      <w:r w:rsidR="00A10F4D">
        <w:rPr>
          <w:rFonts w:ascii="Calibri Light" w:hAnsi="Calibri Light" w:cs="Calibri Light"/>
          <w:sz w:val="28"/>
          <w:szCs w:val="28"/>
        </w:rPr>
        <w:t xml:space="preserve">first </w:t>
      </w:r>
      <w:r w:rsidR="004B5EE0">
        <w:rPr>
          <w:rFonts w:ascii="Calibri Light" w:hAnsi="Calibri Light" w:cs="Calibri Light"/>
          <w:sz w:val="28"/>
          <w:szCs w:val="28"/>
        </w:rPr>
        <w:t xml:space="preserve">pandemic </w:t>
      </w:r>
      <w:r w:rsidR="0080729D">
        <w:rPr>
          <w:rFonts w:ascii="Calibri Light" w:hAnsi="Calibri Light" w:cs="Calibri Light"/>
          <w:sz w:val="28"/>
          <w:szCs w:val="28"/>
        </w:rPr>
        <w:t xml:space="preserve">national </w:t>
      </w:r>
      <w:r w:rsidR="00A10F4D">
        <w:rPr>
          <w:rFonts w:ascii="Calibri Light" w:hAnsi="Calibri Light" w:cs="Calibri Light"/>
          <w:sz w:val="28"/>
          <w:szCs w:val="28"/>
        </w:rPr>
        <w:t xml:space="preserve">lockdowns </w:t>
      </w:r>
      <w:r w:rsidR="0080729D">
        <w:rPr>
          <w:rFonts w:ascii="Calibri Light" w:hAnsi="Calibri Light" w:cs="Calibri Light"/>
          <w:sz w:val="28"/>
          <w:szCs w:val="28"/>
        </w:rPr>
        <w:t xml:space="preserve">only </w:t>
      </w:r>
      <w:r w:rsidR="00D32B25">
        <w:rPr>
          <w:rFonts w:ascii="Calibri Light" w:hAnsi="Calibri Light" w:cs="Calibri Light"/>
          <w:sz w:val="28"/>
          <w:szCs w:val="28"/>
        </w:rPr>
        <w:t xml:space="preserve">began </w:t>
      </w:r>
      <w:r w:rsidR="0080729D">
        <w:rPr>
          <w:rFonts w:ascii="Calibri Light" w:hAnsi="Calibri Light" w:cs="Calibri Light"/>
          <w:sz w:val="28"/>
          <w:szCs w:val="28"/>
        </w:rPr>
        <w:t xml:space="preserve">during </w:t>
      </w:r>
      <w:r w:rsidR="00D32B25">
        <w:rPr>
          <w:rFonts w:ascii="Calibri Light" w:hAnsi="Calibri Light" w:cs="Calibri Light"/>
          <w:sz w:val="28"/>
          <w:szCs w:val="28"/>
        </w:rPr>
        <w:t>the second term (in February/March 2020)</w:t>
      </w:r>
      <w:r w:rsidR="00A10F4D">
        <w:rPr>
          <w:rFonts w:ascii="Calibri Light" w:hAnsi="Calibri Light" w:cs="Calibri Light"/>
          <w:sz w:val="28"/>
          <w:szCs w:val="28"/>
        </w:rPr>
        <w:t xml:space="preserve"> when m</w:t>
      </w:r>
      <w:r w:rsidR="004B5EE0">
        <w:rPr>
          <w:rFonts w:ascii="Calibri Light" w:hAnsi="Calibri Light" w:cs="Calibri Light"/>
          <w:sz w:val="28"/>
          <w:szCs w:val="28"/>
        </w:rPr>
        <w:t xml:space="preserve">ost UK offshore </w:t>
      </w:r>
      <w:r w:rsidR="009E1FBB">
        <w:rPr>
          <w:rFonts w:ascii="Calibri Light" w:hAnsi="Calibri Light" w:cs="Calibri Light"/>
          <w:sz w:val="28"/>
          <w:szCs w:val="28"/>
        </w:rPr>
        <w:t xml:space="preserve">overseas </w:t>
      </w:r>
      <w:r w:rsidR="004B5EE0">
        <w:rPr>
          <w:rFonts w:ascii="Calibri Light" w:hAnsi="Calibri Light" w:cs="Calibri Light"/>
          <w:sz w:val="28"/>
          <w:szCs w:val="28"/>
        </w:rPr>
        <w:t>students were already enrolled on their degree course</w:t>
      </w:r>
      <w:r w:rsidR="00A10F4D">
        <w:rPr>
          <w:rFonts w:ascii="Calibri Light" w:hAnsi="Calibri Light" w:cs="Calibri Light"/>
          <w:sz w:val="28"/>
          <w:szCs w:val="28"/>
        </w:rPr>
        <w:t>s</w:t>
      </w:r>
      <w:r w:rsidR="004B5EE0">
        <w:rPr>
          <w:rStyle w:val="FootnoteReference"/>
          <w:rFonts w:ascii="Calibri Light" w:hAnsi="Calibri Light" w:cs="Calibri Light"/>
          <w:sz w:val="28"/>
          <w:szCs w:val="28"/>
        </w:rPr>
        <w:footnoteReference w:id="22"/>
      </w:r>
      <w:r w:rsidR="004B5EE0">
        <w:rPr>
          <w:rFonts w:ascii="Calibri Light" w:hAnsi="Calibri Light" w:cs="Calibri Light"/>
          <w:sz w:val="28"/>
          <w:szCs w:val="28"/>
        </w:rPr>
        <w:t xml:space="preserve"> and </w:t>
      </w:r>
      <w:r w:rsidR="00B304D5">
        <w:rPr>
          <w:rFonts w:ascii="Calibri Light" w:hAnsi="Calibri Light" w:cs="Calibri Light"/>
          <w:sz w:val="28"/>
          <w:szCs w:val="28"/>
        </w:rPr>
        <w:t xml:space="preserve">(presumably) </w:t>
      </w:r>
      <w:r w:rsidR="0095183B">
        <w:rPr>
          <w:rFonts w:ascii="Calibri Light" w:hAnsi="Calibri Light" w:cs="Calibri Light"/>
          <w:sz w:val="28"/>
          <w:szCs w:val="28"/>
        </w:rPr>
        <w:t xml:space="preserve">were able to </w:t>
      </w:r>
      <w:r w:rsidR="004B5EE0">
        <w:rPr>
          <w:rFonts w:ascii="Calibri Light" w:hAnsi="Calibri Light" w:cs="Calibri Light"/>
          <w:sz w:val="28"/>
          <w:szCs w:val="28"/>
        </w:rPr>
        <w:t xml:space="preserve">continue their studies </w:t>
      </w:r>
      <w:r w:rsidR="00B304D5">
        <w:rPr>
          <w:rFonts w:ascii="Calibri Light" w:hAnsi="Calibri Light" w:cs="Calibri Light"/>
          <w:sz w:val="28"/>
          <w:szCs w:val="28"/>
        </w:rPr>
        <w:t xml:space="preserve">virtually </w:t>
      </w:r>
      <w:r w:rsidR="004B5EE0">
        <w:rPr>
          <w:rFonts w:ascii="Calibri Light" w:hAnsi="Calibri Light" w:cs="Calibri Light"/>
          <w:sz w:val="28"/>
          <w:szCs w:val="28"/>
        </w:rPr>
        <w:t>on-line.</w:t>
      </w:r>
      <w:r w:rsidR="00D32B25">
        <w:rPr>
          <w:rFonts w:ascii="Calibri Light" w:hAnsi="Calibri Light" w:cs="Calibri Light"/>
          <w:sz w:val="28"/>
          <w:szCs w:val="28"/>
        </w:rPr>
        <w:t xml:space="preserve"> </w:t>
      </w:r>
      <w:r w:rsidR="00A10F4D">
        <w:rPr>
          <w:rFonts w:ascii="Calibri Light" w:hAnsi="Calibri Light" w:cs="Calibri Light"/>
          <w:sz w:val="28"/>
          <w:szCs w:val="28"/>
        </w:rPr>
        <w:t xml:space="preserve"> </w:t>
      </w:r>
      <w:r w:rsidR="00D32B25">
        <w:rPr>
          <w:rFonts w:ascii="Calibri Light" w:hAnsi="Calibri Light" w:cs="Calibri Light"/>
          <w:sz w:val="28"/>
          <w:szCs w:val="28"/>
        </w:rPr>
        <w:t xml:space="preserve">However, total offshore enrolments were 20% lower at the end of the first term of AY 2020/21 </w:t>
      </w:r>
      <w:r w:rsidR="00A10F4D">
        <w:rPr>
          <w:rFonts w:ascii="Calibri Light" w:hAnsi="Calibri Light" w:cs="Calibri Light"/>
          <w:sz w:val="28"/>
          <w:szCs w:val="28"/>
        </w:rPr>
        <w:t xml:space="preserve">than </w:t>
      </w:r>
      <w:r w:rsidR="0095183B">
        <w:rPr>
          <w:rFonts w:ascii="Calibri Light" w:hAnsi="Calibri Light" w:cs="Calibri Light"/>
          <w:sz w:val="28"/>
          <w:szCs w:val="28"/>
        </w:rPr>
        <w:t xml:space="preserve">at the end of </w:t>
      </w:r>
      <w:r w:rsidR="00A10F4D">
        <w:rPr>
          <w:rFonts w:ascii="Calibri Light" w:hAnsi="Calibri Light" w:cs="Calibri Light"/>
          <w:sz w:val="28"/>
          <w:szCs w:val="28"/>
        </w:rPr>
        <w:t xml:space="preserve">in AY 2019/20 </w:t>
      </w:r>
      <w:r w:rsidR="00D32B25">
        <w:rPr>
          <w:rFonts w:ascii="Calibri Light" w:hAnsi="Calibri Light" w:cs="Calibri Light"/>
          <w:sz w:val="28"/>
          <w:szCs w:val="28"/>
        </w:rPr>
        <w:t>which is due to a combination of higher dropouts and lower intakes.</w:t>
      </w:r>
      <w:r w:rsidR="00D32B25">
        <w:rPr>
          <w:rStyle w:val="FootnoteReference"/>
          <w:rFonts w:ascii="Calibri Light" w:hAnsi="Calibri Light" w:cs="Calibri Light"/>
          <w:sz w:val="28"/>
          <w:szCs w:val="28"/>
        </w:rPr>
        <w:footnoteReference w:id="23"/>
      </w:r>
      <w:r w:rsidR="003F3C94">
        <w:rPr>
          <w:rFonts w:ascii="Calibri Light" w:hAnsi="Calibri Light" w:cs="Calibri Light"/>
          <w:sz w:val="28"/>
          <w:szCs w:val="28"/>
        </w:rPr>
        <w:t xml:space="preserve"> Unlike the EU, the overall rate of growth of UK offshore enrolments in the ROW during the preceding five years was </w:t>
      </w:r>
      <w:r w:rsidR="0095183B">
        <w:rPr>
          <w:rFonts w:ascii="Calibri Light" w:hAnsi="Calibri Light" w:cs="Calibri Light"/>
          <w:sz w:val="28"/>
          <w:szCs w:val="28"/>
        </w:rPr>
        <w:t xml:space="preserve">quite </w:t>
      </w:r>
      <w:r w:rsidR="003F3C94">
        <w:rPr>
          <w:rFonts w:ascii="Calibri Light" w:hAnsi="Calibri Light" w:cs="Calibri Light"/>
          <w:sz w:val="28"/>
          <w:szCs w:val="28"/>
        </w:rPr>
        <w:t>limited (just</w:t>
      </w:r>
      <w:r w:rsidR="00C07C60">
        <w:rPr>
          <w:rFonts w:ascii="Calibri Light" w:hAnsi="Calibri Light" w:cs="Calibri Light"/>
          <w:sz w:val="28"/>
          <w:szCs w:val="28"/>
        </w:rPr>
        <w:t xml:space="preserve"> 7</w:t>
      </w:r>
      <w:r w:rsidR="003F3C94">
        <w:rPr>
          <w:rFonts w:ascii="Calibri Light" w:hAnsi="Calibri Light" w:cs="Calibri Light"/>
          <w:sz w:val="28"/>
          <w:szCs w:val="28"/>
        </w:rPr>
        <w:t xml:space="preserve">%) which has further compounded the immediate negative impact of the epidemic with </w:t>
      </w:r>
      <w:r w:rsidR="0095183B">
        <w:rPr>
          <w:rFonts w:ascii="Calibri Light" w:hAnsi="Calibri Light" w:cs="Calibri Light"/>
          <w:sz w:val="28"/>
          <w:szCs w:val="28"/>
        </w:rPr>
        <w:t xml:space="preserve">possibly </w:t>
      </w:r>
      <w:r w:rsidR="003F3C94">
        <w:rPr>
          <w:rFonts w:ascii="Calibri Light" w:hAnsi="Calibri Light" w:cs="Calibri Light"/>
          <w:sz w:val="28"/>
          <w:szCs w:val="28"/>
        </w:rPr>
        <w:t>important longer term implications for the level of offshore provision in the future.</w:t>
      </w:r>
    </w:p>
    <w:p w14:paraId="68507D62" w14:textId="7D6DFD55" w:rsidR="00D32B25" w:rsidRDefault="003114AC" w:rsidP="00D32B25">
      <w:pPr>
        <w:jc w:val="both"/>
        <w:rPr>
          <w:rFonts w:ascii="Calibri Light" w:hAnsi="Calibri Light" w:cs="Calibri Light"/>
          <w:sz w:val="28"/>
          <w:szCs w:val="28"/>
        </w:rPr>
      </w:pPr>
      <w:r>
        <w:rPr>
          <w:rFonts w:ascii="Calibri Light" w:hAnsi="Calibri Light" w:cs="Calibri Light"/>
          <w:sz w:val="28"/>
          <w:szCs w:val="28"/>
        </w:rPr>
        <w:t>By the beginning of AY 202</w:t>
      </w:r>
      <w:r w:rsidR="009E1FBB">
        <w:rPr>
          <w:rFonts w:ascii="Calibri Light" w:hAnsi="Calibri Light" w:cs="Calibri Light"/>
          <w:sz w:val="28"/>
          <w:szCs w:val="28"/>
        </w:rPr>
        <w:t>0/2</w:t>
      </w:r>
      <w:r>
        <w:rPr>
          <w:rFonts w:ascii="Calibri Light" w:hAnsi="Calibri Light" w:cs="Calibri Light"/>
          <w:sz w:val="28"/>
          <w:szCs w:val="28"/>
        </w:rPr>
        <w:t xml:space="preserve">1, generally high levels of </w:t>
      </w:r>
      <w:r w:rsidR="00A10F4D">
        <w:rPr>
          <w:rFonts w:ascii="Calibri Light" w:hAnsi="Calibri Light" w:cs="Calibri Light"/>
          <w:sz w:val="28"/>
          <w:szCs w:val="28"/>
        </w:rPr>
        <w:t xml:space="preserve">anxiety </w:t>
      </w:r>
      <w:r>
        <w:rPr>
          <w:rFonts w:ascii="Calibri Light" w:hAnsi="Calibri Light" w:cs="Calibri Light"/>
          <w:sz w:val="28"/>
          <w:szCs w:val="28"/>
        </w:rPr>
        <w:t xml:space="preserve">and uncertainty about the future course of the epidemic </w:t>
      </w:r>
      <w:r w:rsidR="00B17EE7">
        <w:rPr>
          <w:rFonts w:ascii="Calibri Light" w:hAnsi="Calibri Light" w:cs="Calibri Light"/>
          <w:sz w:val="28"/>
          <w:szCs w:val="28"/>
        </w:rPr>
        <w:t xml:space="preserve">coupled with concerns about the overall quality of offshore provision under prolonged lockdowns are likely to have significantly </w:t>
      </w:r>
      <w:r>
        <w:rPr>
          <w:rFonts w:ascii="Calibri Light" w:hAnsi="Calibri Light" w:cs="Calibri Light"/>
          <w:sz w:val="28"/>
          <w:szCs w:val="28"/>
        </w:rPr>
        <w:t xml:space="preserve">depressed demand for UK offshore courses. In addition, the relatively high costs of </w:t>
      </w:r>
      <w:r w:rsidR="00B17EE7">
        <w:rPr>
          <w:rFonts w:ascii="Calibri Light" w:hAnsi="Calibri Light" w:cs="Calibri Light"/>
          <w:sz w:val="28"/>
          <w:szCs w:val="28"/>
        </w:rPr>
        <w:t xml:space="preserve">degree </w:t>
      </w:r>
      <w:r>
        <w:rPr>
          <w:rFonts w:ascii="Calibri Light" w:hAnsi="Calibri Light" w:cs="Calibri Light"/>
          <w:sz w:val="28"/>
          <w:szCs w:val="28"/>
        </w:rPr>
        <w:t xml:space="preserve">courses at private universities (which comprise the main group of partners for UK universities in the ROW) </w:t>
      </w:r>
      <w:r w:rsidR="00B304D5">
        <w:rPr>
          <w:rFonts w:ascii="Calibri Light" w:hAnsi="Calibri Light" w:cs="Calibri Light"/>
          <w:sz w:val="28"/>
          <w:szCs w:val="28"/>
        </w:rPr>
        <w:t xml:space="preserve">could </w:t>
      </w:r>
      <w:r w:rsidR="00B17EE7">
        <w:rPr>
          <w:rFonts w:ascii="Calibri Light" w:hAnsi="Calibri Light" w:cs="Calibri Light"/>
          <w:sz w:val="28"/>
          <w:szCs w:val="28"/>
        </w:rPr>
        <w:t xml:space="preserve">also </w:t>
      </w:r>
      <w:r>
        <w:rPr>
          <w:rFonts w:ascii="Calibri Light" w:hAnsi="Calibri Light" w:cs="Calibri Light"/>
          <w:sz w:val="28"/>
          <w:szCs w:val="28"/>
        </w:rPr>
        <w:t xml:space="preserve">be a major factor especially in the context of </w:t>
      </w:r>
      <w:r w:rsidR="0095183B">
        <w:rPr>
          <w:rFonts w:ascii="Calibri Light" w:hAnsi="Calibri Light" w:cs="Calibri Light"/>
          <w:sz w:val="28"/>
          <w:szCs w:val="28"/>
        </w:rPr>
        <w:t xml:space="preserve">higher </w:t>
      </w:r>
      <w:r>
        <w:rPr>
          <w:rFonts w:ascii="Calibri Light" w:hAnsi="Calibri Light" w:cs="Calibri Light"/>
          <w:sz w:val="28"/>
          <w:szCs w:val="28"/>
        </w:rPr>
        <w:t>unemployment</w:t>
      </w:r>
      <w:r w:rsidR="00B304D5">
        <w:rPr>
          <w:rFonts w:ascii="Calibri Light" w:hAnsi="Calibri Light" w:cs="Calibri Light"/>
          <w:sz w:val="28"/>
          <w:szCs w:val="28"/>
        </w:rPr>
        <w:t>, depressed incomes,</w:t>
      </w:r>
      <w:r>
        <w:rPr>
          <w:rFonts w:ascii="Calibri Light" w:hAnsi="Calibri Light" w:cs="Calibri Light"/>
          <w:sz w:val="28"/>
          <w:szCs w:val="28"/>
        </w:rPr>
        <w:t xml:space="preserve"> and </w:t>
      </w:r>
      <w:r w:rsidR="00B304D5">
        <w:rPr>
          <w:rFonts w:ascii="Calibri Light" w:hAnsi="Calibri Light" w:cs="Calibri Light"/>
          <w:sz w:val="28"/>
          <w:szCs w:val="28"/>
        </w:rPr>
        <w:t xml:space="preserve">increased </w:t>
      </w:r>
      <w:r>
        <w:rPr>
          <w:rFonts w:ascii="Calibri Light" w:hAnsi="Calibri Light" w:cs="Calibri Light"/>
          <w:sz w:val="28"/>
          <w:szCs w:val="28"/>
        </w:rPr>
        <w:t>job insecurity</w:t>
      </w:r>
      <w:r w:rsidR="00B17EE7">
        <w:rPr>
          <w:rFonts w:ascii="Calibri Light" w:hAnsi="Calibri Light" w:cs="Calibri Light"/>
          <w:sz w:val="28"/>
          <w:szCs w:val="28"/>
        </w:rPr>
        <w:t xml:space="preserve"> as a result of the pandemic. </w:t>
      </w:r>
      <w:r>
        <w:rPr>
          <w:rFonts w:ascii="Calibri Light" w:hAnsi="Calibri Light" w:cs="Calibri Light"/>
          <w:sz w:val="28"/>
          <w:szCs w:val="28"/>
        </w:rPr>
        <w:t xml:space="preserve"> O</w:t>
      </w:r>
      <w:r w:rsidR="005733EC">
        <w:rPr>
          <w:rFonts w:ascii="Calibri Light" w:hAnsi="Calibri Light" w:cs="Calibri Light"/>
          <w:sz w:val="28"/>
          <w:szCs w:val="28"/>
        </w:rPr>
        <w:t xml:space="preserve">ne </w:t>
      </w:r>
      <w:r>
        <w:rPr>
          <w:rFonts w:ascii="Calibri Light" w:hAnsi="Calibri Light" w:cs="Calibri Light"/>
          <w:sz w:val="28"/>
          <w:szCs w:val="28"/>
        </w:rPr>
        <w:t xml:space="preserve">might have expected </w:t>
      </w:r>
      <w:r w:rsidR="005733EC">
        <w:rPr>
          <w:rFonts w:ascii="Calibri Light" w:hAnsi="Calibri Light" w:cs="Calibri Light"/>
          <w:sz w:val="28"/>
          <w:szCs w:val="28"/>
        </w:rPr>
        <w:t>that relatively large number</w:t>
      </w:r>
      <w:r w:rsidR="0095183B">
        <w:rPr>
          <w:rFonts w:ascii="Calibri Light" w:hAnsi="Calibri Light" w:cs="Calibri Light"/>
          <w:sz w:val="28"/>
          <w:szCs w:val="28"/>
        </w:rPr>
        <w:t>s</w:t>
      </w:r>
      <w:r w:rsidR="005733EC">
        <w:rPr>
          <w:rFonts w:ascii="Calibri Light" w:hAnsi="Calibri Light" w:cs="Calibri Light"/>
          <w:sz w:val="28"/>
          <w:szCs w:val="28"/>
        </w:rPr>
        <w:t xml:space="preserve"> of </w:t>
      </w:r>
      <w:r>
        <w:rPr>
          <w:rFonts w:ascii="Calibri Light" w:hAnsi="Calibri Light" w:cs="Calibri Light"/>
          <w:sz w:val="28"/>
          <w:szCs w:val="28"/>
        </w:rPr>
        <w:t xml:space="preserve">students intending to study overseas </w:t>
      </w:r>
      <w:r w:rsidR="005733EC">
        <w:rPr>
          <w:rFonts w:ascii="Calibri Light" w:hAnsi="Calibri Light" w:cs="Calibri Light"/>
          <w:sz w:val="28"/>
          <w:szCs w:val="28"/>
        </w:rPr>
        <w:t xml:space="preserve">would, given international travel restrictions and the challenges of studying for extended periods under lockdown, </w:t>
      </w:r>
      <w:r w:rsidR="009E1FBB">
        <w:rPr>
          <w:rFonts w:ascii="Calibri Light" w:hAnsi="Calibri Light" w:cs="Calibri Light"/>
          <w:sz w:val="28"/>
          <w:szCs w:val="28"/>
        </w:rPr>
        <w:t xml:space="preserve">have </w:t>
      </w:r>
      <w:r>
        <w:rPr>
          <w:rFonts w:ascii="Calibri Light" w:hAnsi="Calibri Light" w:cs="Calibri Light"/>
          <w:sz w:val="28"/>
          <w:szCs w:val="28"/>
        </w:rPr>
        <w:t>decided to stay a</w:t>
      </w:r>
      <w:r w:rsidR="002B5C9D">
        <w:rPr>
          <w:rFonts w:ascii="Calibri Light" w:hAnsi="Calibri Light" w:cs="Calibri Light"/>
          <w:sz w:val="28"/>
          <w:szCs w:val="28"/>
        </w:rPr>
        <w:t>t</w:t>
      </w:r>
      <w:r>
        <w:rPr>
          <w:rFonts w:ascii="Calibri Light" w:hAnsi="Calibri Light" w:cs="Calibri Light"/>
          <w:sz w:val="28"/>
          <w:szCs w:val="28"/>
        </w:rPr>
        <w:t xml:space="preserve"> home and enrol on </w:t>
      </w:r>
      <w:r w:rsidR="005733EC">
        <w:rPr>
          <w:rFonts w:ascii="Calibri Light" w:hAnsi="Calibri Light" w:cs="Calibri Light"/>
          <w:sz w:val="28"/>
          <w:szCs w:val="28"/>
        </w:rPr>
        <w:t xml:space="preserve">UK </w:t>
      </w:r>
      <w:r>
        <w:rPr>
          <w:rFonts w:ascii="Calibri Light" w:hAnsi="Calibri Light" w:cs="Calibri Light"/>
          <w:sz w:val="28"/>
          <w:szCs w:val="28"/>
        </w:rPr>
        <w:t xml:space="preserve">offshore </w:t>
      </w:r>
      <w:r w:rsidR="005733EC">
        <w:rPr>
          <w:rFonts w:ascii="Calibri Light" w:hAnsi="Calibri Light" w:cs="Calibri Light"/>
          <w:sz w:val="28"/>
          <w:szCs w:val="28"/>
        </w:rPr>
        <w:t>courses. However, given the sharp reduction in offshore enrolments</w:t>
      </w:r>
      <w:r w:rsidR="0095183B">
        <w:rPr>
          <w:rFonts w:ascii="Calibri Light" w:hAnsi="Calibri Light" w:cs="Calibri Light"/>
          <w:sz w:val="28"/>
          <w:szCs w:val="28"/>
        </w:rPr>
        <w:t>,</w:t>
      </w:r>
      <w:r w:rsidR="005733EC">
        <w:rPr>
          <w:rFonts w:ascii="Calibri Light" w:hAnsi="Calibri Light" w:cs="Calibri Light"/>
          <w:sz w:val="28"/>
          <w:szCs w:val="28"/>
        </w:rPr>
        <w:t xml:space="preserve"> this does not appear to be the case.</w:t>
      </w:r>
      <w:r>
        <w:rPr>
          <w:rFonts w:ascii="Calibri Light" w:hAnsi="Calibri Light" w:cs="Calibri Light"/>
          <w:sz w:val="28"/>
          <w:szCs w:val="28"/>
        </w:rPr>
        <w:t xml:space="preserve">    </w:t>
      </w:r>
      <w:r w:rsidR="003F3C94">
        <w:rPr>
          <w:rFonts w:ascii="Calibri Light" w:hAnsi="Calibri Light" w:cs="Calibri Light"/>
          <w:sz w:val="28"/>
          <w:szCs w:val="28"/>
        </w:rPr>
        <w:t xml:space="preserve"> </w:t>
      </w:r>
    </w:p>
    <w:p w14:paraId="2EB78324" w14:textId="677C0E9B" w:rsidR="00D32B25" w:rsidRDefault="003F3C94" w:rsidP="003F3C94">
      <w:pPr>
        <w:jc w:val="both"/>
        <w:rPr>
          <w:rFonts w:ascii="Calibri Light" w:hAnsi="Calibri Light" w:cs="Calibri Light"/>
          <w:sz w:val="28"/>
          <w:szCs w:val="28"/>
        </w:rPr>
      </w:pPr>
      <w:r>
        <w:rPr>
          <w:rFonts w:ascii="Calibri Light" w:hAnsi="Calibri Light" w:cs="Calibri Light"/>
          <w:sz w:val="28"/>
          <w:szCs w:val="28"/>
        </w:rPr>
        <w:t>It is not possible to establ</w:t>
      </w:r>
      <w:r w:rsidR="009E1FBB">
        <w:rPr>
          <w:rFonts w:ascii="Calibri Light" w:hAnsi="Calibri Light" w:cs="Calibri Light"/>
          <w:sz w:val="28"/>
          <w:szCs w:val="28"/>
        </w:rPr>
        <w:t>ish whether the impact of the pan</w:t>
      </w:r>
      <w:r>
        <w:rPr>
          <w:rFonts w:ascii="Calibri Light" w:hAnsi="Calibri Light" w:cs="Calibri Light"/>
          <w:sz w:val="28"/>
          <w:szCs w:val="28"/>
        </w:rPr>
        <w:t>demic was appreciably higher in the ROW and the EU. However, i</w:t>
      </w:r>
      <w:r w:rsidR="00D32B25">
        <w:rPr>
          <w:rFonts w:ascii="Calibri Light" w:hAnsi="Calibri Light" w:cs="Calibri Light"/>
          <w:sz w:val="28"/>
          <w:szCs w:val="28"/>
        </w:rPr>
        <w:t>f</w:t>
      </w:r>
      <w:r>
        <w:rPr>
          <w:rFonts w:ascii="Calibri Light" w:hAnsi="Calibri Light" w:cs="Calibri Light"/>
          <w:sz w:val="28"/>
          <w:szCs w:val="28"/>
        </w:rPr>
        <w:t xml:space="preserve"> it is assumed that it has been roughly the same in both sets of countries, </w:t>
      </w:r>
      <w:r w:rsidR="00D32B25">
        <w:rPr>
          <w:rFonts w:ascii="Calibri Light" w:hAnsi="Calibri Light" w:cs="Calibri Light"/>
          <w:sz w:val="28"/>
          <w:szCs w:val="28"/>
        </w:rPr>
        <w:t xml:space="preserve">this would suggest that the </w:t>
      </w:r>
      <w:r>
        <w:rPr>
          <w:rFonts w:ascii="Calibri Light" w:hAnsi="Calibri Light" w:cs="Calibri Light"/>
          <w:sz w:val="28"/>
          <w:szCs w:val="28"/>
        </w:rPr>
        <w:t>countervailing positive impact of Brexit on UK offshore enrolments in the EU has been very high indeed.</w:t>
      </w:r>
    </w:p>
    <w:p w14:paraId="5FB6EF95" w14:textId="77777777" w:rsidR="00156AAE" w:rsidRDefault="00156AAE">
      <w:pPr>
        <w:rPr>
          <w:rFonts w:ascii="Calibri Light" w:hAnsi="Calibri Light" w:cs="Calibri Light"/>
          <w:i/>
          <w:sz w:val="28"/>
          <w:szCs w:val="28"/>
        </w:rPr>
      </w:pPr>
      <w:r>
        <w:rPr>
          <w:rFonts w:ascii="Calibri Light" w:hAnsi="Calibri Light" w:cs="Calibri Light"/>
          <w:i/>
          <w:sz w:val="28"/>
          <w:szCs w:val="28"/>
        </w:rPr>
        <w:br w:type="page"/>
      </w:r>
    </w:p>
    <w:p w14:paraId="6F43816A" w14:textId="12B5B394" w:rsidR="00BE17CD" w:rsidRPr="0095183B" w:rsidRDefault="00FE5CF4" w:rsidP="005A4EAA">
      <w:pPr>
        <w:rPr>
          <w:rFonts w:ascii="Calibri Light" w:hAnsi="Calibri Light" w:cs="Calibri Light"/>
          <w:i/>
          <w:sz w:val="28"/>
          <w:szCs w:val="28"/>
        </w:rPr>
      </w:pPr>
      <w:r w:rsidRPr="0095183B">
        <w:rPr>
          <w:rFonts w:ascii="Calibri Light" w:hAnsi="Calibri Light" w:cs="Calibri Light"/>
          <w:i/>
          <w:sz w:val="28"/>
          <w:szCs w:val="28"/>
        </w:rPr>
        <w:lastRenderedPageBreak/>
        <w:t>4.2 Level and type of provision</w:t>
      </w:r>
    </w:p>
    <w:p w14:paraId="70E6D153" w14:textId="5B95E2E2" w:rsidR="00FE5CF4" w:rsidRPr="0095183B" w:rsidRDefault="00FE5CF4" w:rsidP="00D32B25">
      <w:pPr>
        <w:jc w:val="both"/>
        <w:rPr>
          <w:rFonts w:ascii="Calibri Light" w:hAnsi="Calibri Light" w:cs="Calibri Light"/>
          <w:i/>
          <w:sz w:val="28"/>
          <w:szCs w:val="28"/>
        </w:rPr>
      </w:pPr>
      <w:r w:rsidRPr="0095183B">
        <w:rPr>
          <w:rFonts w:ascii="Calibri Light" w:hAnsi="Calibri Light" w:cs="Calibri Light"/>
          <w:i/>
          <w:sz w:val="28"/>
          <w:szCs w:val="28"/>
        </w:rPr>
        <w:t>Under and post-graduate enrolments</w:t>
      </w:r>
    </w:p>
    <w:p w14:paraId="7F9EA6D7" w14:textId="599F25BF" w:rsidR="00C52A9D" w:rsidRDefault="002B5C9D" w:rsidP="003059F0">
      <w:pPr>
        <w:jc w:val="both"/>
        <w:rPr>
          <w:rFonts w:ascii="Calibri Light" w:hAnsi="Calibri Light" w:cs="Calibri Light"/>
          <w:i/>
          <w:sz w:val="28"/>
          <w:szCs w:val="28"/>
        </w:rPr>
      </w:pPr>
      <w:r>
        <w:rPr>
          <w:rFonts w:ascii="Calibri Light" w:hAnsi="Calibri Light" w:cs="Calibri Light"/>
          <w:sz w:val="28"/>
          <w:szCs w:val="28"/>
        </w:rPr>
        <w:t xml:space="preserve">Total undergraduate and postgraduate declined by </w:t>
      </w:r>
      <w:r w:rsidR="008F7B1B">
        <w:rPr>
          <w:rFonts w:ascii="Calibri Light" w:hAnsi="Calibri Light" w:cs="Calibri Light"/>
          <w:sz w:val="28"/>
          <w:szCs w:val="28"/>
        </w:rPr>
        <w:t>19</w:t>
      </w:r>
      <w:r>
        <w:rPr>
          <w:rFonts w:ascii="Calibri Light" w:hAnsi="Calibri Light" w:cs="Calibri Light"/>
          <w:sz w:val="28"/>
          <w:szCs w:val="28"/>
        </w:rPr>
        <w:t xml:space="preserve">% and </w:t>
      </w:r>
      <w:r w:rsidR="008F7B1B">
        <w:rPr>
          <w:rFonts w:ascii="Calibri Light" w:hAnsi="Calibri Light" w:cs="Calibri Light"/>
          <w:sz w:val="28"/>
          <w:szCs w:val="28"/>
        </w:rPr>
        <w:t>15</w:t>
      </w:r>
      <w:r>
        <w:rPr>
          <w:rFonts w:ascii="Calibri Light" w:hAnsi="Calibri Light" w:cs="Calibri Light"/>
          <w:sz w:val="28"/>
          <w:szCs w:val="28"/>
        </w:rPr>
        <w:t xml:space="preserve">% respectively between 2019/20 and 2020/21. </w:t>
      </w:r>
      <w:r w:rsidR="008F7B1B">
        <w:rPr>
          <w:rFonts w:ascii="Calibri Light" w:hAnsi="Calibri Light" w:cs="Calibri Light"/>
          <w:sz w:val="28"/>
          <w:szCs w:val="28"/>
        </w:rPr>
        <w:t>However, this masks considerabl</w:t>
      </w:r>
      <w:r w:rsidR="004C03AF">
        <w:rPr>
          <w:rFonts w:ascii="Calibri Light" w:hAnsi="Calibri Light" w:cs="Calibri Light"/>
          <w:sz w:val="28"/>
          <w:szCs w:val="28"/>
        </w:rPr>
        <w:t>e</w:t>
      </w:r>
      <w:r w:rsidR="008F7B1B">
        <w:rPr>
          <w:rFonts w:ascii="Calibri Light" w:hAnsi="Calibri Light" w:cs="Calibri Light"/>
          <w:sz w:val="28"/>
          <w:szCs w:val="28"/>
        </w:rPr>
        <w:t xml:space="preserve"> differences in impact in the EU and ROW (see table</w:t>
      </w:r>
      <w:r w:rsidR="0036647C">
        <w:rPr>
          <w:rFonts w:ascii="Calibri Light" w:hAnsi="Calibri Light" w:cs="Calibri Light"/>
          <w:sz w:val="28"/>
          <w:szCs w:val="28"/>
        </w:rPr>
        <w:t xml:space="preserve"> 7</w:t>
      </w:r>
      <w:r w:rsidR="008F7B1B">
        <w:rPr>
          <w:rFonts w:ascii="Calibri Light" w:hAnsi="Calibri Light" w:cs="Calibri Light"/>
          <w:sz w:val="28"/>
          <w:szCs w:val="28"/>
        </w:rPr>
        <w:t xml:space="preserve">). As noted earlier, the increased demand for undergraduate </w:t>
      </w:r>
      <w:r w:rsidR="0095183B">
        <w:rPr>
          <w:rFonts w:ascii="Calibri Light" w:hAnsi="Calibri Light" w:cs="Calibri Light"/>
          <w:sz w:val="28"/>
          <w:szCs w:val="28"/>
        </w:rPr>
        <w:t xml:space="preserve">offshore </w:t>
      </w:r>
      <w:r w:rsidR="008F7B1B">
        <w:rPr>
          <w:rFonts w:ascii="Calibri Light" w:hAnsi="Calibri Light" w:cs="Calibri Light"/>
          <w:sz w:val="28"/>
          <w:szCs w:val="28"/>
        </w:rPr>
        <w:t xml:space="preserve">courses in the EU may be due to the widely perceived expectation that the </w:t>
      </w:r>
      <w:r w:rsidR="00B304D5">
        <w:rPr>
          <w:rFonts w:ascii="Calibri Light" w:hAnsi="Calibri Light" w:cs="Calibri Light"/>
          <w:sz w:val="28"/>
          <w:szCs w:val="28"/>
        </w:rPr>
        <w:t xml:space="preserve">UK </w:t>
      </w:r>
      <w:r w:rsidR="008F7B1B">
        <w:rPr>
          <w:rFonts w:ascii="Calibri Light" w:hAnsi="Calibri Light" w:cs="Calibri Light"/>
          <w:sz w:val="28"/>
          <w:szCs w:val="28"/>
        </w:rPr>
        <w:t>tuition fees for onshore</w:t>
      </w:r>
      <w:r w:rsidR="0095183B">
        <w:rPr>
          <w:rFonts w:ascii="Calibri Light" w:hAnsi="Calibri Light" w:cs="Calibri Light"/>
          <w:sz w:val="28"/>
          <w:szCs w:val="28"/>
        </w:rPr>
        <w:t xml:space="preserve"> courses for EU students</w:t>
      </w:r>
      <w:r w:rsidR="008F7B1B">
        <w:rPr>
          <w:rFonts w:ascii="Calibri Light" w:hAnsi="Calibri Light" w:cs="Calibri Light"/>
          <w:sz w:val="28"/>
          <w:szCs w:val="28"/>
        </w:rPr>
        <w:t xml:space="preserve"> w</w:t>
      </w:r>
      <w:r w:rsidR="009E1FBB">
        <w:rPr>
          <w:rFonts w:ascii="Calibri Light" w:hAnsi="Calibri Light" w:cs="Calibri Light"/>
          <w:sz w:val="28"/>
          <w:szCs w:val="28"/>
        </w:rPr>
        <w:t>ould</w:t>
      </w:r>
      <w:r w:rsidR="008F7B1B">
        <w:rPr>
          <w:rFonts w:ascii="Calibri Light" w:hAnsi="Calibri Light" w:cs="Calibri Light"/>
          <w:sz w:val="28"/>
          <w:szCs w:val="28"/>
        </w:rPr>
        <w:t xml:space="preserve"> increase appreciably. Undergraduate students account for </w:t>
      </w:r>
      <w:r w:rsidR="00752F42">
        <w:rPr>
          <w:rFonts w:ascii="Calibri Light" w:hAnsi="Calibri Light" w:cs="Calibri Light"/>
          <w:sz w:val="28"/>
          <w:szCs w:val="28"/>
        </w:rPr>
        <w:t xml:space="preserve">over </w:t>
      </w:r>
      <w:r w:rsidR="008F7B1B">
        <w:rPr>
          <w:rFonts w:ascii="Calibri Light" w:hAnsi="Calibri Light" w:cs="Calibri Light"/>
          <w:sz w:val="28"/>
          <w:szCs w:val="28"/>
        </w:rPr>
        <w:t>two-thirds of total offshore enrolments in ROW</w:t>
      </w:r>
      <w:r w:rsidR="00752F42">
        <w:rPr>
          <w:rFonts w:ascii="Calibri Light" w:hAnsi="Calibri Light" w:cs="Calibri Light"/>
          <w:sz w:val="28"/>
          <w:szCs w:val="28"/>
        </w:rPr>
        <w:t xml:space="preserve"> so </w:t>
      </w:r>
      <w:r w:rsidR="008F7B1B">
        <w:rPr>
          <w:rFonts w:ascii="Calibri Light" w:hAnsi="Calibri Light" w:cs="Calibri Light"/>
          <w:sz w:val="28"/>
          <w:szCs w:val="28"/>
        </w:rPr>
        <w:t xml:space="preserve">the much larger decline in undergraduate enrolments </w:t>
      </w:r>
      <w:r w:rsidR="004C03AF">
        <w:rPr>
          <w:rFonts w:ascii="Calibri Light" w:hAnsi="Calibri Light" w:cs="Calibri Light"/>
          <w:sz w:val="28"/>
          <w:szCs w:val="28"/>
        </w:rPr>
        <w:t xml:space="preserve">is potentially a </w:t>
      </w:r>
      <w:r w:rsidR="00752F42">
        <w:rPr>
          <w:rFonts w:ascii="Calibri Light" w:hAnsi="Calibri Light" w:cs="Calibri Light"/>
          <w:sz w:val="28"/>
          <w:szCs w:val="28"/>
        </w:rPr>
        <w:t xml:space="preserve">serious issue for the future growth of offshore </w:t>
      </w:r>
      <w:r w:rsidR="0095183B">
        <w:rPr>
          <w:rFonts w:ascii="Calibri Light" w:hAnsi="Calibri Light" w:cs="Calibri Light"/>
          <w:sz w:val="28"/>
          <w:szCs w:val="28"/>
        </w:rPr>
        <w:t xml:space="preserve">provision </w:t>
      </w:r>
      <w:r w:rsidR="00752F42">
        <w:rPr>
          <w:rFonts w:ascii="Calibri Light" w:hAnsi="Calibri Light" w:cs="Calibri Light"/>
          <w:sz w:val="28"/>
          <w:szCs w:val="28"/>
        </w:rPr>
        <w:t>as a whole.</w:t>
      </w:r>
    </w:p>
    <w:tbl>
      <w:tblPr>
        <w:tblW w:w="10251" w:type="dxa"/>
        <w:tblLook w:val="04A0" w:firstRow="1" w:lastRow="0" w:firstColumn="1" w:lastColumn="0" w:noHBand="0" w:noVBand="1"/>
      </w:tblPr>
      <w:tblGrid>
        <w:gridCol w:w="1077"/>
        <w:gridCol w:w="1565"/>
        <w:gridCol w:w="1396"/>
        <w:gridCol w:w="1740"/>
        <w:gridCol w:w="1396"/>
        <w:gridCol w:w="1681"/>
        <w:gridCol w:w="1396"/>
      </w:tblGrid>
      <w:tr w:rsidR="003F4101" w:rsidRPr="00C52A9D" w14:paraId="2B45957D" w14:textId="77777777" w:rsidTr="00F9255A">
        <w:trPr>
          <w:trHeight w:val="288"/>
        </w:trPr>
        <w:tc>
          <w:tcPr>
            <w:tcW w:w="10251" w:type="dxa"/>
            <w:gridSpan w:val="7"/>
            <w:tcBorders>
              <w:top w:val="nil"/>
              <w:left w:val="nil"/>
              <w:bottom w:val="nil"/>
              <w:right w:val="nil"/>
            </w:tcBorders>
            <w:shd w:val="clear" w:color="auto" w:fill="auto"/>
            <w:noWrap/>
            <w:vAlign w:val="bottom"/>
            <w:hideMark/>
          </w:tcPr>
          <w:p w14:paraId="056C6AB0"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xml:space="preserve">Table 7: Annual rate of growth of undergraduate and postgraduate TNE enrolments at UK universities, </w:t>
            </w:r>
          </w:p>
        </w:tc>
      </w:tr>
      <w:tr w:rsidR="003F4101" w:rsidRPr="00C52A9D" w14:paraId="022B7FC1" w14:textId="77777777" w:rsidTr="00F9255A">
        <w:trPr>
          <w:trHeight w:val="300"/>
        </w:trPr>
        <w:tc>
          <w:tcPr>
            <w:tcW w:w="4038" w:type="dxa"/>
            <w:gridSpan w:val="3"/>
            <w:tcBorders>
              <w:top w:val="nil"/>
              <w:left w:val="nil"/>
              <w:bottom w:val="nil"/>
              <w:right w:val="nil"/>
            </w:tcBorders>
            <w:shd w:val="clear" w:color="auto" w:fill="auto"/>
            <w:noWrap/>
            <w:vAlign w:val="bottom"/>
            <w:hideMark/>
          </w:tcPr>
          <w:p w14:paraId="2784B50D"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2015/16-2020/21 (rounded percentages)</w:t>
            </w:r>
          </w:p>
        </w:tc>
        <w:tc>
          <w:tcPr>
            <w:tcW w:w="1740" w:type="dxa"/>
            <w:tcBorders>
              <w:top w:val="nil"/>
              <w:left w:val="nil"/>
              <w:bottom w:val="nil"/>
              <w:right w:val="nil"/>
            </w:tcBorders>
            <w:shd w:val="clear" w:color="auto" w:fill="auto"/>
            <w:noWrap/>
            <w:vAlign w:val="bottom"/>
            <w:hideMark/>
          </w:tcPr>
          <w:p w14:paraId="292288FE" w14:textId="77777777" w:rsidR="003F4101" w:rsidRPr="00C52A9D" w:rsidRDefault="003F4101" w:rsidP="00F9255A">
            <w:pPr>
              <w:spacing w:after="0" w:line="240" w:lineRule="auto"/>
              <w:rPr>
                <w:rFonts w:ascii="Calibri Light" w:eastAsia="Times New Roman" w:hAnsi="Calibri Light" w:cs="Calibri Light"/>
                <w:color w:val="000000"/>
                <w:lang w:eastAsia="en-GB"/>
              </w:rPr>
            </w:pPr>
          </w:p>
        </w:tc>
        <w:tc>
          <w:tcPr>
            <w:tcW w:w="1396" w:type="dxa"/>
            <w:tcBorders>
              <w:top w:val="nil"/>
              <w:left w:val="nil"/>
              <w:bottom w:val="nil"/>
              <w:right w:val="nil"/>
            </w:tcBorders>
            <w:shd w:val="clear" w:color="auto" w:fill="auto"/>
            <w:noWrap/>
            <w:vAlign w:val="bottom"/>
            <w:hideMark/>
          </w:tcPr>
          <w:p w14:paraId="2CEE46E0"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c>
          <w:tcPr>
            <w:tcW w:w="1681" w:type="dxa"/>
            <w:tcBorders>
              <w:top w:val="nil"/>
              <w:left w:val="nil"/>
              <w:bottom w:val="nil"/>
              <w:right w:val="nil"/>
            </w:tcBorders>
            <w:shd w:val="clear" w:color="auto" w:fill="auto"/>
            <w:noWrap/>
            <w:vAlign w:val="bottom"/>
            <w:hideMark/>
          </w:tcPr>
          <w:p w14:paraId="4C21C79B"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c>
          <w:tcPr>
            <w:tcW w:w="1396" w:type="dxa"/>
            <w:tcBorders>
              <w:top w:val="nil"/>
              <w:left w:val="nil"/>
              <w:bottom w:val="nil"/>
              <w:right w:val="nil"/>
            </w:tcBorders>
            <w:shd w:val="clear" w:color="auto" w:fill="auto"/>
            <w:noWrap/>
            <w:vAlign w:val="bottom"/>
            <w:hideMark/>
          </w:tcPr>
          <w:p w14:paraId="46F3630B"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r>
      <w:tr w:rsidR="003F4101" w:rsidRPr="00C52A9D" w14:paraId="4C4C376C" w14:textId="77777777" w:rsidTr="00F9255A">
        <w:trPr>
          <w:trHeight w:val="288"/>
        </w:trPr>
        <w:tc>
          <w:tcPr>
            <w:tcW w:w="1077" w:type="dxa"/>
            <w:tcBorders>
              <w:top w:val="single" w:sz="8" w:space="0" w:color="auto"/>
              <w:left w:val="single" w:sz="8" w:space="0" w:color="auto"/>
              <w:bottom w:val="nil"/>
              <w:right w:val="nil"/>
            </w:tcBorders>
            <w:shd w:val="clear" w:color="000000" w:fill="BDD7EE"/>
            <w:noWrap/>
            <w:vAlign w:val="bottom"/>
            <w:hideMark/>
          </w:tcPr>
          <w:p w14:paraId="59D0D206"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Academic</w:t>
            </w:r>
          </w:p>
        </w:tc>
        <w:tc>
          <w:tcPr>
            <w:tcW w:w="2961" w:type="dxa"/>
            <w:gridSpan w:val="2"/>
            <w:tcBorders>
              <w:top w:val="single" w:sz="8" w:space="0" w:color="auto"/>
              <w:left w:val="nil"/>
              <w:bottom w:val="nil"/>
              <w:right w:val="nil"/>
            </w:tcBorders>
            <w:shd w:val="clear" w:color="000000" w:fill="BDD7EE"/>
            <w:noWrap/>
            <w:vAlign w:val="bottom"/>
            <w:hideMark/>
          </w:tcPr>
          <w:p w14:paraId="3B1611E4" w14:textId="77777777" w:rsidR="003F4101" w:rsidRPr="00C52A9D" w:rsidRDefault="003F4101" w:rsidP="00F9255A">
            <w:pPr>
              <w:spacing w:after="0" w:line="240" w:lineRule="auto"/>
              <w:ind w:firstLineChars="400" w:firstLine="880"/>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European Union</w:t>
            </w:r>
          </w:p>
        </w:tc>
        <w:tc>
          <w:tcPr>
            <w:tcW w:w="3136" w:type="dxa"/>
            <w:gridSpan w:val="2"/>
            <w:tcBorders>
              <w:top w:val="single" w:sz="8" w:space="0" w:color="auto"/>
              <w:left w:val="single" w:sz="4" w:space="0" w:color="auto"/>
              <w:bottom w:val="nil"/>
              <w:right w:val="single" w:sz="4" w:space="0" w:color="000000"/>
            </w:tcBorders>
            <w:shd w:val="clear" w:color="000000" w:fill="BDD7EE"/>
            <w:noWrap/>
            <w:vAlign w:val="bottom"/>
            <w:hideMark/>
          </w:tcPr>
          <w:p w14:paraId="58B91CE9" w14:textId="77777777" w:rsidR="003F4101" w:rsidRPr="00C52A9D" w:rsidRDefault="003F4101" w:rsidP="00F9255A">
            <w:pPr>
              <w:spacing w:after="0" w:line="240" w:lineRule="auto"/>
              <w:ind w:firstLineChars="600" w:firstLine="1320"/>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Rest of world</w:t>
            </w:r>
          </w:p>
        </w:tc>
        <w:tc>
          <w:tcPr>
            <w:tcW w:w="3077" w:type="dxa"/>
            <w:gridSpan w:val="2"/>
            <w:tcBorders>
              <w:top w:val="single" w:sz="8" w:space="0" w:color="auto"/>
              <w:left w:val="nil"/>
              <w:bottom w:val="nil"/>
              <w:right w:val="single" w:sz="8" w:space="0" w:color="000000"/>
            </w:tcBorders>
            <w:shd w:val="clear" w:color="000000" w:fill="BDD7EE"/>
            <w:noWrap/>
            <w:vAlign w:val="bottom"/>
            <w:hideMark/>
          </w:tcPr>
          <w:p w14:paraId="5097029E" w14:textId="77777777" w:rsidR="003F4101" w:rsidRPr="00C52A9D" w:rsidRDefault="003F4101" w:rsidP="00F9255A">
            <w:pPr>
              <w:spacing w:after="0" w:line="240" w:lineRule="auto"/>
              <w:ind w:firstLineChars="600" w:firstLine="1320"/>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Total global</w:t>
            </w:r>
          </w:p>
        </w:tc>
      </w:tr>
      <w:tr w:rsidR="003F4101" w:rsidRPr="00C52A9D" w14:paraId="615783A4" w14:textId="77777777" w:rsidTr="00F9255A">
        <w:trPr>
          <w:trHeight w:val="288"/>
        </w:trPr>
        <w:tc>
          <w:tcPr>
            <w:tcW w:w="1077" w:type="dxa"/>
            <w:tcBorders>
              <w:top w:val="nil"/>
              <w:left w:val="single" w:sz="8" w:space="0" w:color="auto"/>
              <w:bottom w:val="nil"/>
              <w:right w:val="nil"/>
            </w:tcBorders>
            <w:shd w:val="clear" w:color="000000" w:fill="BDD7EE"/>
            <w:noWrap/>
            <w:vAlign w:val="bottom"/>
            <w:hideMark/>
          </w:tcPr>
          <w:p w14:paraId="22F703C7"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Year</w:t>
            </w:r>
          </w:p>
        </w:tc>
        <w:tc>
          <w:tcPr>
            <w:tcW w:w="1565" w:type="dxa"/>
            <w:tcBorders>
              <w:top w:val="nil"/>
              <w:left w:val="nil"/>
              <w:bottom w:val="nil"/>
              <w:right w:val="nil"/>
            </w:tcBorders>
            <w:shd w:val="clear" w:color="000000" w:fill="BDD7EE"/>
            <w:noWrap/>
            <w:vAlign w:val="bottom"/>
            <w:hideMark/>
          </w:tcPr>
          <w:p w14:paraId="79589F17"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Undergraduate</w:t>
            </w:r>
          </w:p>
        </w:tc>
        <w:tc>
          <w:tcPr>
            <w:tcW w:w="1396" w:type="dxa"/>
            <w:tcBorders>
              <w:top w:val="nil"/>
              <w:left w:val="nil"/>
              <w:bottom w:val="nil"/>
              <w:right w:val="nil"/>
            </w:tcBorders>
            <w:shd w:val="clear" w:color="000000" w:fill="BDD7EE"/>
            <w:noWrap/>
            <w:vAlign w:val="bottom"/>
            <w:hideMark/>
          </w:tcPr>
          <w:p w14:paraId="57DC1F3A"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Postgraduate</w:t>
            </w:r>
          </w:p>
        </w:tc>
        <w:tc>
          <w:tcPr>
            <w:tcW w:w="1740" w:type="dxa"/>
            <w:tcBorders>
              <w:top w:val="nil"/>
              <w:left w:val="single" w:sz="4" w:space="0" w:color="auto"/>
              <w:bottom w:val="nil"/>
              <w:right w:val="nil"/>
            </w:tcBorders>
            <w:shd w:val="clear" w:color="000000" w:fill="BDD7EE"/>
            <w:noWrap/>
            <w:vAlign w:val="bottom"/>
            <w:hideMark/>
          </w:tcPr>
          <w:p w14:paraId="32A6E73C"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Undergraduate</w:t>
            </w:r>
          </w:p>
        </w:tc>
        <w:tc>
          <w:tcPr>
            <w:tcW w:w="1396" w:type="dxa"/>
            <w:tcBorders>
              <w:top w:val="nil"/>
              <w:left w:val="nil"/>
              <w:bottom w:val="nil"/>
              <w:right w:val="single" w:sz="4" w:space="0" w:color="auto"/>
            </w:tcBorders>
            <w:shd w:val="clear" w:color="000000" w:fill="BDD7EE"/>
            <w:noWrap/>
            <w:vAlign w:val="bottom"/>
            <w:hideMark/>
          </w:tcPr>
          <w:p w14:paraId="4801C99B"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Postgraduate</w:t>
            </w:r>
          </w:p>
        </w:tc>
        <w:tc>
          <w:tcPr>
            <w:tcW w:w="1681" w:type="dxa"/>
            <w:tcBorders>
              <w:top w:val="nil"/>
              <w:left w:val="nil"/>
              <w:bottom w:val="nil"/>
              <w:right w:val="nil"/>
            </w:tcBorders>
            <w:shd w:val="clear" w:color="000000" w:fill="BDD7EE"/>
            <w:noWrap/>
            <w:vAlign w:val="bottom"/>
            <w:hideMark/>
          </w:tcPr>
          <w:p w14:paraId="07A00CDD"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Undergraduate</w:t>
            </w:r>
          </w:p>
        </w:tc>
        <w:tc>
          <w:tcPr>
            <w:tcW w:w="1396" w:type="dxa"/>
            <w:tcBorders>
              <w:top w:val="nil"/>
              <w:left w:val="nil"/>
              <w:bottom w:val="nil"/>
              <w:right w:val="single" w:sz="8" w:space="0" w:color="auto"/>
            </w:tcBorders>
            <w:shd w:val="clear" w:color="000000" w:fill="BDD7EE"/>
            <w:noWrap/>
            <w:vAlign w:val="bottom"/>
            <w:hideMark/>
          </w:tcPr>
          <w:p w14:paraId="221A2DB0"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Postgraduate</w:t>
            </w:r>
          </w:p>
        </w:tc>
      </w:tr>
      <w:tr w:rsidR="003F4101" w:rsidRPr="00C52A9D" w14:paraId="27845537" w14:textId="77777777" w:rsidTr="00F9255A">
        <w:trPr>
          <w:trHeight w:val="288"/>
        </w:trPr>
        <w:tc>
          <w:tcPr>
            <w:tcW w:w="1077" w:type="dxa"/>
            <w:tcBorders>
              <w:top w:val="single" w:sz="4" w:space="0" w:color="auto"/>
              <w:left w:val="single" w:sz="8" w:space="0" w:color="auto"/>
              <w:bottom w:val="nil"/>
              <w:right w:val="nil"/>
            </w:tcBorders>
            <w:shd w:val="clear" w:color="000000" w:fill="F2F2F2"/>
            <w:noWrap/>
            <w:vAlign w:val="bottom"/>
            <w:hideMark/>
          </w:tcPr>
          <w:p w14:paraId="75620816"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2015/16</w:t>
            </w:r>
          </w:p>
        </w:tc>
        <w:tc>
          <w:tcPr>
            <w:tcW w:w="1565" w:type="dxa"/>
            <w:tcBorders>
              <w:top w:val="single" w:sz="4" w:space="0" w:color="auto"/>
              <w:left w:val="nil"/>
              <w:bottom w:val="nil"/>
              <w:right w:val="nil"/>
            </w:tcBorders>
            <w:shd w:val="clear" w:color="000000" w:fill="F2F2F2"/>
            <w:noWrap/>
            <w:vAlign w:val="bottom"/>
            <w:hideMark/>
          </w:tcPr>
          <w:p w14:paraId="4CDD2835"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7</w:t>
            </w:r>
          </w:p>
        </w:tc>
        <w:tc>
          <w:tcPr>
            <w:tcW w:w="1396" w:type="dxa"/>
            <w:tcBorders>
              <w:top w:val="single" w:sz="4" w:space="0" w:color="auto"/>
              <w:left w:val="nil"/>
              <w:bottom w:val="nil"/>
              <w:right w:val="nil"/>
            </w:tcBorders>
            <w:shd w:val="clear" w:color="000000" w:fill="F2F2F2"/>
            <w:noWrap/>
            <w:vAlign w:val="bottom"/>
            <w:hideMark/>
          </w:tcPr>
          <w:p w14:paraId="5B5C489A"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1740" w:type="dxa"/>
            <w:tcBorders>
              <w:top w:val="single" w:sz="4" w:space="0" w:color="auto"/>
              <w:left w:val="single" w:sz="4" w:space="0" w:color="auto"/>
              <w:bottom w:val="nil"/>
              <w:right w:val="nil"/>
            </w:tcBorders>
            <w:shd w:val="clear" w:color="000000" w:fill="F2F2F2"/>
            <w:noWrap/>
            <w:vAlign w:val="bottom"/>
            <w:hideMark/>
          </w:tcPr>
          <w:p w14:paraId="7E5A237E"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1396" w:type="dxa"/>
            <w:tcBorders>
              <w:top w:val="single" w:sz="4" w:space="0" w:color="auto"/>
              <w:left w:val="nil"/>
              <w:bottom w:val="nil"/>
              <w:right w:val="single" w:sz="4" w:space="0" w:color="auto"/>
            </w:tcBorders>
            <w:shd w:val="clear" w:color="000000" w:fill="F2F2F2"/>
            <w:noWrap/>
            <w:vAlign w:val="bottom"/>
            <w:hideMark/>
          </w:tcPr>
          <w:p w14:paraId="63109A06"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w:t>
            </w:r>
          </w:p>
        </w:tc>
        <w:tc>
          <w:tcPr>
            <w:tcW w:w="1681" w:type="dxa"/>
            <w:tcBorders>
              <w:top w:val="single" w:sz="4" w:space="0" w:color="auto"/>
              <w:left w:val="nil"/>
              <w:bottom w:val="nil"/>
              <w:right w:val="nil"/>
            </w:tcBorders>
            <w:shd w:val="clear" w:color="000000" w:fill="F2F2F2"/>
            <w:noWrap/>
            <w:vAlign w:val="bottom"/>
            <w:hideMark/>
          </w:tcPr>
          <w:p w14:paraId="0EF1BEC3"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w:t>
            </w:r>
          </w:p>
        </w:tc>
        <w:tc>
          <w:tcPr>
            <w:tcW w:w="1396" w:type="dxa"/>
            <w:tcBorders>
              <w:top w:val="single" w:sz="4" w:space="0" w:color="auto"/>
              <w:left w:val="nil"/>
              <w:bottom w:val="nil"/>
              <w:right w:val="single" w:sz="8" w:space="0" w:color="auto"/>
            </w:tcBorders>
            <w:shd w:val="clear" w:color="000000" w:fill="F2F2F2"/>
            <w:noWrap/>
            <w:vAlign w:val="bottom"/>
            <w:hideMark/>
          </w:tcPr>
          <w:p w14:paraId="6B2FE580"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r>
      <w:tr w:rsidR="003F4101" w:rsidRPr="00C52A9D" w14:paraId="02E0D5DC" w14:textId="77777777" w:rsidTr="00F9255A">
        <w:trPr>
          <w:trHeight w:val="288"/>
        </w:trPr>
        <w:tc>
          <w:tcPr>
            <w:tcW w:w="1077" w:type="dxa"/>
            <w:tcBorders>
              <w:top w:val="nil"/>
              <w:left w:val="single" w:sz="8" w:space="0" w:color="auto"/>
              <w:bottom w:val="nil"/>
              <w:right w:val="nil"/>
            </w:tcBorders>
            <w:shd w:val="clear" w:color="000000" w:fill="F2F2F2"/>
            <w:noWrap/>
            <w:vAlign w:val="bottom"/>
            <w:hideMark/>
          </w:tcPr>
          <w:p w14:paraId="1AC5E03F"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2016/17</w:t>
            </w:r>
          </w:p>
        </w:tc>
        <w:tc>
          <w:tcPr>
            <w:tcW w:w="1565" w:type="dxa"/>
            <w:tcBorders>
              <w:top w:val="nil"/>
              <w:left w:val="nil"/>
              <w:bottom w:val="nil"/>
              <w:right w:val="nil"/>
            </w:tcBorders>
            <w:shd w:val="clear" w:color="000000" w:fill="F2F2F2"/>
            <w:noWrap/>
            <w:vAlign w:val="bottom"/>
            <w:hideMark/>
          </w:tcPr>
          <w:p w14:paraId="34388C61"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11</w:t>
            </w:r>
          </w:p>
        </w:tc>
        <w:tc>
          <w:tcPr>
            <w:tcW w:w="1396" w:type="dxa"/>
            <w:tcBorders>
              <w:top w:val="nil"/>
              <w:left w:val="nil"/>
              <w:bottom w:val="nil"/>
              <w:right w:val="nil"/>
            </w:tcBorders>
            <w:shd w:val="clear" w:color="000000" w:fill="F2F2F2"/>
            <w:noWrap/>
            <w:vAlign w:val="bottom"/>
            <w:hideMark/>
          </w:tcPr>
          <w:p w14:paraId="786E479E"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9</w:t>
            </w:r>
          </w:p>
        </w:tc>
        <w:tc>
          <w:tcPr>
            <w:tcW w:w="1740" w:type="dxa"/>
            <w:tcBorders>
              <w:top w:val="nil"/>
              <w:left w:val="single" w:sz="4" w:space="0" w:color="auto"/>
              <w:bottom w:val="nil"/>
              <w:right w:val="nil"/>
            </w:tcBorders>
            <w:shd w:val="clear" w:color="000000" w:fill="F2F2F2"/>
            <w:noWrap/>
            <w:vAlign w:val="bottom"/>
            <w:hideMark/>
          </w:tcPr>
          <w:p w14:paraId="39BE6532"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w:t>
            </w:r>
          </w:p>
        </w:tc>
        <w:tc>
          <w:tcPr>
            <w:tcW w:w="1396" w:type="dxa"/>
            <w:tcBorders>
              <w:top w:val="nil"/>
              <w:left w:val="nil"/>
              <w:bottom w:val="nil"/>
              <w:right w:val="single" w:sz="4" w:space="0" w:color="auto"/>
            </w:tcBorders>
            <w:shd w:val="clear" w:color="000000" w:fill="F2F2F2"/>
            <w:noWrap/>
            <w:vAlign w:val="bottom"/>
            <w:hideMark/>
          </w:tcPr>
          <w:p w14:paraId="583CFF1D"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6</w:t>
            </w:r>
          </w:p>
        </w:tc>
        <w:tc>
          <w:tcPr>
            <w:tcW w:w="1681" w:type="dxa"/>
            <w:tcBorders>
              <w:top w:val="nil"/>
              <w:left w:val="nil"/>
              <w:bottom w:val="nil"/>
              <w:right w:val="nil"/>
            </w:tcBorders>
            <w:shd w:val="clear" w:color="000000" w:fill="F2F2F2"/>
            <w:noWrap/>
            <w:vAlign w:val="bottom"/>
            <w:hideMark/>
          </w:tcPr>
          <w:p w14:paraId="3713CE1B"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w:t>
            </w:r>
          </w:p>
        </w:tc>
        <w:tc>
          <w:tcPr>
            <w:tcW w:w="1396" w:type="dxa"/>
            <w:tcBorders>
              <w:top w:val="nil"/>
              <w:left w:val="nil"/>
              <w:bottom w:val="nil"/>
              <w:right w:val="single" w:sz="8" w:space="0" w:color="auto"/>
            </w:tcBorders>
            <w:shd w:val="clear" w:color="000000" w:fill="F2F2F2"/>
            <w:noWrap/>
            <w:vAlign w:val="bottom"/>
            <w:hideMark/>
          </w:tcPr>
          <w:p w14:paraId="0DD6C218"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7</w:t>
            </w:r>
          </w:p>
        </w:tc>
      </w:tr>
      <w:tr w:rsidR="003F4101" w:rsidRPr="00C52A9D" w14:paraId="52360781" w14:textId="77777777" w:rsidTr="00F9255A">
        <w:trPr>
          <w:trHeight w:val="288"/>
        </w:trPr>
        <w:tc>
          <w:tcPr>
            <w:tcW w:w="1077" w:type="dxa"/>
            <w:tcBorders>
              <w:top w:val="nil"/>
              <w:left w:val="single" w:sz="8" w:space="0" w:color="auto"/>
              <w:bottom w:val="nil"/>
              <w:right w:val="nil"/>
            </w:tcBorders>
            <w:shd w:val="clear" w:color="000000" w:fill="F2F2F2"/>
            <w:noWrap/>
            <w:vAlign w:val="bottom"/>
            <w:hideMark/>
          </w:tcPr>
          <w:p w14:paraId="067902D0"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2017/18</w:t>
            </w:r>
          </w:p>
        </w:tc>
        <w:tc>
          <w:tcPr>
            <w:tcW w:w="1565" w:type="dxa"/>
            <w:tcBorders>
              <w:top w:val="nil"/>
              <w:left w:val="nil"/>
              <w:bottom w:val="nil"/>
              <w:right w:val="nil"/>
            </w:tcBorders>
            <w:shd w:val="clear" w:color="000000" w:fill="F2F2F2"/>
            <w:noWrap/>
            <w:vAlign w:val="bottom"/>
            <w:hideMark/>
          </w:tcPr>
          <w:p w14:paraId="6B6D8748"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w:t>
            </w:r>
          </w:p>
        </w:tc>
        <w:tc>
          <w:tcPr>
            <w:tcW w:w="1396" w:type="dxa"/>
            <w:tcBorders>
              <w:top w:val="nil"/>
              <w:left w:val="nil"/>
              <w:bottom w:val="nil"/>
              <w:right w:val="nil"/>
            </w:tcBorders>
            <w:shd w:val="clear" w:color="000000" w:fill="F2F2F2"/>
            <w:noWrap/>
            <w:vAlign w:val="bottom"/>
            <w:hideMark/>
          </w:tcPr>
          <w:p w14:paraId="63EBBBF2"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8</w:t>
            </w:r>
          </w:p>
        </w:tc>
        <w:tc>
          <w:tcPr>
            <w:tcW w:w="1740" w:type="dxa"/>
            <w:tcBorders>
              <w:top w:val="nil"/>
              <w:left w:val="single" w:sz="4" w:space="0" w:color="auto"/>
              <w:bottom w:val="nil"/>
              <w:right w:val="nil"/>
            </w:tcBorders>
            <w:shd w:val="clear" w:color="000000" w:fill="F2F2F2"/>
            <w:noWrap/>
            <w:vAlign w:val="bottom"/>
            <w:hideMark/>
          </w:tcPr>
          <w:p w14:paraId="65962C12"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1396" w:type="dxa"/>
            <w:tcBorders>
              <w:top w:val="nil"/>
              <w:left w:val="nil"/>
              <w:bottom w:val="nil"/>
              <w:right w:val="single" w:sz="4" w:space="0" w:color="auto"/>
            </w:tcBorders>
            <w:shd w:val="clear" w:color="000000" w:fill="F2F2F2"/>
            <w:noWrap/>
            <w:vAlign w:val="bottom"/>
            <w:hideMark/>
          </w:tcPr>
          <w:p w14:paraId="4D25A3BA"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w:t>
            </w:r>
          </w:p>
        </w:tc>
        <w:tc>
          <w:tcPr>
            <w:tcW w:w="1681" w:type="dxa"/>
            <w:tcBorders>
              <w:top w:val="nil"/>
              <w:left w:val="nil"/>
              <w:bottom w:val="nil"/>
              <w:right w:val="nil"/>
            </w:tcBorders>
            <w:shd w:val="clear" w:color="000000" w:fill="F2F2F2"/>
            <w:noWrap/>
            <w:vAlign w:val="bottom"/>
            <w:hideMark/>
          </w:tcPr>
          <w:p w14:paraId="3806F3B5"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1396" w:type="dxa"/>
            <w:tcBorders>
              <w:top w:val="nil"/>
              <w:left w:val="nil"/>
              <w:bottom w:val="nil"/>
              <w:right w:val="single" w:sz="8" w:space="0" w:color="auto"/>
            </w:tcBorders>
            <w:shd w:val="clear" w:color="000000" w:fill="F2F2F2"/>
            <w:noWrap/>
            <w:vAlign w:val="bottom"/>
            <w:hideMark/>
          </w:tcPr>
          <w:p w14:paraId="7DC0381F"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r>
      <w:tr w:rsidR="003F4101" w:rsidRPr="00C52A9D" w14:paraId="42EA8A19" w14:textId="77777777" w:rsidTr="00F9255A">
        <w:trPr>
          <w:trHeight w:val="288"/>
        </w:trPr>
        <w:tc>
          <w:tcPr>
            <w:tcW w:w="1077" w:type="dxa"/>
            <w:tcBorders>
              <w:top w:val="nil"/>
              <w:left w:val="single" w:sz="8" w:space="0" w:color="auto"/>
              <w:bottom w:val="nil"/>
              <w:right w:val="nil"/>
            </w:tcBorders>
            <w:shd w:val="clear" w:color="000000" w:fill="F2F2F2"/>
            <w:noWrap/>
            <w:vAlign w:val="bottom"/>
            <w:hideMark/>
          </w:tcPr>
          <w:p w14:paraId="7DCABEA5"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2018/19</w:t>
            </w:r>
          </w:p>
        </w:tc>
        <w:tc>
          <w:tcPr>
            <w:tcW w:w="1565" w:type="dxa"/>
            <w:tcBorders>
              <w:top w:val="nil"/>
              <w:left w:val="nil"/>
              <w:bottom w:val="nil"/>
              <w:right w:val="nil"/>
            </w:tcBorders>
            <w:shd w:val="clear" w:color="000000" w:fill="F2F2F2"/>
            <w:noWrap/>
            <w:vAlign w:val="bottom"/>
            <w:hideMark/>
          </w:tcPr>
          <w:p w14:paraId="6600B786"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6</w:t>
            </w:r>
          </w:p>
        </w:tc>
        <w:tc>
          <w:tcPr>
            <w:tcW w:w="1396" w:type="dxa"/>
            <w:tcBorders>
              <w:top w:val="nil"/>
              <w:left w:val="nil"/>
              <w:bottom w:val="nil"/>
              <w:right w:val="nil"/>
            </w:tcBorders>
            <w:shd w:val="clear" w:color="000000" w:fill="F2F2F2"/>
            <w:noWrap/>
            <w:vAlign w:val="bottom"/>
            <w:hideMark/>
          </w:tcPr>
          <w:p w14:paraId="448D8BFC"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15</w:t>
            </w:r>
          </w:p>
        </w:tc>
        <w:tc>
          <w:tcPr>
            <w:tcW w:w="1740" w:type="dxa"/>
            <w:tcBorders>
              <w:top w:val="nil"/>
              <w:left w:val="single" w:sz="4" w:space="0" w:color="auto"/>
              <w:bottom w:val="nil"/>
              <w:right w:val="nil"/>
            </w:tcBorders>
            <w:shd w:val="clear" w:color="000000" w:fill="F2F2F2"/>
            <w:noWrap/>
            <w:vAlign w:val="bottom"/>
            <w:hideMark/>
          </w:tcPr>
          <w:p w14:paraId="05402981"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w:t>
            </w:r>
          </w:p>
        </w:tc>
        <w:tc>
          <w:tcPr>
            <w:tcW w:w="1396" w:type="dxa"/>
            <w:tcBorders>
              <w:top w:val="nil"/>
              <w:left w:val="nil"/>
              <w:bottom w:val="nil"/>
              <w:right w:val="single" w:sz="4" w:space="0" w:color="auto"/>
            </w:tcBorders>
            <w:shd w:val="clear" w:color="000000" w:fill="F2F2F2"/>
            <w:noWrap/>
            <w:vAlign w:val="bottom"/>
            <w:hideMark/>
          </w:tcPr>
          <w:p w14:paraId="0984DD02"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w:t>
            </w:r>
          </w:p>
        </w:tc>
        <w:tc>
          <w:tcPr>
            <w:tcW w:w="1681" w:type="dxa"/>
            <w:tcBorders>
              <w:top w:val="nil"/>
              <w:left w:val="nil"/>
              <w:bottom w:val="nil"/>
              <w:right w:val="nil"/>
            </w:tcBorders>
            <w:shd w:val="clear" w:color="000000" w:fill="F2F2F2"/>
            <w:noWrap/>
            <w:vAlign w:val="bottom"/>
            <w:hideMark/>
          </w:tcPr>
          <w:p w14:paraId="491F5078"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w:t>
            </w:r>
          </w:p>
        </w:tc>
        <w:tc>
          <w:tcPr>
            <w:tcW w:w="1396" w:type="dxa"/>
            <w:tcBorders>
              <w:top w:val="nil"/>
              <w:left w:val="nil"/>
              <w:bottom w:val="nil"/>
              <w:right w:val="single" w:sz="8" w:space="0" w:color="auto"/>
            </w:tcBorders>
            <w:shd w:val="clear" w:color="000000" w:fill="F2F2F2"/>
            <w:noWrap/>
            <w:vAlign w:val="bottom"/>
            <w:hideMark/>
          </w:tcPr>
          <w:p w14:paraId="515EF504"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w:t>
            </w:r>
          </w:p>
        </w:tc>
      </w:tr>
      <w:tr w:rsidR="003F4101" w:rsidRPr="00C52A9D" w14:paraId="10E2072B" w14:textId="77777777" w:rsidTr="00F9255A">
        <w:trPr>
          <w:trHeight w:val="288"/>
        </w:trPr>
        <w:tc>
          <w:tcPr>
            <w:tcW w:w="1077" w:type="dxa"/>
            <w:tcBorders>
              <w:top w:val="nil"/>
              <w:left w:val="single" w:sz="8" w:space="0" w:color="auto"/>
              <w:bottom w:val="nil"/>
              <w:right w:val="nil"/>
            </w:tcBorders>
            <w:shd w:val="clear" w:color="000000" w:fill="F2F2F2"/>
            <w:noWrap/>
            <w:vAlign w:val="bottom"/>
            <w:hideMark/>
          </w:tcPr>
          <w:p w14:paraId="3AC0AD49"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2019/20</w:t>
            </w:r>
          </w:p>
        </w:tc>
        <w:tc>
          <w:tcPr>
            <w:tcW w:w="1565" w:type="dxa"/>
            <w:tcBorders>
              <w:top w:val="nil"/>
              <w:left w:val="nil"/>
              <w:bottom w:val="nil"/>
              <w:right w:val="nil"/>
            </w:tcBorders>
            <w:shd w:val="clear" w:color="000000" w:fill="F2F2F2"/>
            <w:noWrap/>
            <w:vAlign w:val="bottom"/>
            <w:hideMark/>
          </w:tcPr>
          <w:p w14:paraId="0CC498F2"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w:t>
            </w:r>
          </w:p>
        </w:tc>
        <w:tc>
          <w:tcPr>
            <w:tcW w:w="1396" w:type="dxa"/>
            <w:tcBorders>
              <w:top w:val="nil"/>
              <w:left w:val="nil"/>
              <w:bottom w:val="nil"/>
              <w:right w:val="nil"/>
            </w:tcBorders>
            <w:shd w:val="clear" w:color="000000" w:fill="F2F2F2"/>
            <w:noWrap/>
            <w:vAlign w:val="bottom"/>
            <w:hideMark/>
          </w:tcPr>
          <w:p w14:paraId="6D2C4411"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10</w:t>
            </w:r>
          </w:p>
        </w:tc>
        <w:tc>
          <w:tcPr>
            <w:tcW w:w="1740" w:type="dxa"/>
            <w:tcBorders>
              <w:top w:val="nil"/>
              <w:left w:val="single" w:sz="4" w:space="0" w:color="auto"/>
              <w:bottom w:val="nil"/>
              <w:right w:val="nil"/>
            </w:tcBorders>
            <w:shd w:val="clear" w:color="000000" w:fill="F2F2F2"/>
            <w:noWrap/>
            <w:vAlign w:val="bottom"/>
            <w:hideMark/>
          </w:tcPr>
          <w:p w14:paraId="563C3D4E"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w:t>
            </w:r>
          </w:p>
        </w:tc>
        <w:tc>
          <w:tcPr>
            <w:tcW w:w="1396" w:type="dxa"/>
            <w:tcBorders>
              <w:top w:val="nil"/>
              <w:left w:val="nil"/>
              <w:bottom w:val="nil"/>
              <w:right w:val="single" w:sz="4" w:space="0" w:color="auto"/>
            </w:tcBorders>
            <w:shd w:val="clear" w:color="000000" w:fill="F2F2F2"/>
            <w:noWrap/>
            <w:vAlign w:val="bottom"/>
            <w:hideMark/>
          </w:tcPr>
          <w:p w14:paraId="6008C05C"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w:t>
            </w:r>
          </w:p>
        </w:tc>
        <w:tc>
          <w:tcPr>
            <w:tcW w:w="1681" w:type="dxa"/>
            <w:tcBorders>
              <w:top w:val="nil"/>
              <w:left w:val="nil"/>
              <w:bottom w:val="nil"/>
              <w:right w:val="nil"/>
            </w:tcBorders>
            <w:shd w:val="clear" w:color="000000" w:fill="F2F2F2"/>
            <w:noWrap/>
            <w:vAlign w:val="bottom"/>
            <w:hideMark/>
          </w:tcPr>
          <w:p w14:paraId="4AC88042"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w:t>
            </w:r>
          </w:p>
        </w:tc>
        <w:tc>
          <w:tcPr>
            <w:tcW w:w="1396" w:type="dxa"/>
            <w:tcBorders>
              <w:top w:val="nil"/>
              <w:left w:val="nil"/>
              <w:bottom w:val="nil"/>
              <w:right w:val="single" w:sz="8" w:space="0" w:color="auto"/>
            </w:tcBorders>
            <w:shd w:val="clear" w:color="000000" w:fill="F2F2F2"/>
            <w:noWrap/>
            <w:vAlign w:val="bottom"/>
            <w:hideMark/>
          </w:tcPr>
          <w:p w14:paraId="08ED40F7"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6</w:t>
            </w:r>
          </w:p>
        </w:tc>
      </w:tr>
      <w:tr w:rsidR="003F4101" w:rsidRPr="00C52A9D" w14:paraId="567427C5" w14:textId="77777777" w:rsidTr="00F9255A">
        <w:trPr>
          <w:trHeight w:val="300"/>
        </w:trPr>
        <w:tc>
          <w:tcPr>
            <w:tcW w:w="1077" w:type="dxa"/>
            <w:tcBorders>
              <w:top w:val="nil"/>
              <w:left w:val="single" w:sz="8" w:space="0" w:color="auto"/>
              <w:bottom w:val="single" w:sz="8" w:space="0" w:color="auto"/>
              <w:right w:val="nil"/>
            </w:tcBorders>
            <w:shd w:val="clear" w:color="000000" w:fill="F2F2F2"/>
            <w:noWrap/>
            <w:vAlign w:val="bottom"/>
            <w:hideMark/>
          </w:tcPr>
          <w:p w14:paraId="4A39C261"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2020/21</w:t>
            </w:r>
          </w:p>
        </w:tc>
        <w:tc>
          <w:tcPr>
            <w:tcW w:w="1565" w:type="dxa"/>
            <w:tcBorders>
              <w:top w:val="nil"/>
              <w:left w:val="nil"/>
              <w:bottom w:val="single" w:sz="8" w:space="0" w:color="auto"/>
              <w:right w:val="nil"/>
            </w:tcBorders>
            <w:shd w:val="clear" w:color="000000" w:fill="F2F2F2"/>
            <w:noWrap/>
            <w:vAlign w:val="bottom"/>
            <w:hideMark/>
          </w:tcPr>
          <w:p w14:paraId="24E2E133"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13</w:t>
            </w:r>
          </w:p>
        </w:tc>
        <w:tc>
          <w:tcPr>
            <w:tcW w:w="1396" w:type="dxa"/>
            <w:tcBorders>
              <w:top w:val="nil"/>
              <w:left w:val="nil"/>
              <w:bottom w:val="single" w:sz="8" w:space="0" w:color="auto"/>
              <w:right w:val="nil"/>
            </w:tcBorders>
            <w:shd w:val="clear" w:color="000000" w:fill="F2F2F2"/>
            <w:noWrap/>
            <w:vAlign w:val="bottom"/>
            <w:hideMark/>
          </w:tcPr>
          <w:p w14:paraId="2EE632D3"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-17</w:t>
            </w:r>
          </w:p>
        </w:tc>
        <w:tc>
          <w:tcPr>
            <w:tcW w:w="1740" w:type="dxa"/>
            <w:tcBorders>
              <w:top w:val="nil"/>
              <w:left w:val="single" w:sz="4" w:space="0" w:color="auto"/>
              <w:bottom w:val="single" w:sz="8" w:space="0" w:color="auto"/>
              <w:right w:val="nil"/>
            </w:tcBorders>
            <w:shd w:val="clear" w:color="000000" w:fill="F2F2F2"/>
            <w:noWrap/>
            <w:vAlign w:val="bottom"/>
            <w:hideMark/>
          </w:tcPr>
          <w:p w14:paraId="5038A590"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-22</w:t>
            </w:r>
          </w:p>
        </w:tc>
        <w:tc>
          <w:tcPr>
            <w:tcW w:w="1396" w:type="dxa"/>
            <w:tcBorders>
              <w:top w:val="nil"/>
              <w:left w:val="nil"/>
              <w:bottom w:val="single" w:sz="8" w:space="0" w:color="auto"/>
              <w:right w:val="single" w:sz="4" w:space="0" w:color="auto"/>
            </w:tcBorders>
            <w:shd w:val="clear" w:color="000000" w:fill="F2F2F2"/>
            <w:noWrap/>
            <w:vAlign w:val="bottom"/>
            <w:hideMark/>
          </w:tcPr>
          <w:p w14:paraId="28346825"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-13</w:t>
            </w:r>
          </w:p>
        </w:tc>
        <w:tc>
          <w:tcPr>
            <w:tcW w:w="1681" w:type="dxa"/>
            <w:tcBorders>
              <w:top w:val="nil"/>
              <w:left w:val="nil"/>
              <w:bottom w:val="single" w:sz="8" w:space="0" w:color="auto"/>
              <w:right w:val="nil"/>
            </w:tcBorders>
            <w:shd w:val="clear" w:color="000000" w:fill="F2F2F2"/>
            <w:noWrap/>
            <w:vAlign w:val="bottom"/>
            <w:hideMark/>
          </w:tcPr>
          <w:p w14:paraId="7D8C1D51"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w:t>
            </w:r>
          </w:p>
        </w:tc>
        <w:tc>
          <w:tcPr>
            <w:tcW w:w="1396" w:type="dxa"/>
            <w:tcBorders>
              <w:top w:val="nil"/>
              <w:left w:val="nil"/>
              <w:bottom w:val="single" w:sz="8" w:space="0" w:color="auto"/>
              <w:right w:val="single" w:sz="8" w:space="0" w:color="auto"/>
            </w:tcBorders>
            <w:shd w:val="clear" w:color="000000" w:fill="F2F2F2"/>
            <w:noWrap/>
            <w:vAlign w:val="bottom"/>
            <w:hideMark/>
          </w:tcPr>
          <w:p w14:paraId="034DB061" w14:textId="77777777" w:rsidR="003F4101" w:rsidRPr="00C52A9D" w:rsidRDefault="003F4101"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-14</w:t>
            </w:r>
          </w:p>
        </w:tc>
      </w:tr>
      <w:tr w:rsidR="003F4101" w:rsidRPr="00C52A9D" w14:paraId="36623C19" w14:textId="77777777" w:rsidTr="00F9255A">
        <w:trPr>
          <w:trHeight w:val="288"/>
        </w:trPr>
        <w:tc>
          <w:tcPr>
            <w:tcW w:w="4038" w:type="dxa"/>
            <w:gridSpan w:val="3"/>
            <w:tcBorders>
              <w:top w:val="nil"/>
              <w:left w:val="nil"/>
              <w:bottom w:val="nil"/>
              <w:right w:val="nil"/>
            </w:tcBorders>
            <w:shd w:val="clear" w:color="auto" w:fill="auto"/>
            <w:noWrap/>
            <w:vAlign w:val="bottom"/>
            <w:hideMark/>
          </w:tcPr>
          <w:p w14:paraId="412682B1" w14:textId="77777777" w:rsidR="003F4101" w:rsidRPr="00C52A9D" w:rsidRDefault="003F4101"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Source: HESA, FOIA responses (2020/21)</w:t>
            </w:r>
          </w:p>
        </w:tc>
        <w:tc>
          <w:tcPr>
            <w:tcW w:w="1740" w:type="dxa"/>
            <w:tcBorders>
              <w:top w:val="nil"/>
              <w:left w:val="nil"/>
              <w:bottom w:val="nil"/>
              <w:right w:val="nil"/>
            </w:tcBorders>
            <w:shd w:val="clear" w:color="auto" w:fill="auto"/>
            <w:noWrap/>
            <w:vAlign w:val="bottom"/>
            <w:hideMark/>
          </w:tcPr>
          <w:p w14:paraId="7D708DC6" w14:textId="77777777" w:rsidR="003F4101" w:rsidRPr="00C52A9D" w:rsidRDefault="003F4101" w:rsidP="00F9255A">
            <w:pPr>
              <w:spacing w:after="0" w:line="240" w:lineRule="auto"/>
              <w:rPr>
                <w:rFonts w:ascii="Calibri Light" w:eastAsia="Times New Roman" w:hAnsi="Calibri Light" w:cs="Calibri Light"/>
                <w:color w:val="000000"/>
                <w:lang w:eastAsia="en-GB"/>
              </w:rPr>
            </w:pPr>
          </w:p>
        </w:tc>
        <w:tc>
          <w:tcPr>
            <w:tcW w:w="1396" w:type="dxa"/>
            <w:tcBorders>
              <w:top w:val="nil"/>
              <w:left w:val="nil"/>
              <w:bottom w:val="nil"/>
              <w:right w:val="nil"/>
            </w:tcBorders>
            <w:shd w:val="clear" w:color="auto" w:fill="auto"/>
            <w:noWrap/>
            <w:vAlign w:val="bottom"/>
            <w:hideMark/>
          </w:tcPr>
          <w:p w14:paraId="61FBDE16"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c>
          <w:tcPr>
            <w:tcW w:w="1681" w:type="dxa"/>
            <w:tcBorders>
              <w:top w:val="nil"/>
              <w:left w:val="nil"/>
              <w:bottom w:val="nil"/>
              <w:right w:val="nil"/>
            </w:tcBorders>
            <w:shd w:val="clear" w:color="auto" w:fill="auto"/>
            <w:noWrap/>
            <w:vAlign w:val="bottom"/>
            <w:hideMark/>
          </w:tcPr>
          <w:p w14:paraId="1683E742"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c>
          <w:tcPr>
            <w:tcW w:w="1396" w:type="dxa"/>
            <w:tcBorders>
              <w:top w:val="nil"/>
              <w:left w:val="nil"/>
              <w:bottom w:val="nil"/>
              <w:right w:val="nil"/>
            </w:tcBorders>
            <w:shd w:val="clear" w:color="auto" w:fill="auto"/>
            <w:noWrap/>
            <w:vAlign w:val="bottom"/>
            <w:hideMark/>
          </w:tcPr>
          <w:p w14:paraId="5D4B8CB7" w14:textId="77777777" w:rsidR="003F4101" w:rsidRPr="00C52A9D" w:rsidRDefault="003F4101" w:rsidP="00F9255A">
            <w:pPr>
              <w:spacing w:after="0" w:line="240" w:lineRule="auto"/>
              <w:rPr>
                <w:rFonts w:ascii="Calibri Light" w:eastAsia="Times New Roman" w:hAnsi="Calibri Light" w:cs="Calibri Light"/>
                <w:sz w:val="20"/>
                <w:szCs w:val="20"/>
                <w:lang w:eastAsia="en-GB"/>
              </w:rPr>
            </w:pPr>
          </w:p>
        </w:tc>
      </w:tr>
    </w:tbl>
    <w:p w14:paraId="600453A5" w14:textId="77777777" w:rsidR="003F4101" w:rsidRDefault="003F4101" w:rsidP="00D32B25">
      <w:pPr>
        <w:jc w:val="both"/>
        <w:rPr>
          <w:rFonts w:ascii="Calibri Light" w:hAnsi="Calibri Light" w:cs="Calibri Light"/>
          <w:sz w:val="28"/>
          <w:szCs w:val="28"/>
        </w:rPr>
      </w:pPr>
    </w:p>
    <w:p w14:paraId="6A5ACED8" w14:textId="47576A87" w:rsidR="00FE5CF4" w:rsidRPr="002B539E" w:rsidRDefault="00FE5CF4" w:rsidP="00D32B25">
      <w:pPr>
        <w:jc w:val="both"/>
        <w:rPr>
          <w:rFonts w:ascii="Calibri Light" w:hAnsi="Calibri Light" w:cs="Calibri Light"/>
          <w:i/>
          <w:sz w:val="28"/>
          <w:szCs w:val="28"/>
        </w:rPr>
      </w:pPr>
      <w:r w:rsidRPr="002B539E">
        <w:rPr>
          <w:rFonts w:ascii="Calibri Light" w:hAnsi="Calibri Light" w:cs="Calibri Light"/>
          <w:i/>
          <w:sz w:val="28"/>
          <w:szCs w:val="28"/>
        </w:rPr>
        <w:t xml:space="preserve">Types of offshore provision </w:t>
      </w:r>
    </w:p>
    <w:p w14:paraId="5C6B4D7A" w14:textId="77777777" w:rsidR="00156AAE" w:rsidRDefault="004C03AF" w:rsidP="002B539E">
      <w:pPr>
        <w:jc w:val="both"/>
        <w:rPr>
          <w:rFonts w:ascii="Calibri Light" w:hAnsi="Calibri Light" w:cs="Calibri Light"/>
          <w:sz w:val="28"/>
          <w:szCs w:val="28"/>
        </w:rPr>
      </w:pPr>
      <w:r>
        <w:rPr>
          <w:rFonts w:ascii="Calibri Light" w:hAnsi="Calibri Light" w:cs="Calibri Light"/>
          <w:sz w:val="28"/>
          <w:szCs w:val="28"/>
        </w:rPr>
        <w:t>The impact of the two shocks has been greatest on numerically predominant institutional partnerships</w:t>
      </w:r>
      <w:r w:rsidR="002B539E">
        <w:rPr>
          <w:rStyle w:val="FootnoteReference"/>
          <w:rFonts w:ascii="Calibri Light" w:hAnsi="Calibri Light" w:cs="Calibri Light"/>
          <w:sz w:val="28"/>
          <w:szCs w:val="28"/>
        </w:rPr>
        <w:footnoteReference w:id="24"/>
      </w:r>
      <w:r w:rsidR="002B539E">
        <w:rPr>
          <w:rFonts w:ascii="Calibri Light" w:hAnsi="Calibri Light" w:cs="Calibri Light"/>
          <w:sz w:val="28"/>
          <w:szCs w:val="28"/>
        </w:rPr>
        <w:t xml:space="preserve"> which fell by nearly 40% in the EU and one-quarter in the rest of the world (see table </w:t>
      </w:r>
      <w:r w:rsidR="0036647C">
        <w:rPr>
          <w:rFonts w:ascii="Calibri Light" w:hAnsi="Calibri Light" w:cs="Calibri Light"/>
          <w:sz w:val="28"/>
          <w:szCs w:val="28"/>
        </w:rPr>
        <w:t>8</w:t>
      </w:r>
      <w:r w:rsidR="002B539E">
        <w:rPr>
          <w:rFonts w:ascii="Calibri Light" w:hAnsi="Calibri Light" w:cs="Calibri Light"/>
          <w:sz w:val="28"/>
          <w:szCs w:val="28"/>
        </w:rPr>
        <w:t xml:space="preserve">). </w:t>
      </w:r>
      <w:r w:rsidR="00B304D5">
        <w:rPr>
          <w:rFonts w:ascii="Calibri Light" w:hAnsi="Calibri Light" w:cs="Calibri Light"/>
          <w:sz w:val="28"/>
          <w:szCs w:val="28"/>
        </w:rPr>
        <w:t xml:space="preserve">While overseas </w:t>
      </w:r>
      <w:r w:rsidR="002B539E">
        <w:rPr>
          <w:rFonts w:ascii="Calibri Light" w:hAnsi="Calibri Light" w:cs="Calibri Light"/>
          <w:sz w:val="28"/>
          <w:szCs w:val="28"/>
        </w:rPr>
        <w:t>distance learning enrolments increased by 45% in EU</w:t>
      </w:r>
      <w:r w:rsidR="002B539E">
        <w:rPr>
          <w:rStyle w:val="FootnoteReference"/>
          <w:rFonts w:ascii="Calibri Light" w:hAnsi="Calibri Light" w:cs="Calibri Light"/>
          <w:sz w:val="28"/>
          <w:szCs w:val="28"/>
        </w:rPr>
        <w:footnoteReference w:id="25"/>
      </w:r>
      <w:r w:rsidR="00B304D5">
        <w:rPr>
          <w:rFonts w:ascii="Calibri Light" w:hAnsi="Calibri Light" w:cs="Calibri Light"/>
          <w:sz w:val="28"/>
          <w:szCs w:val="28"/>
        </w:rPr>
        <w:t xml:space="preserve">, they still </w:t>
      </w:r>
      <w:r w:rsidR="002B539E">
        <w:rPr>
          <w:rFonts w:ascii="Calibri Light" w:hAnsi="Calibri Light" w:cs="Calibri Light"/>
          <w:sz w:val="28"/>
          <w:szCs w:val="28"/>
        </w:rPr>
        <w:t>fell by nearly 19% in the rest of the world.</w:t>
      </w:r>
    </w:p>
    <w:p w14:paraId="4F89A570" w14:textId="77777777" w:rsidR="00156AAE" w:rsidRPr="00231A6F" w:rsidRDefault="00156AAE" w:rsidP="00156AAE">
      <w:pPr>
        <w:pStyle w:val="FILHeader1"/>
        <w:numPr>
          <w:ilvl w:val="0"/>
          <w:numId w:val="0"/>
        </w:numPr>
        <w:rPr>
          <w:rFonts w:ascii="Calibri Light" w:hAnsi="Calibri Light" w:cs="Calibri Light"/>
          <w:b w:val="0"/>
          <w:i/>
          <w:sz w:val="28"/>
          <w:szCs w:val="28"/>
        </w:rPr>
      </w:pPr>
      <w:r w:rsidRPr="00231A6F">
        <w:rPr>
          <w:rFonts w:ascii="Calibri Light" w:hAnsi="Calibri Light" w:cs="Calibri Light"/>
          <w:b w:val="0"/>
          <w:sz w:val="28"/>
          <w:szCs w:val="28"/>
        </w:rPr>
        <w:t>Again, this highlights the complexity and diverse nature of offshore overseas student markets. Branch campus enrolments, nearly all of which are outside the EU, fell by only 10%.</w:t>
      </w:r>
    </w:p>
    <w:tbl>
      <w:tblPr>
        <w:tblW w:w="10048" w:type="dxa"/>
        <w:tblLook w:val="04A0" w:firstRow="1" w:lastRow="0" w:firstColumn="1" w:lastColumn="0" w:noHBand="0" w:noVBand="1"/>
      </w:tblPr>
      <w:tblGrid>
        <w:gridCol w:w="2584"/>
        <w:gridCol w:w="965"/>
        <w:gridCol w:w="965"/>
        <w:gridCol w:w="965"/>
        <w:gridCol w:w="965"/>
        <w:gridCol w:w="965"/>
        <w:gridCol w:w="965"/>
        <w:gridCol w:w="1674"/>
      </w:tblGrid>
      <w:tr w:rsidR="00DB316A" w:rsidRPr="00C52A9D" w14:paraId="661329F1" w14:textId="77777777" w:rsidTr="00F9255A">
        <w:trPr>
          <w:trHeight w:val="288"/>
        </w:trPr>
        <w:tc>
          <w:tcPr>
            <w:tcW w:w="10048" w:type="dxa"/>
            <w:gridSpan w:val="8"/>
            <w:tcBorders>
              <w:top w:val="nil"/>
              <w:left w:val="nil"/>
              <w:bottom w:val="nil"/>
              <w:right w:val="nil"/>
            </w:tcBorders>
            <w:shd w:val="clear" w:color="auto" w:fill="auto"/>
            <w:noWrap/>
            <w:vAlign w:val="bottom"/>
            <w:hideMark/>
          </w:tcPr>
          <w:p w14:paraId="7CB926D1" w14:textId="08121786" w:rsidR="00DB316A" w:rsidRPr="00C52A9D" w:rsidRDefault="00DB316A"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lastRenderedPageBreak/>
              <w:t xml:space="preserve">Table 8: Annual change in off-shore enrolments in the EU and rest of world by provision type, </w:t>
            </w:r>
          </w:p>
        </w:tc>
      </w:tr>
      <w:tr w:rsidR="00DB316A" w:rsidRPr="00C52A9D" w14:paraId="7B4FC289" w14:textId="77777777" w:rsidTr="00F9255A">
        <w:trPr>
          <w:trHeight w:val="300"/>
        </w:trPr>
        <w:tc>
          <w:tcPr>
            <w:tcW w:w="3549" w:type="dxa"/>
            <w:gridSpan w:val="2"/>
            <w:tcBorders>
              <w:top w:val="nil"/>
              <w:left w:val="nil"/>
              <w:bottom w:val="nil"/>
              <w:right w:val="nil"/>
            </w:tcBorders>
            <w:shd w:val="clear" w:color="auto" w:fill="auto"/>
            <w:noWrap/>
            <w:vAlign w:val="bottom"/>
            <w:hideMark/>
          </w:tcPr>
          <w:p w14:paraId="083CF2DF" w14:textId="77777777" w:rsidR="00DB316A" w:rsidRPr="00C52A9D" w:rsidRDefault="00DB316A"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2015/16-2020/21 (rounded %)</w:t>
            </w:r>
          </w:p>
        </w:tc>
        <w:tc>
          <w:tcPr>
            <w:tcW w:w="965" w:type="dxa"/>
            <w:tcBorders>
              <w:top w:val="nil"/>
              <w:left w:val="nil"/>
              <w:bottom w:val="nil"/>
              <w:right w:val="nil"/>
            </w:tcBorders>
            <w:shd w:val="clear" w:color="auto" w:fill="auto"/>
            <w:noWrap/>
            <w:vAlign w:val="bottom"/>
            <w:hideMark/>
          </w:tcPr>
          <w:p w14:paraId="253E1334" w14:textId="77777777" w:rsidR="00DB316A" w:rsidRPr="00C52A9D" w:rsidRDefault="00DB316A" w:rsidP="00F9255A">
            <w:pPr>
              <w:spacing w:after="0" w:line="240" w:lineRule="auto"/>
              <w:rPr>
                <w:rFonts w:ascii="Calibri Light" w:eastAsia="Times New Roman" w:hAnsi="Calibri Light" w:cs="Calibri Light"/>
                <w:color w:val="000000"/>
                <w:lang w:eastAsia="en-GB"/>
              </w:rPr>
            </w:pPr>
          </w:p>
        </w:tc>
        <w:tc>
          <w:tcPr>
            <w:tcW w:w="965" w:type="dxa"/>
            <w:tcBorders>
              <w:top w:val="nil"/>
              <w:left w:val="nil"/>
              <w:bottom w:val="nil"/>
              <w:right w:val="nil"/>
            </w:tcBorders>
            <w:shd w:val="clear" w:color="auto" w:fill="auto"/>
            <w:noWrap/>
            <w:vAlign w:val="bottom"/>
            <w:hideMark/>
          </w:tcPr>
          <w:p w14:paraId="59738296" w14:textId="77777777" w:rsidR="00DB316A" w:rsidRPr="00C52A9D" w:rsidRDefault="00DB316A" w:rsidP="00F9255A">
            <w:pPr>
              <w:spacing w:after="0" w:line="240" w:lineRule="auto"/>
              <w:rPr>
                <w:rFonts w:ascii="Calibri Light" w:eastAsia="Times New Roman" w:hAnsi="Calibri Light" w:cs="Calibri Light"/>
                <w:sz w:val="20"/>
                <w:szCs w:val="20"/>
                <w:lang w:eastAsia="en-GB"/>
              </w:rPr>
            </w:pPr>
          </w:p>
        </w:tc>
        <w:tc>
          <w:tcPr>
            <w:tcW w:w="965" w:type="dxa"/>
            <w:tcBorders>
              <w:top w:val="nil"/>
              <w:left w:val="nil"/>
              <w:bottom w:val="nil"/>
              <w:right w:val="nil"/>
            </w:tcBorders>
            <w:shd w:val="clear" w:color="auto" w:fill="auto"/>
            <w:noWrap/>
            <w:vAlign w:val="bottom"/>
            <w:hideMark/>
          </w:tcPr>
          <w:p w14:paraId="3F65A662" w14:textId="77777777" w:rsidR="00DB316A" w:rsidRPr="00C52A9D" w:rsidRDefault="00DB316A" w:rsidP="00F9255A">
            <w:pPr>
              <w:spacing w:after="0" w:line="240" w:lineRule="auto"/>
              <w:rPr>
                <w:rFonts w:ascii="Calibri Light" w:eastAsia="Times New Roman" w:hAnsi="Calibri Light" w:cs="Calibri Light"/>
                <w:sz w:val="20"/>
                <w:szCs w:val="20"/>
                <w:lang w:eastAsia="en-GB"/>
              </w:rPr>
            </w:pPr>
          </w:p>
        </w:tc>
        <w:tc>
          <w:tcPr>
            <w:tcW w:w="965" w:type="dxa"/>
            <w:tcBorders>
              <w:top w:val="nil"/>
              <w:left w:val="nil"/>
              <w:bottom w:val="nil"/>
              <w:right w:val="nil"/>
            </w:tcBorders>
            <w:shd w:val="clear" w:color="auto" w:fill="auto"/>
            <w:noWrap/>
            <w:vAlign w:val="bottom"/>
            <w:hideMark/>
          </w:tcPr>
          <w:p w14:paraId="39ACDB0A" w14:textId="77777777" w:rsidR="00DB316A" w:rsidRPr="00C52A9D" w:rsidRDefault="00DB316A" w:rsidP="00F9255A">
            <w:pPr>
              <w:spacing w:after="0" w:line="240" w:lineRule="auto"/>
              <w:rPr>
                <w:rFonts w:ascii="Calibri Light" w:eastAsia="Times New Roman" w:hAnsi="Calibri Light" w:cs="Calibri Light"/>
                <w:sz w:val="20"/>
                <w:szCs w:val="20"/>
                <w:lang w:eastAsia="en-GB"/>
              </w:rPr>
            </w:pPr>
          </w:p>
        </w:tc>
        <w:tc>
          <w:tcPr>
            <w:tcW w:w="965" w:type="dxa"/>
            <w:tcBorders>
              <w:top w:val="nil"/>
              <w:left w:val="nil"/>
              <w:bottom w:val="nil"/>
              <w:right w:val="nil"/>
            </w:tcBorders>
            <w:shd w:val="clear" w:color="auto" w:fill="auto"/>
            <w:noWrap/>
            <w:vAlign w:val="bottom"/>
            <w:hideMark/>
          </w:tcPr>
          <w:p w14:paraId="375BD584" w14:textId="77777777" w:rsidR="00DB316A" w:rsidRPr="00C52A9D" w:rsidRDefault="00DB316A" w:rsidP="00F9255A">
            <w:pPr>
              <w:spacing w:after="0" w:line="240" w:lineRule="auto"/>
              <w:rPr>
                <w:rFonts w:ascii="Calibri Light" w:eastAsia="Times New Roman" w:hAnsi="Calibri Light" w:cs="Calibri Light"/>
                <w:sz w:val="20"/>
                <w:szCs w:val="20"/>
                <w:lang w:eastAsia="en-GB"/>
              </w:rPr>
            </w:pPr>
          </w:p>
        </w:tc>
        <w:tc>
          <w:tcPr>
            <w:tcW w:w="1674" w:type="dxa"/>
            <w:tcBorders>
              <w:top w:val="nil"/>
              <w:left w:val="nil"/>
              <w:bottom w:val="nil"/>
              <w:right w:val="nil"/>
            </w:tcBorders>
            <w:shd w:val="clear" w:color="auto" w:fill="auto"/>
            <w:noWrap/>
            <w:vAlign w:val="bottom"/>
            <w:hideMark/>
          </w:tcPr>
          <w:p w14:paraId="591AFC59" w14:textId="77777777" w:rsidR="00DB316A" w:rsidRPr="00C52A9D" w:rsidRDefault="00DB316A" w:rsidP="00F9255A">
            <w:pPr>
              <w:spacing w:after="0" w:line="240" w:lineRule="auto"/>
              <w:rPr>
                <w:rFonts w:ascii="Calibri Light" w:eastAsia="Times New Roman" w:hAnsi="Calibri Light" w:cs="Calibri Light"/>
                <w:sz w:val="20"/>
                <w:szCs w:val="20"/>
                <w:lang w:eastAsia="en-GB"/>
              </w:rPr>
            </w:pPr>
          </w:p>
        </w:tc>
      </w:tr>
      <w:tr w:rsidR="00DB316A" w:rsidRPr="00C52A9D" w14:paraId="71B5E77E" w14:textId="77777777" w:rsidTr="00F9255A">
        <w:trPr>
          <w:trHeight w:val="288"/>
        </w:trPr>
        <w:tc>
          <w:tcPr>
            <w:tcW w:w="2584" w:type="dxa"/>
            <w:tcBorders>
              <w:top w:val="single" w:sz="8" w:space="0" w:color="auto"/>
              <w:left w:val="single" w:sz="8" w:space="0" w:color="auto"/>
              <w:bottom w:val="nil"/>
              <w:right w:val="nil"/>
            </w:tcBorders>
            <w:shd w:val="clear" w:color="000000" w:fill="BDD7EE"/>
            <w:noWrap/>
            <w:vAlign w:val="bottom"/>
            <w:hideMark/>
          </w:tcPr>
          <w:p w14:paraId="3DE70AAA" w14:textId="77777777" w:rsidR="00DB316A" w:rsidRPr="00C52A9D" w:rsidRDefault="00DB316A"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single" w:sz="8" w:space="0" w:color="auto"/>
              <w:left w:val="nil"/>
              <w:bottom w:val="nil"/>
              <w:right w:val="nil"/>
            </w:tcBorders>
            <w:shd w:val="clear" w:color="000000" w:fill="BDD7EE"/>
            <w:noWrap/>
            <w:vAlign w:val="bottom"/>
            <w:hideMark/>
          </w:tcPr>
          <w:p w14:paraId="6390F033"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2015/16</w:t>
            </w:r>
          </w:p>
        </w:tc>
        <w:tc>
          <w:tcPr>
            <w:tcW w:w="965" w:type="dxa"/>
            <w:tcBorders>
              <w:top w:val="single" w:sz="8" w:space="0" w:color="auto"/>
              <w:left w:val="nil"/>
              <w:bottom w:val="nil"/>
              <w:right w:val="nil"/>
            </w:tcBorders>
            <w:shd w:val="clear" w:color="000000" w:fill="BDD7EE"/>
            <w:noWrap/>
            <w:vAlign w:val="bottom"/>
            <w:hideMark/>
          </w:tcPr>
          <w:p w14:paraId="4A5BC991"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2016/17</w:t>
            </w:r>
          </w:p>
        </w:tc>
        <w:tc>
          <w:tcPr>
            <w:tcW w:w="965" w:type="dxa"/>
            <w:tcBorders>
              <w:top w:val="single" w:sz="8" w:space="0" w:color="auto"/>
              <w:left w:val="nil"/>
              <w:bottom w:val="nil"/>
              <w:right w:val="nil"/>
            </w:tcBorders>
            <w:shd w:val="clear" w:color="000000" w:fill="BDD7EE"/>
            <w:noWrap/>
            <w:vAlign w:val="bottom"/>
            <w:hideMark/>
          </w:tcPr>
          <w:p w14:paraId="3E508EE0"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2017/18</w:t>
            </w:r>
          </w:p>
        </w:tc>
        <w:tc>
          <w:tcPr>
            <w:tcW w:w="965" w:type="dxa"/>
            <w:tcBorders>
              <w:top w:val="single" w:sz="8" w:space="0" w:color="auto"/>
              <w:left w:val="nil"/>
              <w:bottom w:val="nil"/>
              <w:right w:val="nil"/>
            </w:tcBorders>
            <w:shd w:val="clear" w:color="000000" w:fill="BDD7EE"/>
            <w:noWrap/>
            <w:vAlign w:val="bottom"/>
            <w:hideMark/>
          </w:tcPr>
          <w:p w14:paraId="338600FE"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2018/19</w:t>
            </w:r>
          </w:p>
        </w:tc>
        <w:tc>
          <w:tcPr>
            <w:tcW w:w="965" w:type="dxa"/>
            <w:tcBorders>
              <w:top w:val="single" w:sz="8" w:space="0" w:color="auto"/>
              <w:left w:val="nil"/>
              <w:bottom w:val="nil"/>
              <w:right w:val="nil"/>
            </w:tcBorders>
            <w:shd w:val="clear" w:color="000000" w:fill="BDD7EE"/>
            <w:noWrap/>
            <w:vAlign w:val="bottom"/>
            <w:hideMark/>
          </w:tcPr>
          <w:p w14:paraId="36E0CD0B"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2019/20</w:t>
            </w:r>
          </w:p>
        </w:tc>
        <w:tc>
          <w:tcPr>
            <w:tcW w:w="965" w:type="dxa"/>
            <w:tcBorders>
              <w:top w:val="single" w:sz="8" w:space="0" w:color="auto"/>
              <w:left w:val="nil"/>
              <w:bottom w:val="nil"/>
              <w:right w:val="nil"/>
            </w:tcBorders>
            <w:shd w:val="clear" w:color="000000" w:fill="BDD7EE"/>
            <w:noWrap/>
            <w:vAlign w:val="bottom"/>
            <w:hideMark/>
          </w:tcPr>
          <w:p w14:paraId="6926DE62"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2020/21</w:t>
            </w:r>
          </w:p>
        </w:tc>
        <w:tc>
          <w:tcPr>
            <w:tcW w:w="1674" w:type="dxa"/>
            <w:tcBorders>
              <w:top w:val="single" w:sz="8" w:space="0" w:color="auto"/>
              <w:left w:val="single" w:sz="4" w:space="0" w:color="auto"/>
              <w:bottom w:val="nil"/>
              <w:right w:val="single" w:sz="8" w:space="0" w:color="auto"/>
            </w:tcBorders>
            <w:shd w:val="clear" w:color="000000" w:fill="BDD7EE"/>
            <w:noWrap/>
            <w:vAlign w:val="bottom"/>
            <w:hideMark/>
          </w:tcPr>
          <w:p w14:paraId="132E4912"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2015/16-2019/20</w:t>
            </w:r>
          </w:p>
        </w:tc>
      </w:tr>
      <w:tr w:rsidR="00DB316A" w:rsidRPr="00C52A9D" w14:paraId="33FE6F94" w14:textId="77777777" w:rsidTr="00F9255A">
        <w:trPr>
          <w:trHeight w:val="288"/>
        </w:trPr>
        <w:tc>
          <w:tcPr>
            <w:tcW w:w="2584" w:type="dxa"/>
            <w:tcBorders>
              <w:top w:val="nil"/>
              <w:left w:val="single" w:sz="8" w:space="0" w:color="auto"/>
              <w:bottom w:val="nil"/>
              <w:right w:val="nil"/>
            </w:tcBorders>
            <w:shd w:val="clear" w:color="000000" w:fill="F2F2F2"/>
            <w:noWrap/>
            <w:vAlign w:val="bottom"/>
            <w:hideMark/>
          </w:tcPr>
          <w:p w14:paraId="6A7EB033" w14:textId="77777777" w:rsidR="00DB316A" w:rsidRPr="00C52A9D" w:rsidRDefault="00DB316A" w:rsidP="00F9255A">
            <w:pPr>
              <w:spacing w:after="0" w:line="240" w:lineRule="auto"/>
              <w:rPr>
                <w:rFonts w:ascii="Calibri Light" w:eastAsia="Times New Roman" w:hAnsi="Calibri Light" w:cs="Calibri Light"/>
                <w:b/>
                <w:bCs/>
                <w:color w:val="000000"/>
                <w:lang w:eastAsia="en-GB"/>
              </w:rPr>
            </w:pPr>
            <w:r w:rsidRPr="00C52A9D">
              <w:rPr>
                <w:rFonts w:ascii="Calibri Light" w:eastAsia="Times New Roman" w:hAnsi="Calibri Light" w:cs="Calibri Light"/>
                <w:b/>
                <w:bCs/>
                <w:color w:val="000000"/>
                <w:lang w:eastAsia="en-GB"/>
              </w:rPr>
              <w:t>Overseas branch campus</w:t>
            </w:r>
          </w:p>
        </w:tc>
        <w:tc>
          <w:tcPr>
            <w:tcW w:w="965" w:type="dxa"/>
            <w:tcBorders>
              <w:top w:val="nil"/>
              <w:left w:val="nil"/>
              <w:bottom w:val="nil"/>
              <w:right w:val="nil"/>
            </w:tcBorders>
            <w:shd w:val="clear" w:color="000000" w:fill="F2F2F2"/>
            <w:noWrap/>
            <w:vAlign w:val="bottom"/>
            <w:hideMark/>
          </w:tcPr>
          <w:p w14:paraId="193A963B"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nil"/>
              <w:left w:val="nil"/>
              <w:bottom w:val="nil"/>
              <w:right w:val="nil"/>
            </w:tcBorders>
            <w:shd w:val="clear" w:color="000000" w:fill="F2F2F2"/>
            <w:noWrap/>
            <w:vAlign w:val="bottom"/>
            <w:hideMark/>
          </w:tcPr>
          <w:p w14:paraId="77A21904"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nil"/>
              <w:left w:val="nil"/>
              <w:bottom w:val="nil"/>
              <w:right w:val="nil"/>
            </w:tcBorders>
            <w:shd w:val="clear" w:color="000000" w:fill="F2F2F2"/>
            <w:noWrap/>
            <w:vAlign w:val="bottom"/>
            <w:hideMark/>
          </w:tcPr>
          <w:p w14:paraId="20A6A883"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nil"/>
              <w:left w:val="nil"/>
              <w:bottom w:val="nil"/>
              <w:right w:val="nil"/>
            </w:tcBorders>
            <w:shd w:val="clear" w:color="000000" w:fill="F2F2F2"/>
            <w:noWrap/>
            <w:vAlign w:val="bottom"/>
            <w:hideMark/>
          </w:tcPr>
          <w:p w14:paraId="349B7F62"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nil"/>
              <w:left w:val="nil"/>
              <w:bottom w:val="nil"/>
              <w:right w:val="nil"/>
            </w:tcBorders>
            <w:shd w:val="clear" w:color="000000" w:fill="F2F2F2"/>
            <w:noWrap/>
            <w:vAlign w:val="bottom"/>
            <w:hideMark/>
          </w:tcPr>
          <w:p w14:paraId="4C72AB9E"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nil"/>
              <w:left w:val="nil"/>
              <w:bottom w:val="nil"/>
              <w:right w:val="nil"/>
            </w:tcBorders>
            <w:shd w:val="clear" w:color="000000" w:fill="F2F2F2"/>
            <w:noWrap/>
            <w:vAlign w:val="bottom"/>
            <w:hideMark/>
          </w:tcPr>
          <w:p w14:paraId="662E9E25"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1674" w:type="dxa"/>
            <w:tcBorders>
              <w:top w:val="nil"/>
              <w:left w:val="single" w:sz="4" w:space="0" w:color="auto"/>
              <w:bottom w:val="nil"/>
              <w:right w:val="single" w:sz="8" w:space="0" w:color="auto"/>
            </w:tcBorders>
            <w:shd w:val="clear" w:color="000000" w:fill="F2F2F2"/>
            <w:noWrap/>
            <w:vAlign w:val="bottom"/>
            <w:hideMark/>
          </w:tcPr>
          <w:p w14:paraId="2575D1CD"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r>
      <w:tr w:rsidR="00DB316A" w:rsidRPr="00C52A9D" w14:paraId="072202A6" w14:textId="77777777" w:rsidTr="00F9255A">
        <w:trPr>
          <w:trHeight w:val="288"/>
        </w:trPr>
        <w:tc>
          <w:tcPr>
            <w:tcW w:w="2584" w:type="dxa"/>
            <w:tcBorders>
              <w:top w:val="nil"/>
              <w:left w:val="single" w:sz="8" w:space="0" w:color="auto"/>
              <w:bottom w:val="nil"/>
              <w:right w:val="nil"/>
            </w:tcBorders>
            <w:shd w:val="clear" w:color="000000" w:fill="F2F2F2"/>
            <w:noWrap/>
            <w:vAlign w:val="bottom"/>
            <w:hideMark/>
          </w:tcPr>
          <w:p w14:paraId="430B4CE5" w14:textId="77777777" w:rsidR="00DB316A" w:rsidRPr="00C52A9D" w:rsidRDefault="00DB316A"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European Union</w:t>
            </w:r>
          </w:p>
        </w:tc>
        <w:tc>
          <w:tcPr>
            <w:tcW w:w="965" w:type="dxa"/>
            <w:tcBorders>
              <w:top w:val="nil"/>
              <w:left w:val="nil"/>
              <w:bottom w:val="nil"/>
              <w:right w:val="nil"/>
            </w:tcBorders>
            <w:shd w:val="clear" w:color="000000" w:fill="F2F2F2"/>
            <w:noWrap/>
            <w:vAlign w:val="bottom"/>
            <w:hideMark/>
          </w:tcPr>
          <w:p w14:paraId="2391B5A6"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965" w:type="dxa"/>
            <w:tcBorders>
              <w:top w:val="nil"/>
              <w:left w:val="nil"/>
              <w:bottom w:val="nil"/>
              <w:right w:val="nil"/>
            </w:tcBorders>
            <w:shd w:val="clear" w:color="000000" w:fill="F2F2F2"/>
            <w:noWrap/>
            <w:vAlign w:val="bottom"/>
            <w:hideMark/>
          </w:tcPr>
          <w:p w14:paraId="27F26D95"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965" w:type="dxa"/>
            <w:tcBorders>
              <w:top w:val="nil"/>
              <w:left w:val="nil"/>
              <w:bottom w:val="nil"/>
              <w:right w:val="nil"/>
            </w:tcBorders>
            <w:shd w:val="clear" w:color="000000" w:fill="F2F2F2"/>
            <w:noWrap/>
            <w:vAlign w:val="bottom"/>
            <w:hideMark/>
          </w:tcPr>
          <w:p w14:paraId="1A62C386"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965" w:type="dxa"/>
            <w:tcBorders>
              <w:top w:val="nil"/>
              <w:left w:val="nil"/>
              <w:bottom w:val="nil"/>
              <w:right w:val="nil"/>
            </w:tcBorders>
            <w:shd w:val="clear" w:color="000000" w:fill="F2F2F2"/>
            <w:noWrap/>
            <w:vAlign w:val="bottom"/>
            <w:hideMark/>
          </w:tcPr>
          <w:p w14:paraId="59F3AFB7"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965" w:type="dxa"/>
            <w:tcBorders>
              <w:top w:val="nil"/>
              <w:left w:val="nil"/>
              <w:bottom w:val="nil"/>
              <w:right w:val="nil"/>
            </w:tcBorders>
            <w:shd w:val="clear" w:color="000000" w:fill="F2F2F2"/>
            <w:noWrap/>
            <w:vAlign w:val="bottom"/>
            <w:hideMark/>
          </w:tcPr>
          <w:p w14:paraId="74A8D69F"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965" w:type="dxa"/>
            <w:tcBorders>
              <w:top w:val="nil"/>
              <w:left w:val="nil"/>
              <w:bottom w:val="nil"/>
              <w:right w:val="nil"/>
            </w:tcBorders>
            <w:shd w:val="clear" w:color="000000" w:fill="F2F2F2"/>
            <w:noWrap/>
            <w:vAlign w:val="bottom"/>
            <w:hideMark/>
          </w:tcPr>
          <w:p w14:paraId="0C3E751F"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-22</w:t>
            </w:r>
          </w:p>
        </w:tc>
        <w:tc>
          <w:tcPr>
            <w:tcW w:w="1674" w:type="dxa"/>
            <w:tcBorders>
              <w:top w:val="nil"/>
              <w:left w:val="single" w:sz="4" w:space="0" w:color="auto"/>
              <w:bottom w:val="nil"/>
              <w:right w:val="single" w:sz="8" w:space="0" w:color="auto"/>
            </w:tcBorders>
            <w:shd w:val="clear" w:color="000000" w:fill="F2F2F2"/>
            <w:noWrap/>
            <w:vAlign w:val="bottom"/>
            <w:hideMark/>
          </w:tcPr>
          <w:p w14:paraId="531FD457"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r>
      <w:tr w:rsidR="00DB316A" w:rsidRPr="00C52A9D" w14:paraId="0D28F7EB" w14:textId="77777777" w:rsidTr="00F9255A">
        <w:trPr>
          <w:trHeight w:val="288"/>
        </w:trPr>
        <w:tc>
          <w:tcPr>
            <w:tcW w:w="2584" w:type="dxa"/>
            <w:tcBorders>
              <w:top w:val="nil"/>
              <w:left w:val="single" w:sz="8" w:space="0" w:color="auto"/>
              <w:bottom w:val="nil"/>
              <w:right w:val="nil"/>
            </w:tcBorders>
            <w:shd w:val="clear" w:color="000000" w:fill="F2F2F2"/>
            <w:noWrap/>
            <w:vAlign w:val="bottom"/>
            <w:hideMark/>
          </w:tcPr>
          <w:p w14:paraId="3ECC4324" w14:textId="77777777" w:rsidR="00DB316A" w:rsidRPr="00C52A9D" w:rsidRDefault="00DB316A"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Rest of world</w:t>
            </w:r>
          </w:p>
        </w:tc>
        <w:tc>
          <w:tcPr>
            <w:tcW w:w="965" w:type="dxa"/>
            <w:tcBorders>
              <w:top w:val="nil"/>
              <w:left w:val="nil"/>
              <w:bottom w:val="nil"/>
              <w:right w:val="nil"/>
            </w:tcBorders>
            <w:shd w:val="clear" w:color="000000" w:fill="F2F2F2"/>
            <w:noWrap/>
            <w:vAlign w:val="bottom"/>
            <w:hideMark/>
          </w:tcPr>
          <w:p w14:paraId="3D3895B1"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9</w:t>
            </w:r>
          </w:p>
        </w:tc>
        <w:tc>
          <w:tcPr>
            <w:tcW w:w="965" w:type="dxa"/>
            <w:tcBorders>
              <w:top w:val="nil"/>
              <w:left w:val="nil"/>
              <w:bottom w:val="nil"/>
              <w:right w:val="nil"/>
            </w:tcBorders>
            <w:shd w:val="clear" w:color="000000" w:fill="F2F2F2"/>
            <w:noWrap/>
            <w:vAlign w:val="bottom"/>
            <w:hideMark/>
          </w:tcPr>
          <w:p w14:paraId="3ED38A6E"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w:t>
            </w:r>
          </w:p>
        </w:tc>
        <w:tc>
          <w:tcPr>
            <w:tcW w:w="965" w:type="dxa"/>
            <w:tcBorders>
              <w:top w:val="nil"/>
              <w:left w:val="nil"/>
              <w:bottom w:val="nil"/>
              <w:right w:val="nil"/>
            </w:tcBorders>
            <w:shd w:val="clear" w:color="000000" w:fill="F2F2F2"/>
            <w:noWrap/>
            <w:vAlign w:val="bottom"/>
            <w:hideMark/>
          </w:tcPr>
          <w:p w14:paraId="547283B6"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8</w:t>
            </w:r>
          </w:p>
        </w:tc>
        <w:tc>
          <w:tcPr>
            <w:tcW w:w="965" w:type="dxa"/>
            <w:tcBorders>
              <w:top w:val="nil"/>
              <w:left w:val="nil"/>
              <w:bottom w:val="nil"/>
              <w:right w:val="nil"/>
            </w:tcBorders>
            <w:shd w:val="clear" w:color="000000" w:fill="F2F2F2"/>
            <w:noWrap/>
            <w:vAlign w:val="bottom"/>
            <w:hideMark/>
          </w:tcPr>
          <w:p w14:paraId="4833D095"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7</w:t>
            </w:r>
          </w:p>
        </w:tc>
        <w:tc>
          <w:tcPr>
            <w:tcW w:w="965" w:type="dxa"/>
            <w:tcBorders>
              <w:top w:val="nil"/>
              <w:left w:val="nil"/>
              <w:bottom w:val="nil"/>
              <w:right w:val="nil"/>
            </w:tcBorders>
            <w:shd w:val="clear" w:color="000000" w:fill="F2F2F2"/>
            <w:noWrap/>
            <w:vAlign w:val="bottom"/>
            <w:hideMark/>
          </w:tcPr>
          <w:p w14:paraId="06D5BA73"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w:t>
            </w:r>
          </w:p>
        </w:tc>
        <w:tc>
          <w:tcPr>
            <w:tcW w:w="965" w:type="dxa"/>
            <w:tcBorders>
              <w:top w:val="nil"/>
              <w:left w:val="nil"/>
              <w:bottom w:val="nil"/>
              <w:right w:val="nil"/>
            </w:tcBorders>
            <w:shd w:val="clear" w:color="000000" w:fill="F2F2F2"/>
            <w:noWrap/>
            <w:vAlign w:val="bottom"/>
            <w:hideMark/>
          </w:tcPr>
          <w:p w14:paraId="505E8AD8"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-10</w:t>
            </w:r>
          </w:p>
        </w:tc>
        <w:tc>
          <w:tcPr>
            <w:tcW w:w="1674" w:type="dxa"/>
            <w:tcBorders>
              <w:top w:val="nil"/>
              <w:left w:val="single" w:sz="4" w:space="0" w:color="auto"/>
              <w:bottom w:val="nil"/>
              <w:right w:val="single" w:sz="8" w:space="0" w:color="auto"/>
            </w:tcBorders>
            <w:shd w:val="clear" w:color="000000" w:fill="F2F2F2"/>
            <w:noWrap/>
            <w:vAlign w:val="bottom"/>
            <w:hideMark/>
          </w:tcPr>
          <w:p w14:paraId="56015BBB"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36</w:t>
            </w:r>
          </w:p>
        </w:tc>
      </w:tr>
      <w:tr w:rsidR="00DB316A" w:rsidRPr="00C52A9D" w14:paraId="301CF07E" w14:textId="77777777" w:rsidTr="00F9255A">
        <w:trPr>
          <w:trHeight w:val="288"/>
        </w:trPr>
        <w:tc>
          <w:tcPr>
            <w:tcW w:w="2584" w:type="dxa"/>
            <w:tcBorders>
              <w:top w:val="nil"/>
              <w:left w:val="single" w:sz="8" w:space="0" w:color="auto"/>
              <w:bottom w:val="nil"/>
              <w:right w:val="nil"/>
            </w:tcBorders>
            <w:shd w:val="clear" w:color="000000" w:fill="F2F2F2"/>
            <w:noWrap/>
            <w:vAlign w:val="bottom"/>
            <w:hideMark/>
          </w:tcPr>
          <w:p w14:paraId="77BBA3D2" w14:textId="77777777" w:rsidR="00DB316A" w:rsidRPr="00C52A9D" w:rsidRDefault="00DB316A"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Global total</w:t>
            </w:r>
          </w:p>
        </w:tc>
        <w:tc>
          <w:tcPr>
            <w:tcW w:w="965" w:type="dxa"/>
            <w:tcBorders>
              <w:top w:val="nil"/>
              <w:left w:val="nil"/>
              <w:bottom w:val="nil"/>
              <w:right w:val="nil"/>
            </w:tcBorders>
            <w:shd w:val="clear" w:color="000000" w:fill="F2F2F2"/>
            <w:noWrap/>
            <w:vAlign w:val="bottom"/>
            <w:hideMark/>
          </w:tcPr>
          <w:p w14:paraId="7488AAFE"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9</w:t>
            </w:r>
          </w:p>
        </w:tc>
        <w:tc>
          <w:tcPr>
            <w:tcW w:w="965" w:type="dxa"/>
            <w:tcBorders>
              <w:top w:val="nil"/>
              <w:left w:val="nil"/>
              <w:bottom w:val="nil"/>
              <w:right w:val="nil"/>
            </w:tcBorders>
            <w:shd w:val="clear" w:color="000000" w:fill="F2F2F2"/>
            <w:noWrap/>
            <w:vAlign w:val="bottom"/>
            <w:hideMark/>
          </w:tcPr>
          <w:p w14:paraId="3A14CE48"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w:t>
            </w:r>
          </w:p>
        </w:tc>
        <w:tc>
          <w:tcPr>
            <w:tcW w:w="965" w:type="dxa"/>
            <w:tcBorders>
              <w:top w:val="nil"/>
              <w:left w:val="nil"/>
              <w:bottom w:val="nil"/>
              <w:right w:val="nil"/>
            </w:tcBorders>
            <w:shd w:val="clear" w:color="000000" w:fill="F2F2F2"/>
            <w:noWrap/>
            <w:vAlign w:val="bottom"/>
            <w:hideMark/>
          </w:tcPr>
          <w:p w14:paraId="4B3A6B4F"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8</w:t>
            </w:r>
          </w:p>
        </w:tc>
        <w:tc>
          <w:tcPr>
            <w:tcW w:w="965" w:type="dxa"/>
            <w:tcBorders>
              <w:top w:val="nil"/>
              <w:left w:val="nil"/>
              <w:bottom w:val="nil"/>
              <w:right w:val="nil"/>
            </w:tcBorders>
            <w:shd w:val="clear" w:color="000000" w:fill="F2F2F2"/>
            <w:noWrap/>
            <w:vAlign w:val="bottom"/>
            <w:hideMark/>
          </w:tcPr>
          <w:p w14:paraId="1B3396A9"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7</w:t>
            </w:r>
          </w:p>
        </w:tc>
        <w:tc>
          <w:tcPr>
            <w:tcW w:w="965" w:type="dxa"/>
            <w:tcBorders>
              <w:top w:val="nil"/>
              <w:left w:val="nil"/>
              <w:bottom w:val="nil"/>
              <w:right w:val="nil"/>
            </w:tcBorders>
            <w:shd w:val="clear" w:color="000000" w:fill="F2F2F2"/>
            <w:noWrap/>
            <w:vAlign w:val="bottom"/>
            <w:hideMark/>
          </w:tcPr>
          <w:p w14:paraId="25278685"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w:t>
            </w:r>
          </w:p>
        </w:tc>
        <w:tc>
          <w:tcPr>
            <w:tcW w:w="965" w:type="dxa"/>
            <w:tcBorders>
              <w:top w:val="nil"/>
              <w:left w:val="nil"/>
              <w:bottom w:val="nil"/>
              <w:right w:val="nil"/>
            </w:tcBorders>
            <w:shd w:val="clear" w:color="000000" w:fill="F2F2F2"/>
            <w:noWrap/>
            <w:vAlign w:val="bottom"/>
            <w:hideMark/>
          </w:tcPr>
          <w:p w14:paraId="78606DD6"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-11</w:t>
            </w:r>
          </w:p>
        </w:tc>
        <w:tc>
          <w:tcPr>
            <w:tcW w:w="1674" w:type="dxa"/>
            <w:tcBorders>
              <w:top w:val="nil"/>
              <w:left w:val="single" w:sz="4" w:space="0" w:color="auto"/>
              <w:bottom w:val="nil"/>
              <w:right w:val="single" w:sz="8" w:space="0" w:color="auto"/>
            </w:tcBorders>
            <w:shd w:val="clear" w:color="000000" w:fill="F2F2F2"/>
            <w:noWrap/>
            <w:vAlign w:val="bottom"/>
            <w:hideMark/>
          </w:tcPr>
          <w:p w14:paraId="26629C8F"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26</w:t>
            </w:r>
          </w:p>
        </w:tc>
      </w:tr>
      <w:tr w:rsidR="00DB316A" w:rsidRPr="00C52A9D" w14:paraId="7E682963" w14:textId="77777777" w:rsidTr="00F9255A">
        <w:trPr>
          <w:trHeight w:val="288"/>
        </w:trPr>
        <w:tc>
          <w:tcPr>
            <w:tcW w:w="2584" w:type="dxa"/>
            <w:tcBorders>
              <w:top w:val="single" w:sz="4" w:space="0" w:color="auto"/>
              <w:left w:val="single" w:sz="8" w:space="0" w:color="auto"/>
              <w:bottom w:val="nil"/>
              <w:right w:val="nil"/>
            </w:tcBorders>
            <w:shd w:val="clear" w:color="000000" w:fill="F2F2F2"/>
            <w:noWrap/>
            <w:vAlign w:val="bottom"/>
            <w:hideMark/>
          </w:tcPr>
          <w:p w14:paraId="6142E3BE" w14:textId="77777777" w:rsidR="00DB316A" w:rsidRPr="00C52A9D" w:rsidRDefault="00DB316A" w:rsidP="00F9255A">
            <w:pPr>
              <w:spacing w:after="0" w:line="240" w:lineRule="auto"/>
              <w:rPr>
                <w:rFonts w:ascii="Calibri Light" w:eastAsia="Times New Roman" w:hAnsi="Calibri Light" w:cs="Calibri Light"/>
                <w:b/>
                <w:bCs/>
                <w:color w:val="000000"/>
                <w:lang w:eastAsia="en-GB"/>
              </w:rPr>
            </w:pPr>
            <w:r w:rsidRPr="00C52A9D">
              <w:rPr>
                <w:rFonts w:ascii="Calibri Light" w:eastAsia="Times New Roman" w:hAnsi="Calibri Light" w:cs="Calibri Light"/>
                <w:b/>
                <w:bCs/>
                <w:color w:val="000000"/>
                <w:lang w:eastAsia="en-GB"/>
              </w:rPr>
              <w:t>Overseas distance learning</w:t>
            </w:r>
          </w:p>
        </w:tc>
        <w:tc>
          <w:tcPr>
            <w:tcW w:w="965" w:type="dxa"/>
            <w:tcBorders>
              <w:top w:val="single" w:sz="4" w:space="0" w:color="auto"/>
              <w:left w:val="nil"/>
              <w:bottom w:val="nil"/>
              <w:right w:val="nil"/>
            </w:tcBorders>
            <w:shd w:val="clear" w:color="000000" w:fill="F2F2F2"/>
            <w:noWrap/>
            <w:vAlign w:val="bottom"/>
            <w:hideMark/>
          </w:tcPr>
          <w:p w14:paraId="5E27E549"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single" w:sz="4" w:space="0" w:color="auto"/>
              <w:left w:val="nil"/>
              <w:bottom w:val="nil"/>
              <w:right w:val="nil"/>
            </w:tcBorders>
            <w:shd w:val="clear" w:color="000000" w:fill="F2F2F2"/>
            <w:noWrap/>
            <w:vAlign w:val="bottom"/>
            <w:hideMark/>
          </w:tcPr>
          <w:p w14:paraId="3B9405A0"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single" w:sz="4" w:space="0" w:color="auto"/>
              <w:left w:val="nil"/>
              <w:bottom w:val="nil"/>
              <w:right w:val="nil"/>
            </w:tcBorders>
            <w:shd w:val="clear" w:color="000000" w:fill="F2F2F2"/>
            <w:noWrap/>
            <w:vAlign w:val="bottom"/>
            <w:hideMark/>
          </w:tcPr>
          <w:p w14:paraId="38A89860"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single" w:sz="4" w:space="0" w:color="auto"/>
              <w:left w:val="nil"/>
              <w:bottom w:val="nil"/>
              <w:right w:val="nil"/>
            </w:tcBorders>
            <w:shd w:val="clear" w:color="000000" w:fill="F2F2F2"/>
            <w:noWrap/>
            <w:vAlign w:val="bottom"/>
            <w:hideMark/>
          </w:tcPr>
          <w:p w14:paraId="36EA7F21"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single" w:sz="4" w:space="0" w:color="auto"/>
              <w:left w:val="nil"/>
              <w:bottom w:val="nil"/>
              <w:right w:val="nil"/>
            </w:tcBorders>
            <w:shd w:val="clear" w:color="000000" w:fill="F2F2F2"/>
            <w:noWrap/>
            <w:vAlign w:val="bottom"/>
            <w:hideMark/>
          </w:tcPr>
          <w:p w14:paraId="5D1BF02D"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single" w:sz="4" w:space="0" w:color="auto"/>
              <w:left w:val="nil"/>
              <w:bottom w:val="nil"/>
              <w:right w:val="nil"/>
            </w:tcBorders>
            <w:shd w:val="clear" w:color="000000" w:fill="F2F2F2"/>
            <w:noWrap/>
            <w:vAlign w:val="bottom"/>
            <w:hideMark/>
          </w:tcPr>
          <w:p w14:paraId="13D9CA5D"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1674" w:type="dxa"/>
            <w:tcBorders>
              <w:top w:val="single" w:sz="4" w:space="0" w:color="auto"/>
              <w:left w:val="single" w:sz="4" w:space="0" w:color="auto"/>
              <w:bottom w:val="nil"/>
              <w:right w:val="single" w:sz="8" w:space="0" w:color="auto"/>
            </w:tcBorders>
            <w:shd w:val="clear" w:color="000000" w:fill="F2F2F2"/>
            <w:noWrap/>
            <w:vAlign w:val="bottom"/>
            <w:hideMark/>
          </w:tcPr>
          <w:p w14:paraId="2535075C"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r>
      <w:tr w:rsidR="00DB316A" w:rsidRPr="00C52A9D" w14:paraId="07EB3592" w14:textId="77777777" w:rsidTr="00F9255A">
        <w:trPr>
          <w:trHeight w:val="288"/>
        </w:trPr>
        <w:tc>
          <w:tcPr>
            <w:tcW w:w="2584" w:type="dxa"/>
            <w:tcBorders>
              <w:top w:val="nil"/>
              <w:left w:val="single" w:sz="8" w:space="0" w:color="auto"/>
              <w:bottom w:val="nil"/>
              <w:right w:val="nil"/>
            </w:tcBorders>
            <w:shd w:val="clear" w:color="000000" w:fill="F2F2F2"/>
            <w:noWrap/>
            <w:vAlign w:val="bottom"/>
            <w:hideMark/>
          </w:tcPr>
          <w:p w14:paraId="7D08BA6A" w14:textId="77777777" w:rsidR="00DB316A" w:rsidRPr="00C52A9D" w:rsidRDefault="00DB316A"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European Union</w:t>
            </w:r>
          </w:p>
        </w:tc>
        <w:tc>
          <w:tcPr>
            <w:tcW w:w="965" w:type="dxa"/>
            <w:tcBorders>
              <w:top w:val="nil"/>
              <w:left w:val="nil"/>
              <w:bottom w:val="nil"/>
              <w:right w:val="nil"/>
            </w:tcBorders>
            <w:shd w:val="clear" w:color="000000" w:fill="F2F2F2"/>
            <w:noWrap/>
            <w:vAlign w:val="bottom"/>
            <w:hideMark/>
          </w:tcPr>
          <w:p w14:paraId="52E473A9"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w:t>
            </w:r>
          </w:p>
        </w:tc>
        <w:tc>
          <w:tcPr>
            <w:tcW w:w="965" w:type="dxa"/>
            <w:tcBorders>
              <w:top w:val="nil"/>
              <w:left w:val="nil"/>
              <w:bottom w:val="nil"/>
              <w:right w:val="nil"/>
            </w:tcBorders>
            <w:shd w:val="clear" w:color="000000" w:fill="F2F2F2"/>
            <w:noWrap/>
            <w:vAlign w:val="bottom"/>
            <w:hideMark/>
          </w:tcPr>
          <w:p w14:paraId="2135FDAD"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w:t>
            </w:r>
          </w:p>
        </w:tc>
        <w:tc>
          <w:tcPr>
            <w:tcW w:w="965" w:type="dxa"/>
            <w:tcBorders>
              <w:top w:val="nil"/>
              <w:left w:val="nil"/>
              <w:bottom w:val="nil"/>
              <w:right w:val="nil"/>
            </w:tcBorders>
            <w:shd w:val="clear" w:color="000000" w:fill="F2F2F2"/>
            <w:noWrap/>
            <w:vAlign w:val="bottom"/>
            <w:hideMark/>
          </w:tcPr>
          <w:p w14:paraId="2F51A32D"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9</w:t>
            </w:r>
          </w:p>
        </w:tc>
        <w:tc>
          <w:tcPr>
            <w:tcW w:w="965" w:type="dxa"/>
            <w:tcBorders>
              <w:top w:val="nil"/>
              <w:left w:val="nil"/>
              <w:bottom w:val="nil"/>
              <w:right w:val="nil"/>
            </w:tcBorders>
            <w:shd w:val="clear" w:color="000000" w:fill="F2F2F2"/>
            <w:noWrap/>
            <w:vAlign w:val="bottom"/>
            <w:hideMark/>
          </w:tcPr>
          <w:p w14:paraId="69EDBA34"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17</w:t>
            </w:r>
          </w:p>
        </w:tc>
        <w:tc>
          <w:tcPr>
            <w:tcW w:w="965" w:type="dxa"/>
            <w:tcBorders>
              <w:top w:val="nil"/>
              <w:left w:val="nil"/>
              <w:bottom w:val="nil"/>
              <w:right w:val="nil"/>
            </w:tcBorders>
            <w:shd w:val="clear" w:color="000000" w:fill="F2F2F2"/>
            <w:noWrap/>
            <w:vAlign w:val="bottom"/>
            <w:hideMark/>
          </w:tcPr>
          <w:p w14:paraId="600D5A52"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7</w:t>
            </w:r>
          </w:p>
        </w:tc>
        <w:tc>
          <w:tcPr>
            <w:tcW w:w="965" w:type="dxa"/>
            <w:tcBorders>
              <w:top w:val="nil"/>
              <w:left w:val="nil"/>
              <w:bottom w:val="nil"/>
              <w:right w:val="nil"/>
            </w:tcBorders>
            <w:shd w:val="clear" w:color="000000" w:fill="F2F2F2"/>
            <w:noWrap/>
            <w:vAlign w:val="bottom"/>
            <w:hideMark/>
          </w:tcPr>
          <w:p w14:paraId="7B4ED82C"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45</w:t>
            </w:r>
          </w:p>
        </w:tc>
        <w:tc>
          <w:tcPr>
            <w:tcW w:w="1674" w:type="dxa"/>
            <w:tcBorders>
              <w:top w:val="nil"/>
              <w:left w:val="single" w:sz="4" w:space="0" w:color="auto"/>
              <w:bottom w:val="nil"/>
              <w:right w:val="single" w:sz="8" w:space="0" w:color="auto"/>
            </w:tcBorders>
            <w:shd w:val="clear" w:color="000000" w:fill="F2F2F2"/>
            <w:noWrap/>
            <w:vAlign w:val="bottom"/>
            <w:hideMark/>
          </w:tcPr>
          <w:p w14:paraId="1AC80EC4"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36</w:t>
            </w:r>
          </w:p>
        </w:tc>
      </w:tr>
      <w:tr w:rsidR="00DB316A" w:rsidRPr="00C52A9D" w14:paraId="7B8AE9E8" w14:textId="77777777" w:rsidTr="00F9255A">
        <w:trPr>
          <w:trHeight w:val="288"/>
        </w:trPr>
        <w:tc>
          <w:tcPr>
            <w:tcW w:w="2584" w:type="dxa"/>
            <w:tcBorders>
              <w:top w:val="nil"/>
              <w:left w:val="single" w:sz="8" w:space="0" w:color="auto"/>
              <w:bottom w:val="nil"/>
              <w:right w:val="nil"/>
            </w:tcBorders>
            <w:shd w:val="clear" w:color="000000" w:fill="F2F2F2"/>
            <w:noWrap/>
            <w:vAlign w:val="bottom"/>
            <w:hideMark/>
          </w:tcPr>
          <w:p w14:paraId="6572D6A3" w14:textId="77777777" w:rsidR="00DB316A" w:rsidRPr="00C52A9D" w:rsidRDefault="00DB316A"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Rest of world</w:t>
            </w:r>
          </w:p>
        </w:tc>
        <w:tc>
          <w:tcPr>
            <w:tcW w:w="965" w:type="dxa"/>
            <w:tcBorders>
              <w:top w:val="nil"/>
              <w:left w:val="nil"/>
              <w:bottom w:val="nil"/>
              <w:right w:val="nil"/>
            </w:tcBorders>
            <w:shd w:val="clear" w:color="000000" w:fill="F2F2F2"/>
            <w:noWrap/>
            <w:vAlign w:val="bottom"/>
            <w:hideMark/>
          </w:tcPr>
          <w:p w14:paraId="01A118B0"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-6</w:t>
            </w:r>
          </w:p>
        </w:tc>
        <w:tc>
          <w:tcPr>
            <w:tcW w:w="965" w:type="dxa"/>
            <w:tcBorders>
              <w:top w:val="nil"/>
              <w:left w:val="nil"/>
              <w:bottom w:val="nil"/>
              <w:right w:val="nil"/>
            </w:tcBorders>
            <w:shd w:val="clear" w:color="000000" w:fill="F2F2F2"/>
            <w:noWrap/>
            <w:vAlign w:val="bottom"/>
            <w:hideMark/>
          </w:tcPr>
          <w:p w14:paraId="1C3CD9E0"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w:t>
            </w:r>
          </w:p>
        </w:tc>
        <w:tc>
          <w:tcPr>
            <w:tcW w:w="965" w:type="dxa"/>
            <w:tcBorders>
              <w:top w:val="nil"/>
              <w:left w:val="nil"/>
              <w:bottom w:val="nil"/>
              <w:right w:val="nil"/>
            </w:tcBorders>
            <w:shd w:val="clear" w:color="000000" w:fill="F2F2F2"/>
            <w:noWrap/>
            <w:vAlign w:val="bottom"/>
            <w:hideMark/>
          </w:tcPr>
          <w:p w14:paraId="657F3A38"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965" w:type="dxa"/>
            <w:tcBorders>
              <w:top w:val="nil"/>
              <w:left w:val="nil"/>
              <w:bottom w:val="nil"/>
              <w:right w:val="nil"/>
            </w:tcBorders>
            <w:shd w:val="clear" w:color="000000" w:fill="F2F2F2"/>
            <w:noWrap/>
            <w:vAlign w:val="bottom"/>
            <w:hideMark/>
          </w:tcPr>
          <w:p w14:paraId="5CE96580"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w:t>
            </w:r>
          </w:p>
        </w:tc>
        <w:tc>
          <w:tcPr>
            <w:tcW w:w="965" w:type="dxa"/>
            <w:tcBorders>
              <w:top w:val="nil"/>
              <w:left w:val="nil"/>
              <w:bottom w:val="nil"/>
              <w:right w:val="nil"/>
            </w:tcBorders>
            <w:shd w:val="clear" w:color="000000" w:fill="F2F2F2"/>
            <w:noWrap/>
            <w:vAlign w:val="bottom"/>
            <w:hideMark/>
          </w:tcPr>
          <w:p w14:paraId="00E7B7EB"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w:t>
            </w:r>
          </w:p>
        </w:tc>
        <w:tc>
          <w:tcPr>
            <w:tcW w:w="965" w:type="dxa"/>
            <w:tcBorders>
              <w:top w:val="nil"/>
              <w:left w:val="nil"/>
              <w:bottom w:val="nil"/>
              <w:right w:val="nil"/>
            </w:tcBorders>
            <w:shd w:val="clear" w:color="000000" w:fill="F2F2F2"/>
            <w:noWrap/>
            <w:vAlign w:val="bottom"/>
            <w:hideMark/>
          </w:tcPr>
          <w:p w14:paraId="548772BC"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-9</w:t>
            </w:r>
          </w:p>
        </w:tc>
        <w:tc>
          <w:tcPr>
            <w:tcW w:w="1674" w:type="dxa"/>
            <w:tcBorders>
              <w:top w:val="nil"/>
              <w:left w:val="single" w:sz="4" w:space="0" w:color="auto"/>
              <w:bottom w:val="nil"/>
              <w:right w:val="single" w:sz="8" w:space="0" w:color="auto"/>
            </w:tcBorders>
            <w:shd w:val="clear" w:color="000000" w:fill="F2F2F2"/>
            <w:noWrap/>
            <w:vAlign w:val="bottom"/>
            <w:hideMark/>
          </w:tcPr>
          <w:p w14:paraId="6B497142"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-9</w:t>
            </w:r>
          </w:p>
        </w:tc>
      </w:tr>
      <w:tr w:rsidR="00DB316A" w:rsidRPr="00C52A9D" w14:paraId="776364A6" w14:textId="77777777" w:rsidTr="00F9255A">
        <w:trPr>
          <w:trHeight w:val="288"/>
        </w:trPr>
        <w:tc>
          <w:tcPr>
            <w:tcW w:w="2584" w:type="dxa"/>
            <w:tcBorders>
              <w:top w:val="nil"/>
              <w:left w:val="single" w:sz="8" w:space="0" w:color="auto"/>
              <w:bottom w:val="single" w:sz="4" w:space="0" w:color="auto"/>
              <w:right w:val="nil"/>
            </w:tcBorders>
            <w:shd w:val="clear" w:color="000000" w:fill="F2F2F2"/>
            <w:noWrap/>
            <w:vAlign w:val="bottom"/>
            <w:hideMark/>
          </w:tcPr>
          <w:p w14:paraId="1B3C7014" w14:textId="77777777" w:rsidR="00DB316A" w:rsidRPr="00C52A9D" w:rsidRDefault="00DB316A"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Global total</w:t>
            </w:r>
          </w:p>
        </w:tc>
        <w:tc>
          <w:tcPr>
            <w:tcW w:w="965" w:type="dxa"/>
            <w:tcBorders>
              <w:top w:val="nil"/>
              <w:left w:val="nil"/>
              <w:bottom w:val="single" w:sz="4" w:space="0" w:color="auto"/>
              <w:right w:val="nil"/>
            </w:tcBorders>
            <w:shd w:val="clear" w:color="000000" w:fill="F2F2F2"/>
            <w:noWrap/>
            <w:vAlign w:val="bottom"/>
            <w:hideMark/>
          </w:tcPr>
          <w:p w14:paraId="78A48069"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-6</w:t>
            </w:r>
          </w:p>
        </w:tc>
        <w:tc>
          <w:tcPr>
            <w:tcW w:w="965" w:type="dxa"/>
            <w:tcBorders>
              <w:top w:val="nil"/>
              <w:left w:val="nil"/>
              <w:bottom w:val="single" w:sz="4" w:space="0" w:color="auto"/>
              <w:right w:val="nil"/>
            </w:tcBorders>
            <w:shd w:val="clear" w:color="000000" w:fill="F2F2F2"/>
            <w:noWrap/>
            <w:vAlign w:val="bottom"/>
            <w:hideMark/>
          </w:tcPr>
          <w:p w14:paraId="59DF317B"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w:t>
            </w:r>
          </w:p>
        </w:tc>
        <w:tc>
          <w:tcPr>
            <w:tcW w:w="965" w:type="dxa"/>
            <w:tcBorders>
              <w:top w:val="nil"/>
              <w:left w:val="nil"/>
              <w:bottom w:val="single" w:sz="4" w:space="0" w:color="auto"/>
              <w:right w:val="nil"/>
            </w:tcBorders>
            <w:shd w:val="clear" w:color="000000" w:fill="F2F2F2"/>
            <w:noWrap/>
            <w:vAlign w:val="bottom"/>
            <w:hideMark/>
          </w:tcPr>
          <w:p w14:paraId="627A26E7"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w:t>
            </w:r>
          </w:p>
        </w:tc>
        <w:tc>
          <w:tcPr>
            <w:tcW w:w="965" w:type="dxa"/>
            <w:tcBorders>
              <w:top w:val="nil"/>
              <w:left w:val="nil"/>
              <w:bottom w:val="single" w:sz="4" w:space="0" w:color="auto"/>
              <w:right w:val="nil"/>
            </w:tcBorders>
            <w:shd w:val="clear" w:color="000000" w:fill="F2F2F2"/>
            <w:noWrap/>
            <w:vAlign w:val="bottom"/>
            <w:hideMark/>
          </w:tcPr>
          <w:p w14:paraId="0333695A"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w:t>
            </w:r>
          </w:p>
        </w:tc>
        <w:tc>
          <w:tcPr>
            <w:tcW w:w="965" w:type="dxa"/>
            <w:tcBorders>
              <w:top w:val="nil"/>
              <w:left w:val="nil"/>
              <w:bottom w:val="single" w:sz="4" w:space="0" w:color="auto"/>
              <w:right w:val="nil"/>
            </w:tcBorders>
            <w:shd w:val="clear" w:color="000000" w:fill="F2F2F2"/>
            <w:noWrap/>
            <w:vAlign w:val="bottom"/>
            <w:hideMark/>
          </w:tcPr>
          <w:p w14:paraId="665D57B7"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w:t>
            </w:r>
          </w:p>
        </w:tc>
        <w:tc>
          <w:tcPr>
            <w:tcW w:w="965" w:type="dxa"/>
            <w:tcBorders>
              <w:top w:val="nil"/>
              <w:left w:val="nil"/>
              <w:bottom w:val="single" w:sz="4" w:space="0" w:color="auto"/>
              <w:right w:val="nil"/>
            </w:tcBorders>
            <w:shd w:val="clear" w:color="000000" w:fill="F2F2F2"/>
            <w:noWrap/>
            <w:vAlign w:val="bottom"/>
            <w:hideMark/>
          </w:tcPr>
          <w:p w14:paraId="25FB0643"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9</w:t>
            </w:r>
          </w:p>
        </w:tc>
        <w:tc>
          <w:tcPr>
            <w:tcW w:w="1674" w:type="dxa"/>
            <w:tcBorders>
              <w:top w:val="nil"/>
              <w:left w:val="single" w:sz="4" w:space="0" w:color="auto"/>
              <w:bottom w:val="single" w:sz="4" w:space="0" w:color="auto"/>
              <w:right w:val="single" w:sz="8" w:space="0" w:color="auto"/>
            </w:tcBorders>
            <w:shd w:val="clear" w:color="000000" w:fill="F2F2F2"/>
            <w:noWrap/>
            <w:vAlign w:val="bottom"/>
            <w:hideMark/>
          </w:tcPr>
          <w:p w14:paraId="2A2C0FB5"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w:t>
            </w:r>
          </w:p>
        </w:tc>
      </w:tr>
      <w:tr w:rsidR="00DB316A" w:rsidRPr="00C52A9D" w14:paraId="1DA9F081" w14:textId="77777777" w:rsidTr="00F9255A">
        <w:trPr>
          <w:trHeight w:val="288"/>
        </w:trPr>
        <w:tc>
          <w:tcPr>
            <w:tcW w:w="2584" w:type="dxa"/>
            <w:tcBorders>
              <w:top w:val="nil"/>
              <w:left w:val="single" w:sz="8" w:space="0" w:color="auto"/>
              <w:bottom w:val="nil"/>
              <w:right w:val="nil"/>
            </w:tcBorders>
            <w:shd w:val="clear" w:color="000000" w:fill="F2F2F2"/>
            <w:noWrap/>
            <w:vAlign w:val="bottom"/>
            <w:hideMark/>
          </w:tcPr>
          <w:p w14:paraId="3B19229A" w14:textId="77777777" w:rsidR="00DB316A" w:rsidRPr="00C52A9D" w:rsidRDefault="00DB316A" w:rsidP="00F9255A">
            <w:pPr>
              <w:spacing w:after="0" w:line="240" w:lineRule="auto"/>
              <w:rPr>
                <w:rFonts w:ascii="Calibri Light" w:eastAsia="Times New Roman" w:hAnsi="Calibri Light" w:cs="Calibri Light"/>
                <w:b/>
                <w:bCs/>
                <w:color w:val="000000"/>
                <w:lang w:eastAsia="en-GB"/>
              </w:rPr>
            </w:pPr>
            <w:r w:rsidRPr="00C52A9D">
              <w:rPr>
                <w:rFonts w:ascii="Calibri Light" w:eastAsia="Times New Roman" w:hAnsi="Calibri Light" w:cs="Calibri Light"/>
                <w:b/>
                <w:bCs/>
                <w:color w:val="000000"/>
                <w:lang w:eastAsia="en-GB"/>
              </w:rPr>
              <w:t>Institutional partnerships</w:t>
            </w:r>
          </w:p>
        </w:tc>
        <w:tc>
          <w:tcPr>
            <w:tcW w:w="965" w:type="dxa"/>
            <w:tcBorders>
              <w:top w:val="nil"/>
              <w:left w:val="nil"/>
              <w:bottom w:val="nil"/>
              <w:right w:val="nil"/>
            </w:tcBorders>
            <w:shd w:val="clear" w:color="000000" w:fill="F2F2F2"/>
            <w:noWrap/>
            <w:vAlign w:val="bottom"/>
            <w:hideMark/>
          </w:tcPr>
          <w:p w14:paraId="4E512FCF"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nil"/>
              <w:left w:val="nil"/>
              <w:bottom w:val="nil"/>
              <w:right w:val="nil"/>
            </w:tcBorders>
            <w:shd w:val="clear" w:color="000000" w:fill="F2F2F2"/>
            <w:noWrap/>
            <w:vAlign w:val="bottom"/>
            <w:hideMark/>
          </w:tcPr>
          <w:p w14:paraId="1BA3E514"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nil"/>
              <w:left w:val="nil"/>
              <w:bottom w:val="nil"/>
              <w:right w:val="nil"/>
            </w:tcBorders>
            <w:shd w:val="clear" w:color="000000" w:fill="F2F2F2"/>
            <w:noWrap/>
            <w:vAlign w:val="bottom"/>
            <w:hideMark/>
          </w:tcPr>
          <w:p w14:paraId="7997F1AD"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nil"/>
              <w:left w:val="nil"/>
              <w:bottom w:val="nil"/>
              <w:right w:val="nil"/>
            </w:tcBorders>
            <w:shd w:val="clear" w:color="000000" w:fill="F2F2F2"/>
            <w:noWrap/>
            <w:vAlign w:val="bottom"/>
            <w:hideMark/>
          </w:tcPr>
          <w:p w14:paraId="551F69A4"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nil"/>
              <w:left w:val="nil"/>
              <w:bottom w:val="nil"/>
              <w:right w:val="nil"/>
            </w:tcBorders>
            <w:shd w:val="clear" w:color="000000" w:fill="F2F2F2"/>
            <w:noWrap/>
            <w:vAlign w:val="bottom"/>
            <w:hideMark/>
          </w:tcPr>
          <w:p w14:paraId="312492B8"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965" w:type="dxa"/>
            <w:tcBorders>
              <w:top w:val="nil"/>
              <w:left w:val="nil"/>
              <w:bottom w:val="nil"/>
              <w:right w:val="nil"/>
            </w:tcBorders>
            <w:shd w:val="clear" w:color="000000" w:fill="F2F2F2"/>
            <w:noWrap/>
            <w:vAlign w:val="bottom"/>
            <w:hideMark/>
          </w:tcPr>
          <w:p w14:paraId="631D6406"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c>
          <w:tcPr>
            <w:tcW w:w="1674" w:type="dxa"/>
            <w:tcBorders>
              <w:top w:val="nil"/>
              <w:left w:val="single" w:sz="4" w:space="0" w:color="auto"/>
              <w:bottom w:val="nil"/>
              <w:right w:val="single" w:sz="8" w:space="0" w:color="auto"/>
            </w:tcBorders>
            <w:shd w:val="clear" w:color="000000" w:fill="F2F2F2"/>
            <w:noWrap/>
            <w:vAlign w:val="bottom"/>
            <w:hideMark/>
          </w:tcPr>
          <w:p w14:paraId="79932972"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 </w:t>
            </w:r>
          </w:p>
        </w:tc>
      </w:tr>
      <w:tr w:rsidR="00DB316A" w:rsidRPr="00C52A9D" w14:paraId="73D9836C" w14:textId="77777777" w:rsidTr="00F9255A">
        <w:trPr>
          <w:trHeight w:val="288"/>
        </w:trPr>
        <w:tc>
          <w:tcPr>
            <w:tcW w:w="2584" w:type="dxa"/>
            <w:tcBorders>
              <w:top w:val="nil"/>
              <w:left w:val="single" w:sz="8" w:space="0" w:color="auto"/>
              <w:bottom w:val="nil"/>
              <w:right w:val="nil"/>
            </w:tcBorders>
            <w:shd w:val="clear" w:color="000000" w:fill="F2F2F2"/>
            <w:noWrap/>
            <w:vAlign w:val="bottom"/>
            <w:hideMark/>
          </w:tcPr>
          <w:p w14:paraId="1B7C4288" w14:textId="77777777" w:rsidR="00DB316A" w:rsidRPr="00C52A9D" w:rsidRDefault="00DB316A"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European Union</w:t>
            </w:r>
          </w:p>
        </w:tc>
        <w:tc>
          <w:tcPr>
            <w:tcW w:w="965" w:type="dxa"/>
            <w:tcBorders>
              <w:top w:val="nil"/>
              <w:left w:val="nil"/>
              <w:bottom w:val="nil"/>
              <w:right w:val="nil"/>
            </w:tcBorders>
            <w:shd w:val="clear" w:color="000000" w:fill="F2F2F2"/>
            <w:noWrap/>
            <w:vAlign w:val="bottom"/>
            <w:hideMark/>
          </w:tcPr>
          <w:p w14:paraId="091121B1"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w:t>
            </w:r>
          </w:p>
        </w:tc>
        <w:tc>
          <w:tcPr>
            <w:tcW w:w="965" w:type="dxa"/>
            <w:tcBorders>
              <w:top w:val="nil"/>
              <w:left w:val="nil"/>
              <w:bottom w:val="nil"/>
              <w:right w:val="nil"/>
            </w:tcBorders>
            <w:shd w:val="clear" w:color="000000" w:fill="F2F2F2"/>
            <w:noWrap/>
            <w:vAlign w:val="bottom"/>
            <w:hideMark/>
          </w:tcPr>
          <w:p w14:paraId="7146454F"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18</w:t>
            </w:r>
          </w:p>
        </w:tc>
        <w:tc>
          <w:tcPr>
            <w:tcW w:w="965" w:type="dxa"/>
            <w:tcBorders>
              <w:top w:val="nil"/>
              <w:left w:val="nil"/>
              <w:bottom w:val="nil"/>
              <w:right w:val="nil"/>
            </w:tcBorders>
            <w:shd w:val="clear" w:color="000000" w:fill="F2F2F2"/>
            <w:noWrap/>
            <w:vAlign w:val="bottom"/>
            <w:hideMark/>
          </w:tcPr>
          <w:p w14:paraId="2FDDE8E0"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6</w:t>
            </w:r>
          </w:p>
        </w:tc>
        <w:tc>
          <w:tcPr>
            <w:tcW w:w="965" w:type="dxa"/>
            <w:tcBorders>
              <w:top w:val="nil"/>
              <w:left w:val="nil"/>
              <w:bottom w:val="nil"/>
              <w:right w:val="nil"/>
            </w:tcBorders>
            <w:shd w:val="clear" w:color="000000" w:fill="F2F2F2"/>
            <w:noWrap/>
            <w:vAlign w:val="bottom"/>
            <w:hideMark/>
          </w:tcPr>
          <w:p w14:paraId="6F3BB8E8"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w:t>
            </w:r>
          </w:p>
        </w:tc>
        <w:tc>
          <w:tcPr>
            <w:tcW w:w="965" w:type="dxa"/>
            <w:tcBorders>
              <w:top w:val="nil"/>
              <w:left w:val="nil"/>
              <w:bottom w:val="nil"/>
              <w:right w:val="nil"/>
            </w:tcBorders>
            <w:shd w:val="clear" w:color="000000" w:fill="F2F2F2"/>
            <w:noWrap/>
            <w:vAlign w:val="bottom"/>
            <w:hideMark/>
          </w:tcPr>
          <w:p w14:paraId="61318CD2"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11</w:t>
            </w:r>
          </w:p>
        </w:tc>
        <w:tc>
          <w:tcPr>
            <w:tcW w:w="965" w:type="dxa"/>
            <w:tcBorders>
              <w:top w:val="nil"/>
              <w:left w:val="nil"/>
              <w:bottom w:val="nil"/>
              <w:right w:val="nil"/>
            </w:tcBorders>
            <w:shd w:val="clear" w:color="000000" w:fill="F2F2F2"/>
            <w:noWrap/>
            <w:vAlign w:val="bottom"/>
            <w:hideMark/>
          </w:tcPr>
          <w:p w14:paraId="44F44DE6"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-39</w:t>
            </w:r>
          </w:p>
        </w:tc>
        <w:tc>
          <w:tcPr>
            <w:tcW w:w="1674" w:type="dxa"/>
            <w:tcBorders>
              <w:top w:val="nil"/>
              <w:left w:val="single" w:sz="4" w:space="0" w:color="auto"/>
              <w:bottom w:val="nil"/>
              <w:right w:val="single" w:sz="8" w:space="0" w:color="auto"/>
            </w:tcBorders>
            <w:shd w:val="clear" w:color="000000" w:fill="F2F2F2"/>
            <w:noWrap/>
            <w:vAlign w:val="bottom"/>
            <w:hideMark/>
          </w:tcPr>
          <w:p w14:paraId="6B5D42D3"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38</w:t>
            </w:r>
          </w:p>
        </w:tc>
      </w:tr>
      <w:tr w:rsidR="00DB316A" w:rsidRPr="00C52A9D" w14:paraId="1648B674" w14:textId="77777777" w:rsidTr="00F9255A">
        <w:trPr>
          <w:trHeight w:val="288"/>
        </w:trPr>
        <w:tc>
          <w:tcPr>
            <w:tcW w:w="2584" w:type="dxa"/>
            <w:tcBorders>
              <w:top w:val="nil"/>
              <w:left w:val="single" w:sz="8" w:space="0" w:color="auto"/>
              <w:bottom w:val="nil"/>
              <w:right w:val="nil"/>
            </w:tcBorders>
            <w:shd w:val="clear" w:color="000000" w:fill="F2F2F2"/>
            <w:noWrap/>
            <w:vAlign w:val="bottom"/>
            <w:hideMark/>
          </w:tcPr>
          <w:p w14:paraId="7A93C04A" w14:textId="77777777" w:rsidR="00DB316A" w:rsidRPr="00C52A9D" w:rsidRDefault="00DB316A"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Rest of world</w:t>
            </w:r>
          </w:p>
        </w:tc>
        <w:tc>
          <w:tcPr>
            <w:tcW w:w="965" w:type="dxa"/>
            <w:tcBorders>
              <w:top w:val="nil"/>
              <w:left w:val="nil"/>
              <w:bottom w:val="nil"/>
              <w:right w:val="nil"/>
            </w:tcBorders>
            <w:shd w:val="clear" w:color="000000" w:fill="F2F2F2"/>
            <w:noWrap/>
            <w:vAlign w:val="bottom"/>
            <w:hideMark/>
          </w:tcPr>
          <w:p w14:paraId="1144D30B"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5</w:t>
            </w:r>
          </w:p>
        </w:tc>
        <w:tc>
          <w:tcPr>
            <w:tcW w:w="965" w:type="dxa"/>
            <w:tcBorders>
              <w:top w:val="nil"/>
              <w:left w:val="nil"/>
              <w:bottom w:val="nil"/>
              <w:right w:val="nil"/>
            </w:tcBorders>
            <w:shd w:val="clear" w:color="000000" w:fill="F2F2F2"/>
            <w:noWrap/>
            <w:vAlign w:val="bottom"/>
            <w:hideMark/>
          </w:tcPr>
          <w:p w14:paraId="1860FFBA"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w:t>
            </w:r>
          </w:p>
        </w:tc>
        <w:tc>
          <w:tcPr>
            <w:tcW w:w="965" w:type="dxa"/>
            <w:tcBorders>
              <w:top w:val="nil"/>
              <w:left w:val="nil"/>
              <w:bottom w:val="nil"/>
              <w:right w:val="nil"/>
            </w:tcBorders>
            <w:shd w:val="clear" w:color="000000" w:fill="F2F2F2"/>
            <w:noWrap/>
            <w:vAlign w:val="bottom"/>
            <w:hideMark/>
          </w:tcPr>
          <w:p w14:paraId="5C3F34EC"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w:t>
            </w:r>
          </w:p>
        </w:tc>
        <w:tc>
          <w:tcPr>
            <w:tcW w:w="965" w:type="dxa"/>
            <w:tcBorders>
              <w:top w:val="nil"/>
              <w:left w:val="nil"/>
              <w:bottom w:val="nil"/>
              <w:right w:val="nil"/>
            </w:tcBorders>
            <w:shd w:val="clear" w:color="000000" w:fill="F2F2F2"/>
            <w:noWrap/>
            <w:vAlign w:val="bottom"/>
            <w:hideMark/>
          </w:tcPr>
          <w:p w14:paraId="7FDE1DF8"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965" w:type="dxa"/>
            <w:tcBorders>
              <w:top w:val="nil"/>
              <w:left w:val="nil"/>
              <w:bottom w:val="nil"/>
              <w:right w:val="nil"/>
            </w:tcBorders>
            <w:shd w:val="clear" w:color="000000" w:fill="F2F2F2"/>
            <w:noWrap/>
            <w:vAlign w:val="bottom"/>
            <w:hideMark/>
          </w:tcPr>
          <w:p w14:paraId="0730A3F1"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6</w:t>
            </w:r>
          </w:p>
        </w:tc>
        <w:tc>
          <w:tcPr>
            <w:tcW w:w="965" w:type="dxa"/>
            <w:tcBorders>
              <w:top w:val="nil"/>
              <w:left w:val="nil"/>
              <w:bottom w:val="nil"/>
              <w:right w:val="nil"/>
            </w:tcBorders>
            <w:shd w:val="clear" w:color="000000" w:fill="F2F2F2"/>
            <w:noWrap/>
            <w:vAlign w:val="bottom"/>
            <w:hideMark/>
          </w:tcPr>
          <w:p w14:paraId="700DF6F1"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-24</w:t>
            </w:r>
          </w:p>
        </w:tc>
        <w:tc>
          <w:tcPr>
            <w:tcW w:w="1674" w:type="dxa"/>
            <w:tcBorders>
              <w:top w:val="nil"/>
              <w:left w:val="single" w:sz="4" w:space="0" w:color="auto"/>
              <w:bottom w:val="nil"/>
              <w:right w:val="single" w:sz="8" w:space="0" w:color="auto"/>
            </w:tcBorders>
            <w:shd w:val="clear" w:color="000000" w:fill="F2F2F2"/>
            <w:noWrap/>
            <w:vAlign w:val="bottom"/>
            <w:hideMark/>
          </w:tcPr>
          <w:p w14:paraId="62C763B3"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14</w:t>
            </w:r>
          </w:p>
        </w:tc>
      </w:tr>
      <w:tr w:rsidR="00DB316A" w:rsidRPr="00C52A9D" w14:paraId="47EEFE21" w14:textId="77777777" w:rsidTr="00F9255A">
        <w:trPr>
          <w:trHeight w:val="300"/>
        </w:trPr>
        <w:tc>
          <w:tcPr>
            <w:tcW w:w="2584" w:type="dxa"/>
            <w:tcBorders>
              <w:top w:val="nil"/>
              <w:left w:val="single" w:sz="8" w:space="0" w:color="auto"/>
              <w:bottom w:val="single" w:sz="8" w:space="0" w:color="auto"/>
              <w:right w:val="nil"/>
            </w:tcBorders>
            <w:shd w:val="clear" w:color="000000" w:fill="F2F2F2"/>
            <w:noWrap/>
            <w:vAlign w:val="bottom"/>
            <w:hideMark/>
          </w:tcPr>
          <w:p w14:paraId="7E8C2D3E" w14:textId="77777777" w:rsidR="00DB316A" w:rsidRPr="00C52A9D" w:rsidRDefault="00DB316A"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Global total</w:t>
            </w:r>
          </w:p>
        </w:tc>
        <w:tc>
          <w:tcPr>
            <w:tcW w:w="965" w:type="dxa"/>
            <w:tcBorders>
              <w:top w:val="nil"/>
              <w:left w:val="nil"/>
              <w:bottom w:val="single" w:sz="8" w:space="0" w:color="auto"/>
              <w:right w:val="nil"/>
            </w:tcBorders>
            <w:shd w:val="clear" w:color="000000" w:fill="F2F2F2"/>
            <w:noWrap/>
            <w:vAlign w:val="bottom"/>
            <w:hideMark/>
          </w:tcPr>
          <w:p w14:paraId="62B0B110"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4</w:t>
            </w:r>
          </w:p>
        </w:tc>
        <w:tc>
          <w:tcPr>
            <w:tcW w:w="965" w:type="dxa"/>
            <w:tcBorders>
              <w:top w:val="nil"/>
              <w:left w:val="nil"/>
              <w:bottom w:val="single" w:sz="8" w:space="0" w:color="auto"/>
              <w:right w:val="nil"/>
            </w:tcBorders>
            <w:shd w:val="clear" w:color="000000" w:fill="F2F2F2"/>
            <w:noWrap/>
            <w:vAlign w:val="bottom"/>
            <w:hideMark/>
          </w:tcPr>
          <w:p w14:paraId="2F85914C"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6</w:t>
            </w:r>
          </w:p>
        </w:tc>
        <w:tc>
          <w:tcPr>
            <w:tcW w:w="965" w:type="dxa"/>
            <w:tcBorders>
              <w:top w:val="nil"/>
              <w:left w:val="nil"/>
              <w:bottom w:val="single" w:sz="8" w:space="0" w:color="auto"/>
              <w:right w:val="nil"/>
            </w:tcBorders>
            <w:shd w:val="clear" w:color="000000" w:fill="F2F2F2"/>
            <w:noWrap/>
            <w:vAlign w:val="bottom"/>
            <w:hideMark/>
          </w:tcPr>
          <w:p w14:paraId="3223EC53"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w:t>
            </w:r>
          </w:p>
        </w:tc>
        <w:tc>
          <w:tcPr>
            <w:tcW w:w="965" w:type="dxa"/>
            <w:tcBorders>
              <w:top w:val="nil"/>
              <w:left w:val="nil"/>
              <w:bottom w:val="single" w:sz="8" w:space="0" w:color="auto"/>
              <w:right w:val="nil"/>
            </w:tcBorders>
            <w:shd w:val="clear" w:color="000000" w:fill="F2F2F2"/>
            <w:noWrap/>
            <w:vAlign w:val="bottom"/>
            <w:hideMark/>
          </w:tcPr>
          <w:p w14:paraId="272DEC38"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0</w:t>
            </w:r>
          </w:p>
        </w:tc>
        <w:tc>
          <w:tcPr>
            <w:tcW w:w="965" w:type="dxa"/>
            <w:tcBorders>
              <w:top w:val="nil"/>
              <w:left w:val="nil"/>
              <w:bottom w:val="single" w:sz="8" w:space="0" w:color="auto"/>
              <w:right w:val="nil"/>
            </w:tcBorders>
            <w:shd w:val="clear" w:color="000000" w:fill="F2F2F2"/>
            <w:noWrap/>
            <w:vAlign w:val="bottom"/>
            <w:hideMark/>
          </w:tcPr>
          <w:p w14:paraId="27CBDF6F"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6</w:t>
            </w:r>
          </w:p>
        </w:tc>
        <w:tc>
          <w:tcPr>
            <w:tcW w:w="965" w:type="dxa"/>
            <w:tcBorders>
              <w:top w:val="nil"/>
              <w:left w:val="nil"/>
              <w:bottom w:val="single" w:sz="8" w:space="0" w:color="auto"/>
              <w:right w:val="nil"/>
            </w:tcBorders>
            <w:shd w:val="clear" w:color="000000" w:fill="F2F2F2"/>
            <w:noWrap/>
            <w:vAlign w:val="bottom"/>
            <w:hideMark/>
          </w:tcPr>
          <w:p w14:paraId="53477CEA"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-25</w:t>
            </w:r>
          </w:p>
        </w:tc>
        <w:tc>
          <w:tcPr>
            <w:tcW w:w="1674" w:type="dxa"/>
            <w:tcBorders>
              <w:top w:val="nil"/>
              <w:left w:val="single" w:sz="4" w:space="0" w:color="auto"/>
              <w:bottom w:val="single" w:sz="8" w:space="0" w:color="auto"/>
              <w:right w:val="single" w:sz="8" w:space="0" w:color="auto"/>
            </w:tcBorders>
            <w:shd w:val="clear" w:color="000000" w:fill="F2F2F2"/>
            <w:noWrap/>
            <w:vAlign w:val="bottom"/>
            <w:hideMark/>
          </w:tcPr>
          <w:p w14:paraId="789003CE" w14:textId="77777777" w:rsidR="00DB316A" w:rsidRPr="00C52A9D" w:rsidRDefault="00DB316A" w:rsidP="00F9255A">
            <w:pPr>
              <w:spacing w:after="0" w:line="240" w:lineRule="auto"/>
              <w:jc w:val="center"/>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17</w:t>
            </w:r>
          </w:p>
        </w:tc>
      </w:tr>
      <w:tr w:rsidR="00DB316A" w:rsidRPr="00C52A9D" w14:paraId="469B425C" w14:textId="77777777" w:rsidTr="00F9255A">
        <w:trPr>
          <w:trHeight w:val="288"/>
        </w:trPr>
        <w:tc>
          <w:tcPr>
            <w:tcW w:w="4514" w:type="dxa"/>
            <w:gridSpan w:val="3"/>
            <w:tcBorders>
              <w:top w:val="nil"/>
              <w:left w:val="nil"/>
              <w:bottom w:val="nil"/>
              <w:right w:val="nil"/>
            </w:tcBorders>
            <w:shd w:val="clear" w:color="auto" w:fill="auto"/>
            <w:noWrap/>
            <w:vAlign w:val="bottom"/>
            <w:hideMark/>
          </w:tcPr>
          <w:p w14:paraId="3698216A" w14:textId="77777777" w:rsidR="00DB316A" w:rsidRPr="00C52A9D" w:rsidRDefault="00DB316A" w:rsidP="00F9255A">
            <w:pPr>
              <w:spacing w:after="0" w:line="240" w:lineRule="auto"/>
              <w:rPr>
                <w:rFonts w:ascii="Calibri Light" w:eastAsia="Times New Roman" w:hAnsi="Calibri Light" w:cs="Calibri Light"/>
                <w:color w:val="000000"/>
                <w:lang w:eastAsia="en-GB"/>
              </w:rPr>
            </w:pPr>
            <w:r w:rsidRPr="00C52A9D">
              <w:rPr>
                <w:rFonts w:ascii="Calibri Light" w:eastAsia="Times New Roman" w:hAnsi="Calibri Light" w:cs="Calibri Light"/>
                <w:color w:val="000000"/>
                <w:lang w:eastAsia="en-GB"/>
              </w:rPr>
              <w:t>Source: HESA, FOIA responses (2020/21)</w:t>
            </w:r>
          </w:p>
        </w:tc>
        <w:tc>
          <w:tcPr>
            <w:tcW w:w="965" w:type="dxa"/>
            <w:tcBorders>
              <w:top w:val="nil"/>
              <w:left w:val="nil"/>
              <w:bottom w:val="nil"/>
              <w:right w:val="nil"/>
            </w:tcBorders>
            <w:shd w:val="clear" w:color="auto" w:fill="auto"/>
            <w:noWrap/>
            <w:vAlign w:val="bottom"/>
            <w:hideMark/>
          </w:tcPr>
          <w:p w14:paraId="0546A8CB" w14:textId="77777777" w:rsidR="00DB316A" w:rsidRPr="00C52A9D" w:rsidRDefault="00DB316A" w:rsidP="00F9255A">
            <w:pPr>
              <w:spacing w:after="0" w:line="240" w:lineRule="auto"/>
              <w:rPr>
                <w:rFonts w:ascii="Calibri Light" w:eastAsia="Times New Roman" w:hAnsi="Calibri Light" w:cs="Calibri Light"/>
                <w:color w:val="000000"/>
                <w:lang w:eastAsia="en-GB"/>
              </w:rPr>
            </w:pPr>
          </w:p>
        </w:tc>
        <w:tc>
          <w:tcPr>
            <w:tcW w:w="965" w:type="dxa"/>
            <w:tcBorders>
              <w:top w:val="nil"/>
              <w:left w:val="nil"/>
              <w:bottom w:val="nil"/>
              <w:right w:val="nil"/>
            </w:tcBorders>
            <w:shd w:val="clear" w:color="auto" w:fill="auto"/>
            <w:noWrap/>
            <w:vAlign w:val="bottom"/>
            <w:hideMark/>
          </w:tcPr>
          <w:p w14:paraId="02C61997" w14:textId="77777777" w:rsidR="00DB316A" w:rsidRPr="00C52A9D" w:rsidRDefault="00DB316A" w:rsidP="00F9255A">
            <w:pPr>
              <w:spacing w:after="0" w:line="240" w:lineRule="auto"/>
              <w:rPr>
                <w:rFonts w:ascii="Calibri Light" w:eastAsia="Times New Roman" w:hAnsi="Calibri Light" w:cs="Calibri Light"/>
                <w:sz w:val="20"/>
                <w:szCs w:val="20"/>
                <w:lang w:eastAsia="en-GB"/>
              </w:rPr>
            </w:pPr>
          </w:p>
        </w:tc>
        <w:tc>
          <w:tcPr>
            <w:tcW w:w="965" w:type="dxa"/>
            <w:tcBorders>
              <w:top w:val="nil"/>
              <w:left w:val="nil"/>
              <w:bottom w:val="nil"/>
              <w:right w:val="nil"/>
            </w:tcBorders>
            <w:shd w:val="clear" w:color="auto" w:fill="auto"/>
            <w:noWrap/>
            <w:vAlign w:val="bottom"/>
            <w:hideMark/>
          </w:tcPr>
          <w:p w14:paraId="04D05EEC" w14:textId="77777777" w:rsidR="00DB316A" w:rsidRPr="00C52A9D" w:rsidRDefault="00DB316A" w:rsidP="00F9255A">
            <w:pPr>
              <w:spacing w:after="0" w:line="240" w:lineRule="auto"/>
              <w:rPr>
                <w:rFonts w:ascii="Calibri Light" w:eastAsia="Times New Roman" w:hAnsi="Calibri Light" w:cs="Calibri Light"/>
                <w:sz w:val="20"/>
                <w:szCs w:val="20"/>
                <w:lang w:eastAsia="en-GB"/>
              </w:rPr>
            </w:pPr>
          </w:p>
        </w:tc>
        <w:tc>
          <w:tcPr>
            <w:tcW w:w="965" w:type="dxa"/>
            <w:tcBorders>
              <w:top w:val="nil"/>
              <w:left w:val="nil"/>
              <w:bottom w:val="nil"/>
              <w:right w:val="nil"/>
            </w:tcBorders>
            <w:shd w:val="clear" w:color="auto" w:fill="auto"/>
            <w:noWrap/>
            <w:vAlign w:val="bottom"/>
            <w:hideMark/>
          </w:tcPr>
          <w:p w14:paraId="48D62587" w14:textId="77777777" w:rsidR="00DB316A" w:rsidRPr="00C52A9D" w:rsidRDefault="00DB316A" w:rsidP="00F9255A">
            <w:pPr>
              <w:spacing w:after="0" w:line="240" w:lineRule="auto"/>
              <w:rPr>
                <w:rFonts w:ascii="Calibri Light" w:eastAsia="Times New Roman" w:hAnsi="Calibri Light" w:cs="Calibri Light"/>
                <w:sz w:val="20"/>
                <w:szCs w:val="20"/>
                <w:lang w:eastAsia="en-GB"/>
              </w:rPr>
            </w:pPr>
          </w:p>
        </w:tc>
        <w:tc>
          <w:tcPr>
            <w:tcW w:w="1674" w:type="dxa"/>
            <w:tcBorders>
              <w:top w:val="nil"/>
              <w:left w:val="nil"/>
              <w:bottom w:val="nil"/>
              <w:right w:val="nil"/>
            </w:tcBorders>
            <w:shd w:val="clear" w:color="auto" w:fill="auto"/>
            <w:noWrap/>
            <w:vAlign w:val="bottom"/>
            <w:hideMark/>
          </w:tcPr>
          <w:p w14:paraId="5A6A99CD" w14:textId="77777777" w:rsidR="00DB316A" w:rsidRPr="00C52A9D" w:rsidRDefault="00DB316A" w:rsidP="00F9255A">
            <w:pPr>
              <w:spacing w:after="0" w:line="240" w:lineRule="auto"/>
              <w:rPr>
                <w:rFonts w:ascii="Calibri Light" w:eastAsia="Times New Roman" w:hAnsi="Calibri Light" w:cs="Calibri Light"/>
                <w:sz w:val="20"/>
                <w:szCs w:val="20"/>
                <w:lang w:eastAsia="en-GB"/>
              </w:rPr>
            </w:pPr>
          </w:p>
        </w:tc>
      </w:tr>
    </w:tbl>
    <w:p w14:paraId="409CFF90" w14:textId="39473B42" w:rsidR="005A4EAA" w:rsidRDefault="005A4EAA">
      <w:pPr>
        <w:rPr>
          <w:rFonts w:ascii="Calibri Light" w:hAnsi="Calibri Light" w:cs="Calibri Light"/>
          <w:sz w:val="28"/>
          <w:szCs w:val="28"/>
        </w:rPr>
      </w:pPr>
    </w:p>
    <w:p w14:paraId="5E127C15" w14:textId="0EDC06B2" w:rsidR="004767A4" w:rsidRPr="00B304D5" w:rsidRDefault="002B539E" w:rsidP="00C52A9D">
      <w:pPr>
        <w:pStyle w:val="FILHeader1"/>
        <w:rPr>
          <w:rFonts w:ascii="Calibri Light" w:hAnsi="Calibri Light" w:cs="Calibri Light"/>
          <w:i/>
          <w:sz w:val="28"/>
          <w:szCs w:val="28"/>
        </w:rPr>
      </w:pPr>
      <w:r w:rsidRPr="00B304D5">
        <w:rPr>
          <w:rFonts w:ascii="Calibri Light" w:hAnsi="Calibri Light" w:cs="Calibri Light"/>
          <w:i/>
          <w:sz w:val="28"/>
          <w:szCs w:val="28"/>
        </w:rPr>
        <w:t>Conclusion</w:t>
      </w:r>
    </w:p>
    <w:p w14:paraId="42F56A1B" w14:textId="394A132B" w:rsidR="006412F5" w:rsidRDefault="004767A4" w:rsidP="002B539E">
      <w:pPr>
        <w:jc w:val="both"/>
        <w:rPr>
          <w:rFonts w:ascii="Calibri Light" w:hAnsi="Calibri Light" w:cs="Calibri Light"/>
          <w:sz w:val="28"/>
          <w:szCs w:val="28"/>
        </w:rPr>
      </w:pPr>
      <w:r>
        <w:rPr>
          <w:rFonts w:ascii="Calibri Light" w:hAnsi="Calibri Light" w:cs="Calibri Light"/>
          <w:sz w:val="28"/>
          <w:szCs w:val="28"/>
        </w:rPr>
        <w:t xml:space="preserve">While it is clearly too early to draw any </w:t>
      </w:r>
      <w:r w:rsidR="00B304D5">
        <w:rPr>
          <w:rFonts w:ascii="Calibri Light" w:hAnsi="Calibri Light" w:cs="Calibri Light"/>
          <w:sz w:val="28"/>
          <w:szCs w:val="28"/>
        </w:rPr>
        <w:t xml:space="preserve">firm </w:t>
      </w:r>
      <w:r>
        <w:rPr>
          <w:rFonts w:ascii="Calibri Light" w:hAnsi="Calibri Light" w:cs="Calibri Light"/>
          <w:sz w:val="28"/>
          <w:szCs w:val="28"/>
        </w:rPr>
        <w:t xml:space="preserve">conclusions on the overall </w:t>
      </w:r>
      <w:r w:rsidR="00816E02">
        <w:rPr>
          <w:rFonts w:ascii="Calibri Light" w:hAnsi="Calibri Light" w:cs="Calibri Light"/>
          <w:sz w:val="28"/>
          <w:szCs w:val="28"/>
        </w:rPr>
        <w:t xml:space="preserve">medium-longer </w:t>
      </w:r>
      <w:r>
        <w:rPr>
          <w:rFonts w:ascii="Calibri Light" w:hAnsi="Calibri Light" w:cs="Calibri Light"/>
          <w:sz w:val="28"/>
          <w:szCs w:val="28"/>
        </w:rPr>
        <w:t>term impact of Brexit and Covid-19 on UK TNE enrolments, the survey results indicate that</w:t>
      </w:r>
      <w:r w:rsidR="00816E02">
        <w:rPr>
          <w:rFonts w:ascii="Calibri Light" w:hAnsi="Calibri Light" w:cs="Calibri Light"/>
          <w:sz w:val="28"/>
          <w:szCs w:val="28"/>
        </w:rPr>
        <w:t>, at least in the short-term,</w:t>
      </w:r>
      <w:r>
        <w:rPr>
          <w:rFonts w:ascii="Calibri Light" w:hAnsi="Calibri Light" w:cs="Calibri Light"/>
          <w:sz w:val="28"/>
          <w:szCs w:val="28"/>
        </w:rPr>
        <w:t xml:space="preserve"> there </w:t>
      </w:r>
      <w:r w:rsidR="00816E02">
        <w:rPr>
          <w:rFonts w:ascii="Calibri Light" w:hAnsi="Calibri Light" w:cs="Calibri Light"/>
          <w:sz w:val="28"/>
          <w:szCs w:val="28"/>
        </w:rPr>
        <w:t>h</w:t>
      </w:r>
      <w:r>
        <w:rPr>
          <w:rFonts w:ascii="Calibri Light" w:hAnsi="Calibri Light" w:cs="Calibri Light"/>
          <w:sz w:val="28"/>
          <w:szCs w:val="28"/>
        </w:rPr>
        <w:t xml:space="preserve">as </w:t>
      </w:r>
      <w:r w:rsidR="00816E02">
        <w:rPr>
          <w:rFonts w:ascii="Calibri Light" w:hAnsi="Calibri Light" w:cs="Calibri Light"/>
          <w:sz w:val="28"/>
          <w:szCs w:val="28"/>
        </w:rPr>
        <w:t xml:space="preserve">been </w:t>
      </w:r>
      <w:r>
        <w:rPr>
          <w:rFonts w:ascii="Calibri Light" w:hAnsi="Calibri Light" w:cs="Calibri Light"/>
          <w:sz w:val="28"/>
          <w:szCs w:val="28"/>
        </w:rPr>
        <w:t xml:space="preserve">a significant decline in </w:t>
      </w:r>
      <w:r w:rsidR="00B304D5">
        <w:rPr>
          <w:rFonts w:ascii="Calibri Light" w:hAnsi="Calibri Light" w:cs="Calibri Light"/>
          <w:sz w:val="28"/>
          <w:szCs w:val="28"/>
        </w:rPr>
        <w:t xml:space="preserve">offshore </w:t>
      </w:r>
      <w:r>
        <w:rPr>
          <w:rFonts w:ascii="Calibri Light" w:hAnsi="Calibri Light" w:cs="Calibri Light"/>
          <w:sz w:val="28"/>
          <w:szCs w:val="28"/>
        </w:rPr>
        <w:t xml:space="preserve">student numbers in the rest of the world and that, globally, institutional partnerships, which have been the </w:t>
      </w:r>
      <w:r w:rsidR="00847066">
        <w:rPr>
          <w:rFonts w:ascii="Calibri Light" w:hAnsi="Calibri Light" w:cs="Calibri Light"/>
          <w:sz w:val="28"/>
          <w:szCs w:val="28"/>
        </w:rPr>
        <w:t xml:space="preserve">main </w:t>
      </w:r>
      <w:r>
        <w:rPr>
          <w:rFonts w:ascii="Calibri Light" w:hAnsi="Calibri Light" w:cs="Calibri Light"/>
          <w:sz w:val="28"/>
          <w:szCs w:val="28"/>
        </w:rPr>
        <w:t xml:space="preserve">driving force in TNE provision during the last 25 years, have been hardest hit both in the EU and in the rest of the world (which accounts for over 90% of this provision type). </w:t>
      </w:r>
    </w:p>
    <w:p w14:paraId="7FC2AB4C" w14:textId="50998B9F" w:rsidR="00816E02" w:rsidRDefault="00816E02" w:rsidP="006412F5">
      <w:pPr>
        <w:jc w:val="both"/>
        <w:rPr>
          <w:rFonts w:ascii="Calibri Light" w:hAnsi="Calibri Light" w:cs="Calibri Light"/>
          <w:sz w:val="28"/>
          <w:szCs w:val="28"/>
        </w:rPr>
      </w:pPr>
      <w:r>
        <w:rPr>
          <w:rFonts w:ascii="Calibri Light" w:hAnsi="Calibri Light" w:cs="Calibri Light"/>
          <w:sz w:val="28"/>
          <w:szCs w:val="28"/>
        </w:rPr>
        <w:t xml:space="preserve">Even assuming that the Covid pandemic can be effectively </w:t>
      </w:r>
      <w:r w:rsidR="002966B2">
        <w:rPr>
          <w:rFonts w:ascii="Calibri Light" w:hAnsi="Calibri Light" w:cs="Calibri Light"/>
          <w:sz w:val="28"/>
          <w:szCs w:val="28"/>
        </w:rPr>
        <w:t xml:space="preserve">contained </w:t>
      </w:r>
      <w:r>
        <w:rPr>
          <w:rFonts w:ascii="Calibri Light" w:hAnsi="Calibri Light" w:cs="Calibri Light"/>
          <w:sz w:val="28"/>
          <w:szCs w:val="28"/>
        </w:rPr>
        <w:t>during the next two-three years and UK and EU universities adjust reasonably well to new economic and political realities, the key question still remains to what extent will ‘things ever be the same again’?</w:t>
      </w:r>
      <w:r w:rsidR="002966B2">
        <w:rPr>
          <w:rFonts w:ascii="Calibri Light" w:hAnsi="Calibri Light" w:cs="Calibri Light"/>
          <w:sz w:val="28"/>
          <w:szCs w:val="28"/>
        </w:rPr>
        <w:t xml:space="preserve"> The added difficulty in answering this question is that</w:t>
      </w:r>
      <w:r w:rsidR="00847066">
        <w:rPr>
          <w:rFonts w:ascii="Calibri Light" w:hAnsi="Calibri Light" w:cs="Calibri Light"/>
          <w:sz w:val="28"/>
          <w:szCs w:val="28"/>
        </w:rPr>
        <w:t>,</w:t>
      </w:r>
      <w:r w:rsidR="002966B2">
        <w:rPr>
          <w:rFonts w:ascii="Calibri Light" w:hAnsi="Calibri Light" w:cs="Calibri Light"/>
          <w:sz w:val="28"/>
          <w:szCs w:val="28"/>
        </w:rPr>
        <w:t xml:space="preserve"> with the </w:t>
      </w:r>
      <w:r w:rsidR="00847066">
        <w:rPr>
          <w:rFonts w:ascii="Calibri Light" w:hAnsi="Calibri Light" w:cs="Calibri Light"/>
          <w:sz w:val="28"/>
          <w:szCs w:val="28"/>
        </w:rPr>
        <w:t xml:space="preserve">marked </w:t>
      </w:r>
      <w:r w:rsidR="002966B2">
        <w:rPr>
          <w:rFonts w:ascii="Calibri Light" w:hAnsi="Calibri Light" w:cs="Calibri Light"/>
          <w:sz w:val="28"/>
          <w:szCs w:val="28"/>
        </w:rPr>
        <w:t xml:space="preserve">slowdown in TNE enrolment growth during the last five years, it is not possible to predict with any confidence what exactly the ‘new normal’ will be in the future. </w:t>
      </w:r>
      <w:r>
        <w:rPr>
          <w:rFonts w:ascii="Calibri Light" w:hAnsi="Calibri Light" w:cs="Calibri Light"/>
          <w:sz w:val="28"/>
          <w:szCs w:val="28"/>
        </w:rPr>
        <w:t xml:space="preserve"> </w:t>
      </w:r>
    </w:p>
    <w:p w14:paraId="2E31378F" w14:textId="74EFA9D2" w:rsidR="0036647C" w:rsidRDefault="006412F5" w:rsidP="006412F5">
      <w:pPr>
        <w:jc w:val="both"/>
        <w:rPr>
          <w:rFonts w:ascii="Calibri Light" w:hAnsi="Calibri Light" w:cs="Calibri Light"/>
          <w:sz w:val="28"/>
          <w:szCs w:val="28"/>
        </w:rPr>
      </w:pPr>
      <w:r w:rsidRPr="00B84A66">
        <w:rPr>
          <w:rFonts w:ascii="Calibri Light" w:hAnsi="Calibri Light" w:cs="Calibri Light"/>
          <w:sz w:val="28"/>
          <w:szCs w:val="28"/>
        </w:rPr>
        <w:t xml:space="preserve">  </w:t>
      </w:r>
    </w:p>
    <w:p w14:paraId="368A5BC7" w14:textId="2D8E29C1" w:rsidR="006412F5" w:rsidRDefault="00C52A9D" w:rsidP="00847066">
      <w:pPr>
        <w:jc w:val="center"/>
        <w:rPr>
          <w:rFonts w:ascii="Calibri Light" w:hAnsi="Calibri Light" w:cs="Calibri Light"/>
          <w:sz w:val="28"/>
          <w:szCs w:val="28"/>
        </w:rPr>
      </w:pPr>
      <w:r>
        <w:rPr>
          <w:rFonts w:ascii="Calibri Light" w:hAnsi="Calibri Light" w:cs="Calibri Light"/>
          <w:sz w:val="28"/>
          <w:szCs w:val="28"/>
        </w:rPr>
        <w:br w:type="page"/>
      </w:r>
      <w:r w:rsidR="0036647C">
        <w:rPr>
          <w:rFonts w:ascii="Calibri Light" w:hAnsi="Calibri Light" w:cs="Calibri Light"/>
          <w:sz w:val="28"/>
          <w:szCs w:val="28"/>
        </w:rPr>
        <w:lastRenderedPageBreak/>
        <w:t>REFERENCES</w:t>
      </w:r>
    </w:p>
    <w:p w14:paraId="7D111AB5" w14:textId="74BF68F7" w:rsidR="00156AAE" w:rsidRPr="00136AE4" w:rsidRDefault="00156AAE" w:rsidP="00156AAE">
      <w:pPr>
        <w:jc w:val="both"/>
        <w:rPr>
          <w:rFonts w:ascii="Calibri Light" w:hAnsi="Calibri Light" w:cs="Calibri Light"/>
          <w:sz w:val="28"/>
          <w:szCs w:val="28"/>
        </w:rPr>
      </w:pPr>
      <w:r w:rsidRPr="00136AE4">
        <w:rPr>
          <w:rFonts w:ascii="Calibri Light" w:hAnsi="Calibri Light" w:cs="Calibri Light"/>
          <w:bCs/>
          <w:sz w:val="28"/>
          <w:szCs w:val="28"/>
        </w:rPr>
        <w:t xml:space="preserve">Bennell, P.S. 2019a. </w:t>
      </w:r>
      <w:r>
        <w:rPr>
          <w:rFonts w:ascii="Calibri Light" w:hAnsi="Calibri Light" w:cs="Calibri Light"/>
          <w:bCs/>
          <w:sz w:val="28"/>
          <w:szCs w:val="28"/>
        </w:rPr>
        <w:t>“</w:t>
      </w:r>
      <w:r w:rsidRPr="00136AE4">
        <w:rPr>
          <w:rFonts w:ascii="Calibri Light" w:hAnsi="Calibri Light" w:cs="Calibri Light"/>
          <w:bCs/>
          <w:sz w:val="28"/>
          <w:szCs w:val="28"/>
        </w:rPr>
        <w:t>Transnational higher education in the United Kingdom: an update.</w:t>
      </w:r>
      <w:r>
        <w:rPr>
          <w:rFonts w:ascii="Calibri Light" w:hAnsi="Calibri Light" w:cs="Calibri Light"/>
          <w:bCs/>
          <w:sz w:val="28"/>
          <w:szCs w:val="28"/>
        </w:rPr>
        <w:t>”</w:t>
      </w:r>
      <w:r w:rsidRPr="00136AE4">
        <w:rPr>
          <w:rFonts w:ascii="Calibri Light" w:hAnsi="Calibri Light" w:cs="Calibri Light"/>
          <w:bCs/>
          <w:sz w:val="28"/>
          <w:szCs w:val="28"/>
        </w:rPr>
        <w:t xml:space="preserve"> International Journal of Educational Development, 67:29-40.</w:t>
      </w:r>
    </w:p>
    <w:p w14:paraId="143A81DA" w14:textId="121702AD" w:rsidR="00156AAE" w:rsidRPr="00136AE4" w:rsidRDefault="00156AAE" w:rsidP="00156AAE">
      <w:pPr>
        <w:jc w:val="both"/>
        <w:rPr>
          <w:rFonts w:ascii="Calibri Light" w:hAnsi="Calibri Light" w:cs="Calibri Light"/>
          <w:sz w:val="28"/>
          <w:szCs w:val="28"/>
        </w:rPr>
      </w:pPr>
      <w:r w:rsidRPr="00136AE4">
        <w:rPr>
          <w:rFonts w:ascii="Calibri Light" w:hAnsi="Calibri Light" w:cs="Calibri Light"/>
          <w:bCs/>
          <w:sz w:val="28"/>
          <w:szCs w:val="28"/>
        </w:rPr>
        <w:t xml:space="preserve">Bennell, P.S. 2019b. </w:t>
      </w:r>
      <w:r>
        <w:rPr>
          <w:rFonts w:ascii="Calibri Light" w:hAnsi="Calibri Light" w:cs="Calibri Light"/>
          <w:bCs/>
          <w:sz w:val="28"/>
          <w:szCs w:val="28"/>
        </w:rPr>
        <w:t>“</w:t>
      </w:r>
      <w:r w:rsidRPr="00136AE4">
        <w:rPr>
          <w:rFonts w:ascii="Calibri Light" w:hAnsi="Calibri Light" w:cs="Calibri Light"/>
          <w:bCs/>
          <w:sz w:val="28"/>
          <w:szCs w:val="28"/>
        </w:rPr>
        <w:t xml:space="preserve">The financial returns to university transnational </w:t>
      </w:r>
      <w:r>
        <w:rPr>
          <w:rFonts w:ascii="Calibri Light" w:hAnsi="Calibri Light" w:cs="Calibri Light"/>
          <w:bCs/>
          <w:sz w:val="28"/>
          <w:szCs w:val="28"/>
        </w:rPr>
        <w:t>education in the United Kingdom.</w:t>
      </w:r>
      <w:r>
        <w:rPr>
          <w:rFonts w:ascii="Calibri Light" w:hAnsi="Calibri Light" w:cs="Calibri Light"/>
          <w:bCs/>
          <w:sz w:val="28"/>
          <w:szCs w:val="28"/>
        </w:rPr>
        <w:t>”</w:t>
      </w:r>
      <w:r>
        <w:rPr>
          <w:rFonts w:ascii="Calibri Light" w:hAnsi="Calibri Light" w:cs="Calibri Light"/>
          <w:bCs/>
          <w:sz w:val="28"/>
          <w:szCs w:val="28"/>
        </w:rPr>
        <w:t xml:space="preserve"> </w:t>
      </w:r>
      <w:r w:rsidRPr="00136AE4">
        <w:rPr>
          <w:rFonts w:ascii="Calibri Light" w:hAnsi="Calibri Light" w:cs="Calibri Light"/>
          <w:bCs/>
          <w:sz w:val="28"/>
          <w:szCs w:val="28"/>
        </w:rPr>
        <w:t>International Jour</w:t>
      </w:r>
      <w:r>
        <w:rPr>
          <w:rFonts w:ascii="Calibri Light" w:hAnsi="Calibri Light" w:cs="Calibri Light"/>
          <w:bCs/>
          <w:sz w:val="28"/>
          <w:szCs w:val="28"/>
        </w:rPr>
        <w:t xml:space="preserve">nal of Educational Development. </w:t>
      </w:r>
    </w:p>
    <w:p w14:paraId="2394317C" w14:textId="4727732F" w:rsidR="00156AAE" w:rsidRPr="00136AE4" w:rsidRDefault="00156AAE" w:rsidP="00156AAE">
      <w:pPr>
        <w:jc w:val="both"/>
        <w:rPr>
          <w:rFonts w:ascii="Calibri Light" w:hAnsi="Calibri Light" w:cs="Calibri Light"/>
          <w:sz w:val="28"/>
          <w:szCs w:val="28"/>
        </w:rPr>
      </w:pPr>
      <w:r w:rsidRPr="00136AE4">
        <w:rPr>
          <w:rFonts w:ascii="Calibri Light" w:hAnsi="Calibri Light" w:cs="Calibri Light"/>
          <w:bCs/>
          <w:sz w:val="28"/>
          <w:szCs w:val="28"/>
        </w:rPr>
        <w:t xml:space="preserve">Bennell, P.S. 2020. </w:t>
      </w:r>
      <w:r>
        <w:rPr>
          <w:rFonts w:ascii="Calibri Light" w:hAnsi="Calibri Light" w:cs="Calibri Light"/>
          <w:bCs/>
          <w:sz w:val="28"/>
          <w:szCs w:val="28"/>
        </w:rPr>
        <w:t>“</w:t>
      </w:r>
      <w:r w:rsidRPr="00136AE4">
        <w:rPr>
          <w:rFonts w:ascii="Calibri Light" w:hAnsi="Calibri Light" w:cs="Calibri Light"/>
          <w:bCs/>
          <w:sz w:val="28"/>
          <w:szCs w:val="28"/>
        </w:rPr>
        <w:t>Inter-relationships and patters between onshore and offshore provision for foreign students at UK universities.</w:t>
      </w:r>
      <w:r>
        <w:rPr>
          <w:rFonts w:ascii="Calibri Light" w:hAnsi="Calibri Light" w:cs="Calibri Light"/>
          <w:bCs/>
          <w:sz w:val="28"/>
          <w:szCs w:val="28"/>
        </w:rPr>
        <w:t>”</w:t>
      </w:r>
      <w:r w:rsidRPr="00136AE4">
        <w:rPr>
          <w:rFonts w:ascii="Calibri Light" w:hAnsi="Calibri Light" w:cs="Calibri Light"/>
          <w:bCs/>
          <w:sz w:val="28"/>
          <w:szCs w:val="28"/>
        </w:rPr>
        <w:t xml:space="preserve"> International Journal of Educational Development, April.</w:t>
      </w:r>
    </w:p>
    <w:p w14:paraId="41E4A688" w14:textId="192B658D" w:rsidR="00847066" w:rsidRDefault="00847066" w:rsidP="007C6B9D">
      <w:pPr>
        <w:jc w:val="both"/>
        <w:rPr>
          <w:rFonts w:ascii="Calibri Light" w:hAnsi="Calibri Light" w:cs="Calibri Light"/>
          <w:bCs/>
          <w:sz w:val="28"/>
          <w:szCs w:val="28"/>
        </w:rPr>
      </w:pPr>
      <w:r>
        <w:rPr>
          <w:rFonts w:ascii="Calibri Light" w:hAnsi="Calibri Light" w:cs="Calibri Light"/>
          <w:bCs/>
          <w:sz w:val="28"/>
          <w:szCs w:val="28"/>
        </w:rPr>
        <w:t xml:space="preserve">Vernon, </w:t>
      </w:r>
      <w:r w:rsidR="00EF30C7">
        <w:rPr>
          <w:rFonts w:ascii="Calibri Light" w:hAnsi="Calibri Light" w:cs="Calibri Light"/>
          <w:bCs/>
          <w:sz w:val="28"/>
          <w:szCs w:val="28"/>
        </w:rPr>
        <w:t xml:space="preserve">R. 1966. “International investment and international trade in the product cycle.” Quarterly Journal of Economics, 80 (2): 190-207. </w:t>
      </w:r>
    </w:p>
    <w:p w14:paraId="132853DA" w14:textId="7FFC4833" w:rsidR="005A4EAA" w:rsidRDefault="005A4EAA" w:rsidP="007C6B9D">
      <w:pPr>
        <w:jc w:val="both"/>
        <w:rPr>
          <w:rFonts w:ascii="Calibri Light" w:hAnsi="Calibri Light" w:cs="Calibri Light"/>
          <w:bCs/>
          <w:sz w:val="28"/>
          <w:szCs w:val="28"/>
        </w:rPr>
      </w:pPr>
      <w:r>
        <w:rPr>
          <w:rFonts w:ascii="Calibri Light" w:hAnsi="Calibri Light" w:cs="Calibri Light"/>
          <w:bCs/>
          <w:sz w:val="28"/>
          <w:szCs w:val="28"/>
        </w:rPr>
        <w:t>Vernon, R. 1998. In the hurricane’s eye: the troubled prospects of multinational enterprises. Boston: Harvard University Press.</w:t>
      </w:r>
    </w:p>
    <w:p w14:paraId="7BD58BF0" w14:textId="77777777" w:rsidR="00847066" w:rsidRDefault="00847066" w:rsidP="007C6B9D">
      <w:pPr>
        <w:jc w:val="both"/>
        <w:rPr>
          <w:rFonts w:ascii="Calibri Light" w:hAnsi="Calibri Light" w:cs="Calibri Light"/>
          <w:bCs/>
          <w:sz w:val="28"/>
          <w:szCs w:val="28"/>
        </w:rPr>
      </w:pPr>
    </w:p>
    <w:p w14:paraId="7CCEACE4" w14:textId="77777777" w:rsidR="00281044" w:rsidRDefault="00281044" w:rsidP="006412F5">
      <w:pPr>
        <w:jc w:val="both"/>
        <w:rPr>
          <w:rFonts w:ascii="Calibri Light" w:hAnsi="Calibri Light" w:cs="Calibri Light"/>
          <w:bCs/>
          <w:sz w:val="28"/>
          <w:szCs w:val="28"/>
        </w:rPr>
      </w:pPr>
    </w:p>
    <w:p w14:paraId="1FCB9D71" w14:textId="6163C034" w:rsidR="00281044" w:rsidRDefault="00281044">
      <w:pPr>
        <w:rPr>
          <w:rFonts w:ascii="Calibri Light" w:hAnsi="Calibri Light" w:cs="Calibri Light"/>
          <w:bCs/>
          <w:sz w:val="28"/>
          <w:szCs w:val="28"/>
        </w:rPr>
      </w:pPr>
      <w:r>
        <w:rPr>
          <w:rFonts w:ascii="Calibri Light" w:hAnsi="Calibri Light" w:cs="Calibri Light"/>
          <w:bCs/>
          <w:sz w:val="28"/>
          <w:szCs w:val="28"/>
        </w:rPr>
        <w:br w:type="page"/>
      </w:r>
    </w:p>
    <w:p w14:paraId="5964ADA3" w14:textId="77777777" w:rsidR="00196A59" w:rsidRDefault="00196A59">
      <w:r>
        <w:lastRenderedPageBreak/>
        <w:br w:type="page"/>
      </w:r>
    </w:p>
    <w:p w14:paraId="65749836" w14:textId="77777777" w:rsidR="003059F0" w:rsidRDefault="003059F0">
      <w:r>
        <w:lastRenderedPageBreak/>
        <w:br w:type="page"/>
      </w:r>
    </w:p>
    <w:p w14:paraId="461AA5FF" w14:textId="77777777" w:rsidR="003059F0" w:rsidRDefault="003059F0" w:rsidP="003059F0">
      <w:pPr>
        <w:jc w:val="both"/>
        <w:rPr>
          <w:rFonts w:ascii="Calibri Light" w:hAnsi="Calibri Light" w:cs="Calibri Light"/>
          <w:sz w:val="28"/>
          <w:szCs w:val="28"/>
        </w:rPr>
      </w:pPr>
    </w:p>
    <w:p w14:paraId="07355955" w14:textId="77777777" w:rsidR="00196A59" w:rsidRPr="00C52A9D" w:rsidRDefault="00196A59" w:rsidP="006C3412">
      <w:pPr>
        <w:jc w:val="both"/>
        <w:rPr>
          <w:rFonts w:ascii="Calibri Light" w:hAnsi="Calibri Light" w:cs="Calibri Light"/>
          <w:sz w:val="28"/>
          <w:szCs w:val="28"/>
        </w:rPr>
      </w:pPr>
    </w:p>
    <w:p w14:paraId="1E9429D3" w14:textId="77777777" w:rsidR="00281044" w:rsidRDefault="00281044" w:rsidP="00281044">
      <w:pPr>
        <w:jc w:val="both"/>
        <w:rPr>
          <w:rFonts w:ascii="Calibri Light" w:hAnsi="Calibri Light" w:cs="Calibri Light"/>
          <w:i/>
          <w:sz w:val="28"/>
          <w:szCs w:val="28"/>
        </w:rPr>
      </w:pPr>
    </w:p>
    <w:p w14:paraId="2D219762" w14:textId="77777777" w:rsidR="003059F0" w:rsidRDefault="003059F0">
      <w:r>
        <w:br w:type="page"/>
      </w:r>
    </w:p>
    <w:p w14:paraId="4AD18805" w14:textId="77777777" w:rsidR="00281044" w:rsidRPr="00136AE4" w:rsidRDefault="00281044" w:rsidP="006412F5">
      <w:pPr>
        <w:jc w:val="both"/>
        <w:rPr>
          <w:rFonts w:ascii="Calibri Light" w:hAnsi="Calibri Light" w:cs="Calibri Light"/>
          <w:sz w:val="28"/>
          <w:szCs w:val="28"/>
        </w:rPr>
      </w:pPr>
    </w:p>
    <w:p w14:paraId="1048C341" w14:textId="5BF47595" w:rsidR="001361CA" w:rsidRPr="00FE5CF4" w:rsidRDefault="001361CA" w:rsidP="002B539E">
      <w:pPr>
        <w:jc w:val="both"/>
        <w:rPr>
          <w:rFonts w:ascii="Calibri Light" w:hAnsi="Calibri Light" w:cs="Calibri Light"/>
          <w:sz w:val="28"/>
          <w:szCs w:val="28"/>
        </w:rPr>
      </w:pPr>
      <w:r w:rsidRPr="00FE5CF4">
        <w:rPr>
          <w:rFonts w:ascii="Calibri Light" w:hAnsi="Calibri Light" w:cs="Calibri Light"/>
          <w:sz w:val="28"/>
          <w:szCs w:val="28"/>
        </w:rPr>
        <w:br w:type="page"/>
      </w:r>
    </w:p>
    <w:sectPr w:rsidR="001361CA" w:rsidRPr="00FE5CF4" w:rsidSect="008B38BC">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2A72F" w16cid:durableId="1F8EB0DE"/>
  <w16cid:commentId w16cid:paraId="68848100" w16cid:durableId="1F8EB0DF"/>
  <w16cid:commentId w16cid:paraId="551F5D69" w16cid:durableId="1F8EB0E0"/>
  <w16cid:commentId w16cid:paraId="7D02FD5B" w16cid:durableId="1F8EB0E1"/>
  <w16cid:commentId w16cid:paraId="76BE82D1" w16cid:durableId="1F8EB0E2"/>
  <w16cid:commentId w16cid:paraId="6D55E633" w16cid:durableId="1F8EB0E3"/>
  <w16cid:commentId w16cid:paraId="136D2120" w16cid:durableId="1F8EB0E4"/>
  <w16cid:commentId w16cid:paraId="5C9C7FFF" w16cid:durableId="1F8EB0E5"/>
  <w16cid:commentId w16cid:paraId="7AE73C64" w16cid:durableId="1F8EB0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1C15D" w14:textId="77777777" w:rsidR="002213EA" w:rsidRDefault="002213EA" w:rsidP="003D5B9C">
      <w:pPr>
        <w:spacing w:after="0" w:line="240" w:lineRule="auto"/>
      </w:pPr>
      <w:r>
        <w:separator/>
      </w:r>
    </w:p>
  </w:endnote>
  <w:endnote w:type="continuationSeparator" w:id="0">
    <w:p w14:paraId="6E6E8242" w14:textId="77777777" w:rsidR="002213EA" w:rsidRDefault="002213EA" w:rsidP="003D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245730"/>
      <w:docPartObj>
        <w:docPartGallery w:val="Page Numbers (Bottom of Page)"/>
        <w:docPartUnique/>
      </w:docPartObj>
    </w:sdtPr>
    <w:sdtEndPr>
      <w:rPr>
        <w:noProof/>
      </w:rPr>
    </w:sdtEndPr>
    <w:sdtContent>
      <w:p w14:paraId="52FF7B67" w14:textId="3F367491" w:rsidR="0040017D" w:rsidRDefault="0040017D">
        <w:pPr>
          <w:pStyle w:val="Footer"/>
          <w:jc w:val="center"/>
        </w:pPr>
        <w:r>
          <w:rPr>
            <w:noProof/>
          </w:rPr>
          <w:fldChar w:fldCharType="begin"/>
        </w:r>
        <w:r>
          <w:rPr>
            <w:noProof/>
          </w:rPr>
          <w:instrText xml:space="preserve"> PAGE   \* MERGEFORMAT </w:instrText>
        </w:r>
        <w:r>
          <w:rPr>
            <w:noProof/>
          </w:rPr>
          <w:fldChar w:fldCharType="separate"/>
        </w:r>
        <w:r w:rsidR="00156AAE">
          <w:rPr>
            <w:noProof/>
          </w:rPr>
          <w:t>4</w:t>
        </w:r>
        <w:r>
          <w:rPr>
            <w:noProof/>
          </w:rPr>
          <w:fldChar w:fldCharType="end"/>
        </w:r>
      </w:p>
    </w:sdtContent>
  </w:sdt>
  <w:p w14:paraId="2E2E0B37" w14:textId="77777777" w:rsidR="0040017D" w:rsidRDefault="00400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29D3D" w14:textId="77777777" w:rsidR="002213EA" w:rsidRDefault="002213EA" w:rsidP="003D5B9C">
      <w:pPr>
        <w:spacing w:after="0" w:line="240" w:lineRule="auto"/>
      </w:pPr>
      <w:r>
        <w:separator/>
      </w:r>
    </w:p>
  </w:footnote>
  <w:footnote w:type="continuationSeparator" w:id="0">
    <w:p w14:paraId="405043BB" w14:textId="77777777" w:rsidR="002213EA" w:rsidRDefault="002213EA" w:rsidP="003D5B9C">
      <w:pPr>
        <w:spacing w:after="0" w:line="240" w:lineRule="auto"/>
      </w:pPr>
      <w:r>
        <w:continuationSeparator/>
      </w:r>
    </w:p>
  </w:footnote>
  <w:footnote w:id="1">
    <w:p w14:paraId="222ABE00" w14:textId="606FE1F5" w:rsidR="0040017D" w:rsidRPr="009E7CCD" w:rsidRDefault="0040017D" w:rsidP="009E7CCD">
      <w:pPr>
        <w:spacing w:line="240" w:lineRule="auto"/>
        <w:jc w:val="both"/>
        <w:rPr>
          <w:sz w:val="24"/>
          <w:szCs w:val="24"/>
        </w:rPr>
      </w:pPr>
      <w:r w:rsidRPr="009E7CCD">
        <w:rPr>
          <w:rStyle w:val="FootnoteReference"/>
          <w:rFonts w:ascii="Calibri Light" w:hAnsi="Calibri Light" w:cs="Calibri Light"/>
          <w:sz w:val="24"/>
          <w:szCs w:val="24"/>
        </w:rPr>
        <w:footnoteRef/>
      </w:r>
      <w:r w:rsidRPr="009E7CCD">
        <w:rPr>
          <w:rFonts w:ascii="Calibri Light" w:hAnsi="Calibri Light" w:cs="Calibri Light"/>
          <w:sz w:val="24"/>
          <w:szCs w:val="24"/>
        </w:rPr>
        <w:t xml:space="preserve"> The complexity of the inter-relationships between onshore and offshore provision for overseas students also need to be taken into account.  </w:t>
      </w:r>
    </w:p>
  </w:footnote>
  <w:footnote w:id="2">
    <w:p w14:paraId="794E27F4" w14:textId="54EA2A62" w:rsidR="0040017D" w:rsidRPr="009E7CCD" w:rsidRDefault="0040017D" w:rsidP="00BE691B">
      <w:pPr>
        <w:pStyle w:val="FootnoteText"/>
        <w:jc w:val="both"/>
        <w:rPr>
          <w:rFonts w:ascii="Calibri Light" w:hAnsi="Calibri Light" w:cs="Calibri Light"/>
          <w:sz w:val="24"/>
          <w:szCs w:val="24"/>
        </w:rPr>
      </w:pPr>
      <w:r w:rsidRPr="009E7CCD">
        <w:rPr>
          <w:rStyle w:val="FootnoteReference"/>
          <w:rFonts w:ascii="Calibri Light" w:hAnsi="Calibri Light" w:cs="Calibri Light"/>
          <w:sz w:val="24"/>
          <w:szCs w:val="24"/>
        </w:rPr>
        <w:footnoteRef/>
      </w:r>
      <w:r w:rsidRPr="009E7CCD">
        <w:rPr>
          <w:rFonts w:ascii="Calibri Light" w:hAnsi="Calibri Light" w:cs="Calibri Light"/>
          <w:sz w:val="24"/>
          <w:szCs w:val="24"/>
        </w:rPr>
        <w:t xml:space="preserve">  However, only enrolment data from 2014/15 is available from the HESA website. Earlier data has been extracted from previous research on UK TNE provision (see </w:t>
      </w:r>
      <w:r w:rsidR="00231A6F">
        <w:rPr>
          <w:rFonts w:ascii="Calibri Light" w:hAnsi="Calibri Light" w:cs="Calibri Light"/>
          <w:sz w:val="24"/>
          <w:szCs w:val="24"/>
        </w:rPr>
        <w:t>Bennell</w:t>
      </w:r>
      <w:r w:rsidRPr="009E7CCD">
        <w:rPr>
          <w:rFonts w:ascii="Calibri Light" w:hAnsi="Calibri Light" w:cs="Calibri Light"/>
          <w:sz w:val="24"/>
          <w:szCs w:val="24"/>
        </w:rPr>
        <w:t>, 20</w:t>
      </w:r>
      <w:r w:rsidR="00156AAE">
        <w:rPr>
          <w:rFonts w:ascii="Calibri Light" w:hAnsi="Calibri Light" w:cs="Calibri Light"/>
          <w:sz w:val="24"/>
          <w:szCs w:val="24"/>
        </w:rPr>
        <w:t>19</w:t>
      </w:r>
      <w:r w:rsidR="00231A6F">
        <w:rPr>
          <w:rFonts w:ascii="Calibri Light" w:hAnsi="Calibri Light" w:cs="Calibri Light"/>
          <w:sz w:val="24"/>
          <w:szCs w:val="24"/>
        </w:rPr>
        <w:t>a</w:t>
      </w:r>
      <w:r w:rsidRPr="009E7CCD">
        <w:rPr>
          <w:rFonts w:ascii="Calibri Light" w:hAnsi="Calibri Light" w:cs="Calibri Light"/>
          <w:sz w:val="24"/>
          <w:szCs w:val="24"/>
        </w:rPr>
        <w:t xml:space="preserve">). </w:t>
      </w:r>
    </w:p>
  </w:footnote>
  <w:footnote w:id="3">
    <w:p w14:paraId="24990079" w14:textId="19298DD5" w:rsidR="0040017D" w:rsidRPr="009E7CCD" w:rsidRDefault="0040017D" w:rsidP="009E7CCD">
      <w:pPr>
        <w:pStyle w:val="FootnoteText"/>
        <w:jc w:val="both"/>
        <w:rPr>
          <w:rFonts w:ascii="Calibri Light" w:hAnsi="Calibri Light" w:cs="Calibri Light"/>
          <w:sz w:val="24"/>
          <w:szCs w:val="24"/>
        </w:rPr>
      </w:pPr>
      <w:r w:rsidRPr="009E7CCD">
        <w:rPr>
          <w:rStyle w:val="FootnoteReference"/>
          <w:rFonts w:ascii="Calibri Light" w:hAnsi="Calibri Light" w:cs="Calibri Light"/>
          <w:sz w:val="24"/>
          <w:szCs w:val="24"/>
        </w:rPr>
        <w:footnoteRef/>
      </w:r>
      <w:r w:rsidRPr="009E7CCD">
        <w:rPr>
          <w:rFonts w:ascii="Calibri Light" w:hAnsi="Calibri Light" w:cs="Calibri Light"/>
          <w:sz w:val="24"/>
          <w:szCs w:val="24"/>
        </w:rPr>
        <w:t xml:space="preserve"> All </w:t>
      </w:r>
      <w:r>
        <w:rPr>
          <w:rFonts w:ascii="Calibri Light" w:hAnsi="Calibri Light" w:cs="Calibri Light"/>
          <w:sz w:val="24"/>
          <w:szCs w:val="24"/>
        </w:rPr>
        <w:t>164</w:t>
      </w:r>
      <w:r w:rsidRPr="009E7CCD">
        <w:rPr>
          <w:rFonts w:ascii="Calibri Light" w:hAnsi="Calibri Light" w:cs="Calibri Light"/>
          <w:sz w:val="24"/>
          <w:szCs w:val="24"/>
        </w:rPr>
        <w:t xml:space="preserve"> higher education providers in the UK do submit this information with the (unaccounted) exception of the University of St. Andrews. Information on distance learning enrolments is submitted collectively </w:t>
      </w:r>
      <w:r>
        <w:rPr>
          <w:rFonts w:ascii="Calibri Light" w:hAnsi="Calibri Light" w:cs="Calibri Light"/>
          <w:sz w:val="24"/>
          <w:szCs w:val="24"/>
        </w:rPr>
        <w:t xml:space="preserve">by some of the </w:t>
      </w:r>
      <w:r w:rsidRPr="009E7CCD">
        <w:rPr>
          <w:rFonts w:ascii="Calibri Light" w:hAnsi="Calibri Light" w:cs="Calibri Light"/>
          <w:sz w:val="24"/>
          <w:szCs w:val="24"/>
        </w:rPr>
        <w:t>constituent institutions of the University of London University</w:t>
      </w:r>
      <w:r>
        <w:rPr>
          <w:rFonts w:ascii="Calibri Light" w:hAnsi="Calibri Light" w:cs="Calibri Light"/>
          <w:sz w:val="24"/>
          <w:szCs w:val="24"/>
        </w:rPr>
        <w:t xml:space="preserve"> (including the London School of Economics).</w:t>
      </w:r>
    </w:p>
  </w:footnote>
  <w:footnote w:id="4">
    <w:p w14:paraId="1810AE31" w14:textId="2F9EA6C9" w:rsidR="0040017D" w:rsidRPr="00C8743E" w:rsidRDefault="0040017D" w:rsidP="00B82455">
      <w:pPr>
        <w:pStyle w:val="FootnoteText"/>
        <w:jc w:val="both"/>
        <w:rPr>
          <w:rStyle w:val="FootnoteReference"/>
        </w:rPr>
      </w:pPr>
      <w:r w:rsidRPr="00C8743E">
        <w:rPr>
          <w:rStyle w:val="FootnoteReference"/>
          <w:rFonts w:ascii="Calibri Light" w:hAnsi="Calibri Light" w:cs="Calibri Light"/>
          <w:sz w:val="24"/>
          <w:szCs w:val="24"/>
        </w:rPr>
        <w:footnoteRef/>
      </w:r>
      <w:r w:rsidRPr="00C8743E">
        <w:rPr>
          <w:rFonts w:ascii="Calibri Light" w:hAnsi="Calibri Light" w:cs="Calibri Light"/>
          <w:sz w:val="24"/>
          <w:szCs w:val="24"/>
        </w:rPr>
        <w:t xml:space="preserve">  In particular, articulation students who complete the first or second years of their degrees in their own country at a UK recognised institution and then proceed to the UK for the remainder of their degree are not included in the AOR. On the other hand, part-time overseas students (who spend less than eight consecutive weeks in the UK) are inc</w:t>
      </w:r>
      <w:r>
        <w:rPr>
          <w:rFonts w:ascii="Calibri Light" w:hAnsi="Calibri Light" w:cs="Calibri Light"/>
          <w:sz w:val="24"/>
          <w:szCs w:val="24"/>
        </w:rPr>
        <w:t>luded. For example, there are 650</w:t>
      </w:r>
      <w:r w:rsidRPr="00C8743E">
        <w:rPr>
          <w:rFonts w:ascii="Calibri Light" w:hAnsi="Calibri Light" w:cs="Calibri Light"/>
          <w:sz w:val="24"/>
          <w:szCs w:val="24"/>
        </w:rPr>
        <w:t xml:space="preserve"> of these students at Cambridge University who should be excluded</w:t>
      </w:r>
      <w:r>
        <w:rPr>
          <w:rFonts w:ascii="Calibri Light" w:hAnsi="Calibri Light" w:cs="Calibri Light"/>
          <w:sz w:val="24"/>
          <w:szCs w:val="24"/>
        </w:rPr>
        <w:t xml:space="preserve"> from the AOR</w:t>
      </w:r>
      <w:r w:rsidRPr="00C8743E">
        <w:rPr>
          <w:rFonts w:ascii="Calibri Light" w:hAnsi="Calibri Light" w:cs="Calibri Light"/>
          <w:sz w:val="24"/>
          <w:szCs w:val="24"/>
        </w:rPr>
        <w:t xml:space="preserve">. Another issue is that all students enrolled at an overseas partner institution do not necessarily </w:t>
      </w:r>
      <w:r>
        <w:rPr>
          <w:rFonts w:ascii="Calibri Light" w:hAnsi="Calibri Light" w:cs="Calibri Light"/>
          <w:sz w:val="24"/>
          <w:szCs w:val="24"/>
        </w:rPr>
        <w:t xml:space="preserve">study </w:t>
      </w:r>
      <w:r w:rsidRPr="00C8743E">
        <w:rPr>
          <w:rFonts w:ascii="Calibri Light" w:hAnsi="Calibri Light" w:cs="Calibri Light"/>
          <w:sz w:val="24"/>
          <w:szCs w:val="24"/>
        </w:rPr>
        <w:t>in that country.   A notable example, are the over 8,000 African students who are enrolled on distance</w:t>
      </w:r>
      <w:r>
        <w:rPr>
          <w:rFonts w:ascii="Calibri Light" w:hAnsi="Calibri Light" w:cs="Calibri Light"/>
          <w:sz w:val="24"/>
          <w:szCs w:val="24"/>
        </w:rPr>
        <w:t xml:space="preserve"> degree courses offered by UNICAF</w:t>
      </w:r>
      <w:r w:rsidRPr="00C8743E">
        <w:rPr>
          <w:rFonts w:ascii="Calibri Light" w:hAnsi="Calibri Light" w:cs="Calibri Light"/>
          <w:sz w:val="24"/>
          <w:szCs w:val="24"/>
        </w:rPr>
        <w:t xml:space="preserve"> in Cyprus</w:t>
      </w:r>
      <w:r>
        <w:rPr>
          <w:rFonts w:ascii="Calibri Light" w:hAnsi="Calibri Light" w:cs="Calibri Light"/>
          <w:sz w:val="24"/>
          <w:szCs w:val="24"/>
        </w:rPr>
        <w:t xml:space="preserve"> which </w:t>
      </w:r>
      <w:r w:rsidRPr="00C8743E">
        <w:rPr>
          <w:rFonts w:ascii="Calibri Light" w:hAnsi="Calibri Light" w:cs="Calibri Light"/>
          <w:sz w:val="24"/>
          <w:szCs w:val="24"/>
        </w:rPr>
        <w:t>are validated by the University of South Wales.</w:t>
      </w:r>
      <w:r>
        <w:rPr>
          <w:rFonts w:ascii="Calibri Light" w:hAnsi="Calibri Light" w:cs="Calibri Light"/>
          <w:sz w:val="24"/>
          <w:szCs w:val="24"/>
        </w:rPr>
        <w:t xml:space="preserve"> These African students are, therefore, not included in the AOR regional totals for ‘Africa’ enrolments.</w:t>
      </w:r>
      <w:r w:rsidRPr="00C8743E">
        <w:rPr>
          <w:rStyle w:val="FootnoteReference"/>
        </w:rPr>
        <w:t xml:space="preserve">  </w:t>
      </w:r>
    </w:p>
  </w:footnote>
  <w:footnote w:id="5">
    <w:p w14:paraId="730D370C" w14:textId="10ABC35C" w:rsidR="0040017D" w:rsidRPr="000F44B3" w:rsidRDefault="0040017D" w:rsidP="00B82455">
      <w:pPr>
        <w:spacing w:line="240" w:lineRule="auto"/>
        <w:jc w:val="both"/>
        <w:rPr>
          <w:rFonts w:ascii="Calibri Light" w:hAnsi="Calibri Light" w:cs="Calibri Light"/>
          <w:sz w:val="24"/>
          <w:szCs w:val="24"/>
        </w:rPr>
      </w:pPr>
      <w:r w:rsidRPr="000F44B3">
        <w:rPr>
          <w:rStyle w:val="FootnoteReference"/>
          <w:rFonts w:ascii="Calibri Light" w:hAnsi="Calibri Light" w:cs="Calibri Light"/>
          <w:sz w:val="24"/>
          <w:szCs w:val="24"/>
        </w:rPr>
        <w:footnoteRef/>
      </w:r>
      <w:r w:rsidRPr="000F44B3">
        <w:rPr>
          <w:rFonts w:ascii="Calibri Light" w:hAnsi="Calibri Light" w:cs="Calibri Light"/>
          <w:sz w:val="24"/>
          <w:szCs w:val="24"/>
        </w:rPr>
        <w:t xml:space="preserve"> </w:t>
      </w:r>
      <w:r w:rsidRPr="00464E8E">
        <w:rPr>
          <w:rFonts w:ascii="Calibri Light" w:hAnsi="Calibri Light" w:cs="Calibri Light"/>
          <w:sz w:val="24"/>
          <w:szCs w:val="24"/>
        </w:rPr>
        <w:t xml:space="preserve">The </w:t>
      </w:r>
      <w:r>
        <w:rPr>
          <w:rFonts w:ascii="Calibri Light" w:hAnsi="Calibri Light" w:cs="Calibri Light"/>
          <w:sz w:val="24"/>
          <w:szCs w:val="24"/>
        </w:rPr>
        <w:t>24</w:t>
      </w:r>
      <w:r w:rsidRPr="00464E8E">
        <w:rPr>
          <w:rFonts w:ascii="Calibri Light" w:hAnsi="Calibri Light" w:cs="Calibri Light"/>
          <w:sz w:val="24"/>
          <w:szCs w:val="24"/>
        </w:rPr>
        <w:t xml:space="preserve"> smallest higher education providers with enrolments of less than 5,000 students were excluded because they have very little offshore provision.  For the first time in 2019/20, HESA included AOR enrolment data for 20 or so </w:t>
      </w:r>
      <w:r>
        <w:rPr>
          <w:rFonts w:ascii="Calibri Light" w:hAnsi="Calibri Light" w:cs="Calibri Light"/>
          <w:sz w:val="24"/>
          <w:szCs w:val="24"/>
        </w:rPr>
        <w:t xml:space="preserve">newly registered </w:t>
      </w:r>
      <w:r w:rsidRPr="00464E8E">
        <w:rPr>
          <w:rFonts w:ascii="Calibri Light" w:hAnsi="Calibri Light" w:cs="Calibri Light"/>
          <w:sz w:val="24"/>
          <w:szCs w:val="24"/>
        </w:rPr>
        <w:t>private higher education providers. The largest of these are Arden University and Kaplan</w:t>
      </w:r>
      <w:r>
        <w:rPr>
          <w:rFonts w:ascii="Calibri Light" w:hAnsi="Calibri Light" w:cs="Calibri Light"/>
          <w:sz w:val="24"/>
          <w:szCs w:val="24"/>
        </w:rPr>
        <w:t xml:space="preserve"> Open Learning</w:t>
      </w:r>
      <w:r w:rsidRPr="00464E8E">
        <w:rPr>
          <w:rFonts w:ascii="Calibri Light" w:hAnsi="Calibri Light" w:cs="Calibri Light"/>
          <w:sz w:val="24"/>
          <w:szCs w:val="24"/>
        </w:rPr>
        <w:t xml:space="preserve">.  However, they have been </w:t>
      </w:r>
      <w:r>
        <w:rPr>
          <w:rFonts w:ascii="Calibri Light" w:hAnsi="Calibri Light" w:cs="Calibri Light"/>
          <w:sz w:val="24"/>
          <w:szCs w:val="24"/>
        </w:rPr>
        <w:t xml:space="preserve">excluded </w:t>
      </w:r>
      <w:r w:rsidRPr="00464E8E">
        <w:rPr>
          <w:rFonts w:ascii="Calibri Light" w:hAnsi="Calibri Light" w:cs="Calibri Light"/>
          <w:sz w:val="24"/>
          <w:szCs w:val="24"/>
        </w:rPr>
        <w:t xml:space="preserve">from the analysis because no information is available on their enrolments during the last five years. </w:t>
      </w:r>
    </w:p>
  </w:footnote>
  <w:footnote w:id="6">
    <w:p w14:paraId="2DDB304C" w14:textId="382F28FF" w:rsidR="0040017D" w:rsidRPr="000F44B3" w:rsidRDefault="0040017D" w:rsidP="00B82455">
      <w:pPr>
        <w:pStyle w:val="FootnoteText"/>
        <w:rPr>
          <w:sz w:val="24"/>
          <w:szCs w:val="24"/>
        </w:rPr>
      </w:pPr>
      <w:r w:rsidRPr="000F44B3">
        <w:rPr>
          <w:rStyle w:val="FootnoteReference"/>
          <w:sz w:val="24"/>
          <w:szCs w:val="24"/>
        </w:rPr>
        <w:footnoteRef/>
      </w:r>
      <w:r w:rsidRPr="000F44B3">
        <w:rPr>
          <w:sz w:val="24"/>
          <w:szCs w:val="24"/>
        </w:rPr>
        <w:t xml:space="preserve"> </w:t>
      </w:r>
      <w:r w:rsidRPr="000F44B3">
        <w:rPr>
          <w:rFonts w:ascii="Calibri Light" w:hAnsi="Calibri Light" w:cs="Calibri Light"/>
          <w:sz w:val="24"/>
          <w:szCs w:val="24"/>
        </w:rPr>
        <w:t>The FOIA stipulates that a university can issue a refusal notice if they consider that it would take more than 18 person-hours to obtain the requested information.</w:t>
      </w:r>
    </w:p>
  </w:footnote>
  <w:footnote w:id="7">
    <w:p w14:paraId="59E4AEBE" w14:textId="5EB395EC" w:rsidR="0040017D" w:rsidRPr="00B82455" w:rsidRDefault="0040017D" w:rsidP="00B82455">
      <w:pPr>
        <w:pStyle w:val="FootnoteText"/>
        <w:jc w:val="both"/>
        <w:rPr>
          <w:rFonts w:ascii="Calibri Light" w:hAnsi="Calibri Light" w:cs="Calibri Light"/>
          <w:sz w:val="24"/>
          <w:szCs w:val="24"/>
        </w:rPr>
      </w:pPr>
      <w:r>
        <w:rPr>
          <w:rStyle w:val="FootnoteReference"/>
        </w:rPr>
        <w:footnoteRef/>
      </w:r>
      <w:r>
        <w:t xml:space="preserve"> </w:t>
      </w:r>
      <w:r>
        <w:rPr>
          <w:rFonts w:ascii="Calibri Light" w:hAnsi="Calibri Light" w:cs="Calibri Light"/>
          <w:sz w:val="24"/>
          <w:szCs w:val="24"/>
        </w:rPr>
        <w:t xml:space="preserve">It is </w:t>
      </w:r>
      <w:r w:rsidRPr="00B82455">
        <w:rPr>
          <w:rFonts w:ascii="Calibri Light" w:hAnsi="Calibri Light" w:cs="Calibri Light"/>
          <w:sz w:val="24"/>
          <w:szCs w:val="24"/>
        </w:rPr>
        <w:t xml:space="preserve">frustrating that the large majority of universities responded positively while the remaining minority of universities can quite legally issue refusal notices. Appeals to the Office of the Information Commissioner can be made under the FOI Act but </w:t>
      </w:r>
      <w:r>
        <w:rPr>
          <w:rFonts w:ascii="Calibri Light" w:hAnsi="Calibri Light" w:cs="Calibri Light"/>
          <w:sz w:val="24"/>
          <w:szCs w:val="24"/>
        </w:rPr>
        <w:t xml:space="preserve">they </w:t>
      </w:r>
      <w:r w:rsidRPr="00B82455">
        <w:rPr>
          <w:rFonts w:ascii="Calibri Light" w:hAnsi="Calibri Light" w:cs="Calibri Light"/>
          <w:sz w:val="24"/>
          <w:szCs w:val="24"/>
        </w:rPr>
        <w:t>are time consuming and</w:t>
      </w:r>
      <w:r>
        <w:rPr>
          <w:rFonts w:ascii="Calibri Light" w:hAnsi="Calibri Light" w:cs="Calibri Light"/>
          <w:sz w:val="24"/>
          <w:szCs w:val="24"/>
        </w:rPr>
        <w:t xml:space="preserve"> protracted</w:t>
      </w:r>
      <w:r w:rsidRPr="00B82455">
        <w:rPr>
          <w:rFonts w:ascii="Calibri Light" w:hAnsi="Calibri Light" w:cs="Calibri Light"/>
          <w:sz w:val="24"/>
          <w:szCs w:val="24"/>
        </w:rPr>
        <w:t xml:space="preserve"> </w:t>
      </w:r>
      <w:r>
        <w:rPr>
          <w:rFonts w:ascii="Calibri Light" w:hAnsi="Calibri Light" w:cs="Calibri Light"/>
          <w:sz w:val="24"/>
          <w:szCs w:val="24"/>
        </w:rPr>
        <w:t xml:space="preserve">and, </w:t>
      </w:r>
      <w:r w:rsidRPr="00B82455">
        <w:rPr>
          <w:rFonts w:ascii="Calibri Light" w:hAnsi="Calibri Light" w:cs="Calibri Light"/>
          <w:sz w:val="24"/>
          <w:szCs w:val="24"/>
        </w:rPr>
        <w:t xml:space="preserve">given the legal provisions of the Act, unlikely to be successful. </w:t>
      </w:r>
    </w:p>
  </w:footnote>
  <w:footnote w:id="8">
    <w:p w14:paraId="2C9DA460" w14:textId="5397C650" w:rsidR="0040017D" w:rsidRPr="00052B5F" w:rsidRDefault="0040017D" w:rsidP="00CB40CB">
      <w:pPr>
        <w:pStyle w:val="FootnoteText"/>
        <w:jc w:val="both"/>
        <w:rPr>
          <w:rFonts w:ascii="Calibri Light" w:hAnsi="Calibri Light" w:cs="Calibri Light"/>
          <w:sz w:val="24"/>
          <w:szCs w:val="24"/>
        </w:rPr>
      </w:pPr>
      <w:r w:rsidRPr="00052B5F">
        <w:rPr>
          <w:rStyle w:val="FootnoteReference"/>
          <w:rFonts w:ascii="Calibri Light" w:hAnsi="Calibri Light" w:cs="Calibri Light"/>
          <w:sz w:val="24"/>
          <w:szCs w:val="24"/>
        </w:rPr>
        <w:footnoteRef/>
      </w:r>
      <w:r w:rsidRPr="00052B5F">
        <w:rPr>
          <w:rFonts w:ascii="Calibri Light" w:hAnsi="Calibri Light" w:cs="Calibri Light"/>
          <w:sz w:val="24"/>
          <w:szCs w:val="24"/>
        </w:rPr>
        <w:t xml:space="preserve"> This is particularly striking in Francophone West Africa. Even in more developed countries such as Cote d’Ivoire and Senegal, there is virtually no offshore provision by public or even private universities in France. </w:t>
      </w:r>
    </w:p>
  </w:footnote>
  <w:footnote w:id="9">
    <w:p w14:paraId="484774E1" w14:textId="6F85D521" w:rsidR="0040017D" w:rsidRPr="00CB40CB" w:rsidRDefault="0040017D" w:rsidP="00CB40CB">
      <w:pPr>
        <w:pStyle w:val="FootnoteText"/>
        <w:rPr>
          <w:rFonts w:ascii="Calibri Light" w:hAnsi="Calibri Light" w:cs="Calibri Light"/>
          <w:sz w:val="24"/>
          <w:szCs w:val="24"/>
        </w:rPr>
      </w:pPr>
      <w:r w:rsidRPr="00CB40CB">
        <w:rPr>
          <w:rStyle w:val="FootnoteReference"/>
          <w:rFonts w:ascii="Calibri Light" w:hAnsi="Calibri Light" w:cs="Calibri Light"/>
          <w:sz w:val="24"/>
          <w:szCs w:val="24"/>
        </w:rPr>
        <w:footnoteRef/>
      </w:r>
      <w:r w:rsidRPr="00CB40CB">
        <w:rPr>
          <w:rFonts w:ascii="Calibri Light" w:hAnsi="Calibri Light" w:cs="Calibri Light"/>
          <w:sz w:val="24"/>
          <w:szCs w:val="24"/>
        </w:rPr>
        <w:t xml:space="preserve"> Other countries do not collect detailed statistics on offshore enrolments, but between them, British and Australian universities probably account for over 90% of the global total.  </w:t>
      </w:r>
    </w:p>
    <w:p w14:paraId="47ECD29E" w14:textId="615D02F6" w:rsidR="0040017D" w:rsidRDefault="0040017D">
      <w:pPr>
        <w:pStyle w:val="FootnoteText"/>
      </w:pPr>
    </w:p>
  </w:footnote>
  <w:footnote w:id="10">
    <w:p w14:paraId="28EB38D2" w14:textId="37077B9F" w:rsidR="0040017D" w:rsidRPr="009A0B0C" w:rsidRDefault="0040017D" w:rsidP="009A0B0C">
      <w:pPr>
        <w:pStyle w:val="FootnoteText"/>
        <w:jc w:val="both"/>
        <w:rPr>
          <w:rFonts w:ascii="Calibri Light" w:hAnsi="Calibri Light" w:cs="Calibri Light"/>
          <w:sz w:val="24"/>
          <w:szCs w:val="24"/>
        </w:rPr>
      </w:pPr>
      <w:r w:rsidRPr="009A0B0C">
        <w:rPr>
          <w:rStyle w:val="FootnoteReference"/>
          <w:rFonts w:ascii="Calibri Light" w:hAnsi="Calibri Light" w:cs="Calibri Light"/>
          <w:sz w:val="24"/>
          <w:szCs w:val="24"/>
        </w:rPr>
        <w:footnoteRef/>
      </w:r>
      <w:r w:rsidRPr="009A0B0C">
        <w:rPr>
          <w:rFonts w:ascii="Calibri Light" w:hAnsi="Calibri Light" w:cs="Calibri Light"/>
          <w:sz w:val="24"/>
          <w:szCs w:val="24"/>
        </w:rPr>
        <w:t xml:space="preserve">  The HESA region ‘Africa’ includes Egypt which ha</w:t>
      </w:r>
      <w:r>
        <w:rPr>
          <w:rFonts w:ascii="Calibri Light" w:hAnsi="Calibri Light" w:cs="Calibri Light"/>
          <w:sz w:val="24"/>
          <w:szCs w:val="24"/>
        </w:rPr>
        <w:t>d 19,000 UK offshore students in 2015/16 which was around 40% of total ‘Africa’ enrolments</w:t>
      </w:r>
      <w:r w:rsidRPr="009A0B0C">
        <w:rPr>
          <w:rFonts w:ascii="Calibri Light" w:hAnsi="Calibri Light" w:cs="Calibri Light"/>
          <w:sz w:val="24"/>
          <w:szCs w:val="24"/>
        </w:rPr>
        <w:t>. Thus, the recent enrolment trend in sub-Saharan Africa cannot be established with any certainty until country level data is accessed from HESA. Bespoke data requests of this kind are screen</w:t>
      </w:r>
      <w:r>
        <w:rPr>
          <w:rFonts w:ascii="Calibri Light" w:hAnsi="Calibri Light" w:cs="Calibri Light"/>
          <w:sz w:val="24"/>
          <w:szCs w:val="24"/>
        </w:rPr>
        <w:t>e</w:t>
      </w:r>
      <w:r w:rsidRPr="009A0B0C">
        <w:rPr>
          <w:rFonts w:ascii="Calibri Light" w:hAnsi="Calibri Light" w:cs="Calibri Light"/>
          <w:sz w:val="24"/>
          <w:szCs w:val="24"/>
        </w:rPr>
        <w:t xml:space="preserve">d and data release fees charged. </w:t>
      </w:r>
    </w:p>
  </w:footnote>
  <w:footnote w:id="11">
    <w:p w14:paraId="35C0E14E" w14:textId="26BDDA73" w:rsidR="0040017D" w:rsidRPr="00147185" w:rsidRDefault="0040017D">
      <w:pPr>
        <w:pStyle w:val="FootnoteText"/>
        <w:rPr>
          <w:rFonts w:ascii="Calibri Light" w:hAnsi="Calibri Light" w:cs="Calibri Light"/>
          <w:sz w:val="24"/>
          <w:szCs w:val="24"/>
        </w:rPr>
      </w:pPr>
      <w:r w:rsidRPr="00147185">
        <w:rPr>
          <w:rStyle w:val="FootnoteReference"/>
          <w:rFonts w:ascii="Calibri Light" w:hAnsi="Calibri Light" w:cs="Calibri Light"/>
          <w:sz w:val="24"/>
          <w:szCs w:val="24"/>
        </w:rPr>
        <w:footnoteRef/>
      </w:r>
      <w:r w:rsidRPr="00147185">
        <w:rPr>
          <w:rFonts w:ascii="Calibri Light" w:hAnsi="Calibri Light" w:cs="Calibri Light"/>
          <w:sz w:val="24"/>
          <w:szCs w:val="24"/>
        </w:rPr>
        <w:t xml:space="preserve"> Most notably, the government of Singapore abandoned its target of attracting 150,000 overseas students by 2015.</w:t>
      </w:r>
    </w:p>
  </w:footnote>
  <w:footnote w:id="12">
    <w:p w14:paraId="5E9398C3" w14:textId="470B2F74" w:rsidR="0040017D" w:rsidRPr="00EF30C7" w:rsidRDefault="0040017D" w:rsidP="00EF30C7">
      <w:pPr>
        <w:pStyle w:val="FootnoteText"/>
        <w:jc w:val="both"/>
        <w:rPr>
          <w:rFonts w:ascii="Calibri Light" w:hAnsi="Calibri Light" w:cs="Calibri Light"/>
          <w:sz w:val="24"/>
          <w:szCs w:val="24"/>
        </w:rPr>
      </w:pPr>
      <w:r w:rsidRPr="00EF30C7">
        <w:rPr>
          <w:rStyle w:val="FootnoteReference"/>
          <w:rFonts w:ascii="Calibri Light" w:hAnsi="Calibri Light" w:cs="Calibri Light"/>
          <w:sz w:val="24"/>
          <w:szCs w:val="24"/>
        </w:rPr>
        <w:footnoteRef/>
      </w:r>
      <w:r w:rsidRPr="00EF30C7">
        <w:rPr>
          <w:rFonts w:ascii="Calibri Light" w:hAnsi="Calibri Light" w:cs="Calibri Light"/>
          <w:sz w:val="24"/>
          <w:szCs w:val="24"/>
        </w:rPr>
        <w:t xml:space="preserve">  The theory of international ‘product cycles’ was first postulated by Raymond V</w:t>
      </w:r>
      <w:r>
        <w:rPr>
          <w:rFonts w:ascii="Calibri Light" w:hAnsi="Calibri Light" w:cs="Calibri Light"/>
          <w:sz w:val="24"/>
          <w:szCs w:val="24"/>
        </w:rPr>
        <w:t>ernon in the mid-</w:t>
      </w:r>
      <w:r w:rsidRPr="00EF30C7">
        <w:rPr>
          <w:rFonts w:ascii="Calibri Light" w:hAnsi="Calibri Light" w:cs="Calibri Light"/>
          <w:sz w:val="24"/>
          <w:szCs w:val="24"/>
        </w:rPr>
        <w:t>1960s (see Vernon, 1966). It has subsequently been extensively elaborated and researched</w:t>
      </w:r>
      <w:r>
        <w:rPr>
          <w:rFonts w:ascii="Calibri Light" w:hAnsi="Calibri Light" w:cs="Calibri Light"/>
          <w:sz w:val="24"/>
          <w:szCs w:val="24"/>
        </w:rPr>
        <w:t xml:space="preserve"> (see Vernon, 1998)</w:t>
      </w:r>
      <w:r w:rsidRPr="00EF30C7">
        <w:rPr>
          <w:rFonts w:ascii="Calibri Light" w:hAnsi="Calibri Light" w:cs="Calibri Light"/>
          <w:sz w:val="24"/>
          <w:szCs w:val="24"/>
        </w:rPr>
        <w:t>.</w:t>
      </w:r>
    </w:p>
  </w:footnote>
  <w:footnote w:id="13">
    <w:p w14:paraId="523B7951" w14:textId="03A91C76" w:rsidR="0040017D" w:rsidRPr="00566DBF" w:rsidRDefault="0040017D">
      <w:pPr>
        <w:pStyle w:val="FootnoteText"/>
        <w:rPr>
          <w:rFonts w:ascii="Calibri Light" w:hAnsi="Calibri Light" w:cs="Calibri Light"/>
          <w:sz w:val="24"/>
          <w:szCs w:val="24"/>
        </w:rPr>
      </w:pPr>
      <w:r w:rsidRPr="00566DBF">
        <w:rPr>
          <w:rStyle w:val="FootnoteReference"/>
          <w:rFonts w:ascii="Calibri Light" w:hAnsi="Calibri Light" w:cs="Calibri Light"/>
          <w:sz w:val="24"/>
          <w:szCs w:val="24"/>
        </w:rPr>
        <w:footnoteRef/>
      </w:r>
      <w:r>
        <w:rPr>
          <w:rFonts w:ascii="Calibri Light" w:hAnsi="Calibri Light" w:cs="Calibri Light"/>
          <w:sz w:val="24"/>
          <w:szCs w:val="24"/>
        </w:rPr>
        <w:t xml:space="preserve"> See </w:t>
      </w:r>
      <w:r w:rsidR="00231A6F">
        <w:rPr>
          <w:rFonts w:ascii="Calibri Light" w:hAnsi="Calibri Light" w:cs="Calibri Light"/>
          <w:sz w:val="24"/>
          <w:szCs w:val="24"/>
        </w:rPr>
        <w:t>Bennell</w:t>
      </w:r>
      <w:r w:rsidRPr="00566DBF">
        <w:rPr>
          <w:rFonts w:ascii="Calibri Light" w:hAnsi="Calibri Light" w:cs="Calibri Light"/>
          <w:sz w:val="24"/>
          <w:szCs w:val="24"/>
        </w:rPr>
        <w:t>, 20</w:t>
      </w:r>
      <w:r>
        <w:rPr>
          <w:rFonts w:ascii="Calibri Light" w:hAnsi="Calibri Light" w:cs="Calibri Light"/>
          <w:sz w:val="24"/>
          <w:szCs w:val="24"/>
        </w:rPr>
        <w:t>19a, 2019b</w:t>
      </w:r>
      <w:r w:rsidRPr="00566DBF">
        <w:rPr>
          <w:rFonts w:ascii="Calibri Light" w:hAnsi="Calibri Light" w:cs="Calibri Light"/>
          <w:sz w:val="24"/>
          <w:szCs w:val="24"/>
        </w:rPr>
        <w:t xml:space="preserve"> and 2020 for a detailed discussion of the underlying reasons for this repositioning of the ‘global engagement’ strategies among UK universities. </w:t>
      </w:r>
    </w:p>
  </w:footnote>
  <w:footnote w:id="14">
    <w:p w14:paraId="45E875B3" w14:textId="4D5B5E95" w:rsidR="0040017D" w:rsidRPr="000D13A6" w:rsidRDefault="0040017D" w:rsidP="008F22E8">
      <w:pPr>
        <w:pStyle w:val="FootnoteText"/>
        <w:jc w:val="both"/>
        <w:rPr>
          <w:rFonts w:ascii="Calibri Light" w:hAnsi="Calibri Light" w:cs="Calibri Light"/>
          <w:sz w:val="24"/>
          <w:szCs w:val="24"/>
        </w:rPr>
      </w:pPr>
      <w:r w:rsidRPr="000D13A6">
        <w:rPr>
          <w:rStyle w:val="FootnoteReference"/>
          <w:rFonts w:ascii="Calibri Light" w:hAnsi="Calibri Light" w:cs="Calibri Light"/>
          <w:sz w:val="24"/>
          <w:szCs w:val="24"/>
        </w:rPr>
        <w:footnoteRef/>
      </w:r>
      <w:r w:rsidRPr="000D13A6">
        <w:rPr>
          <w:rFonts w:ascii="Calibri Light" w:hAnsi="Calibri Light" w:cs="Calibri Light"/>
          <w:sz w:val="24"/>
          <w:szCs w:val="24"/>
        </w:rPr>
        <w:t xml:space="preserve"> Total ODL enrolments as enumerated by HESA are also over-estimated by at least 25% because around 60% of the 50,000 ODL students registered with London University are, in fact, enrolled at local ‘Associated Learning Centres’ and should</w:t>
      </w:r>
      <w:r>
        <w:rPr>
          <w:rFonts w:ascii="Calibri Light" w:hAnsi="Calibri Light" w:cs="Calibri Light"/>
          <w:sz w:val="24"/>
          <w:szCs w:val="24"/>
        </w:rPr>
        <w:t>,</w:t>
      </w:r>
      <w:r w:rsidRPr="000D13A6">
        <w:rPr>
          <w:rFonts w:ascii="Calibri Light" w:hAnsi="Calibri Light" w:cs="Calibri Light"/>
          <w:sz w:val="24"/>
          <w:szCs w:val="24"/>
        </w:rPr>
        <w:t xml:space="preserve"> therefore</w:t>
      </w:r>
      <w:r>
        <w:rPr>
          <w:rFonts w:ascii="Calibri Light" w:hAnsi="Calibri Light" w:cs="Calibri Light"/>
          <w:sz w:val="24"/>
          <w:szCs w:val="24"/>
        </w:rPr>
        <w:t>,</w:t>
      </w:r>
      <w:r w:rsidRPr="000D13A6">
        <w:rPr>
          <w:rFonts w:ascii="Calibri Light" w:hAnsi="Calibri Light" w:cs="Calibri Light"/>
          <w:sz w:val="24"/>
          <w:szCs w:val="24"/>
        </w:rPr>
        <w:t xml:space="preserve"> be classified as being part of franchised collaborative provision. Interview with Katherine Bull, Director of ODL programme at London University.  </w:t>
      </w:r>
    </w:p>
  </w:footnote>
  <w:footnote w:id="15">
    <w:p w14:paraId="29CC9FEE" w14:textId="56CDB8BE" w:rsidR="0040017D" w:rsidRPr="003A5E32" w:rsidRDefault="0040017D" w:rsidP="003A5E32">
      <w:pPr>
        <w:pStyle w:val="FootnoteText"/>
        <w:jc w:val="both"/>
        <w:rPr>
          <w:rFonts w:ascii="Calibri Light" w:hAnsi="Calibri Light" w:cs="Calibri Light"/>
          <w:sz w:val="24"/>
          <w:szCs w:val="24"/>
        </w:rPr>
      </w:pPr>
      <w:r>
        <w:rPr>
          <w:rStyle w:val="FootnoteReference"/>
        </w:rPr>
        <w:footnoteRef/>
      </w:r>
      <w:r>
        <w:t xml:space="preserve"> </w:t>
      </w:r>
      <w:r w:rsidRPr="003A5E32">
        <w:rPr>
          <w:rFonts w:ascii="Calibri Light" w:hAnsi="Calibri Light" w:cs="Calibri Light"/>
          <w:sz w:val="24"/>
          <w:szCs w:val="24"/>
        </w:rPr>
        <w:t xml:space="preserve">The extent to which the forced recourse to on-line virtual learning during the COVID pandemic by virtually all higher education providers may </w:t>
      </w:r>
      <w:r>
        <w:rPr>
          <w:rFonts w:ascii="Calibri Light" w:hAnsi="Calibri Light" w:cs="Calibri Light"/>
          <w:sz w:val="24"/>
          <w:szCs w:val="24"/>
        </w:rPr>
        <w:t xml:space="preserve">well however </w:t>
      </w:r>
      <w:r w:rsidRPr="003A5E32">
        <w:rPr>
          <w:rFonts w:ascii="Calibri Light" w:hAnsi="Calibri Light" w:cs="Calibri Light"/>
          <w:sz w:val="24"/>
          <w:szCs w:val="24"/>
        </w:rPr>
        <w:t>result in significant changes in UK university attitudes towards overseas distance learning and offshore provision in general.</w:t>
      </w:r>
    </w:p>
  </w:footnote>
  <w:footnote w:id="16">
    <w:p w14:paraId="2FB1A08F" w14:textId="77777777" w:rsidR="00231A6F" w:rsidRPr="000D13A6" w:rsidRDefault="00231A6F" w:rsidP="00231A6F">
      <w:pPr>
        <w:jc w:val="both"/>
        <w:rPr>
          <w:rFonts w:ascii="Calibri Light" w:hAnsi="Calibri Light" w:cs="Calibri Light"/>
          <w:sz w:val="24"/>
          <w:szCs w:val="24"/>
        </w:rPr>
      </w:pPr>
      <w:r w:rsidRPr="000D13A6">
        <w:rPr>
          <w:rStyle w:val="FootnoteReference"/>
          <w:rFonts w:ascii="Calibri Light" w:hAnsi="Calibri Light" w:cs="Calibri Light"/>
          <w:sz w:val="24"/>
          <w:szCs w:val="24"/>
        </w:rPr>
        <w:footnoteRef/>
      </w:r>
      <w:r w:rsidRPr="000D13A6">
        <w:rPr>
          <w:rFonts w:ascii="Calibri Light" w:hAnsi="Calibri Light" w:cs="Calibri Light"/>
          <w:sz w:val="24"/>
          <w:szCs w:val="24"/>
        </w:rPr>
        <w:t xml:space="preserve"> Admittedly, these figures are based on the quite restrictive HESA classification criteria for overseas </w:t>
      </w:r>
      <w:r>
        <w:rPr>
          <w:rFonts w:ascii="Calibri Light" w:hAnsi="Calibri Light" w:cs="Calibri Light"/>
          <w:sz w:val="24"/>
          <w:szCs w:val="24"/>
        </w:rPr>
        <w:t xml:space="preserve">branch campuses. The 2017 </w:t>
      </w:r>
      <w:r w:rsidRPr="000D13A6">
        <w:rPr>
          <w:rFonts w:ascii="Calibri Light" w:hAnsi="Calibri Light" w:cs="Calibri Light"/>
          <w:sz w:val="24"/>
          <w:szCs w:val="24"/>
        </w:rPr>
        <w:t xml:space="preserve">OBC inventory </w:t>
      </w:r>
      <w:r>
        <w:rPr>
          <w:rFonts w:ascii="Calibri Light" w:hAnsi="Calibri Light" w:cs="Calibri Light"/>
          <w:sz w:val="24"/>
          <w:szCs w:val="24"/>
        </w:rPr>
        <w:t xml:space="preserve">compiled by the Observatory for Borderless Education includes </w:t>
      </w:r>
      <w:r w:rsidRPr="000D13A6">
        <w:rPr>
          <w:rFonts w:ascii="Calibri Light" w:hAnsi="Calibri Light" w:cs="Calibri Light"/>
          <w:sz w:val="24"/>
          <w:szCs w:val="24"/>
        </w:rPr>
        <w:t>overseas campuses from another 13 UK universities (Belfast, Bolton, Central Lancashire, Glasgow, Glasgow Caledonian, Leeds, Lancaster, Liverpool, Manchester, Sheffield, Southampton, Surrey, and Westminster) with total reported enrolments of almost 13,000</w:t>
      </w:r>
      <w:r>
        <w:rPr>
          <w:rFonts w:ascii="Calibri Light" w:hAnsi="Calibri Light" w:cs="Calibri Light"/>
          <w:sz w:val="24"/>
          <w:szCs w:val="24"/>
        </w:rPr>
        <w:t xml:space="preserve"> students</w:t>
      </w:r>
      <w:r w:rsidRPr="000D13A6">
        <w:rPr>
          <w:rFonts w:ascii="Calibri Light" w:hAnsi="Calibri Light" w:cs="Calibri Light"/>
          <w:sz w:val="24"/>
          <w:szCs w:val="24"/>
        </w:rPr>
        <w:t>. Most of these are ‘joint ventures’, ‘collaborative partnerships’, overseas/international ‘faculties’ or ‘business schools’ and not all of them have their own physical premises. Liverpool University’s joint venture with Xi’an Jiaotong University</w:t>
      </w:r>
      <w:r>
        <w:rPr>
          <w:rFonts w:ascii="Calibri Light" w:hAnsi="Calibri Light" w:cs="Calibri Light"/>
          <w:sz w:val="24"/>
          <w:szCs w:val="24"/>
        </w:rPr>
        <w:t xml:space="preserve"> in China</w:t>
      </w:r>
      <w:r w:rsidRPr="000D13A6">
        <w:rPr>
          <w:rFonts w:ascii="Calibri Light" w:hAnsi="Calibri Light" w:cs="Calibri Light"/>
          <w:sz w:val="24"/>
          <w:szCs w:val="24"/>
        </w:rPr>
        <w:t xml:space="preserve"> has over 7,500 students but is not classified by HESA as an OBC because not all students at the partner university study for Liverpool University degrees.</w:t>
      </w:r>
    </w:p>
    <w:p w14:paraId="4C694DF0" w14:textId="77777777" w:rsidR="00231A6F" w:rsidRPr="008F22E8" w:rsidRDefault="00231A6F" w:rsidP="00231A6F">
      <w:pPr>
        <w:pStyle w:val="FootnoteText"/>
        <w:rPr>
          <w:rFonts w:ascii="Calibri Light" w:hAnsi="Calibri Light" w:cs="Calibri Light"/>
          <w:sz w:val="24"/>
          <w:szCs w:val="24"/>
        </w:rPr>
      </w:pPr>
      <w:r w:rsidRPr="008F22E8">
        <w:rPr>
          <w:rFonts w:ascii="Calibri Light" w:hAnsi="Calibri Light" w:cs="Calibri Light"/>
          <w:sz w:val="24"/>
          <w:szCs w:val="24"/>
        </w:rPr>
        <w:t xml:space="preserve"> </w:t>
      </w:r>
    </w:p>
    <w:p w14:paraId="7EDFCEAB" w14:textId="77777777" w:rsidR="00231A6F" w:rsidRDefault="00231A6F" w:rsidP="00231A6F">
      <w:pPr>
        <w:pStyle w:val="FootnoteText"/>
      </w:pPr>
    </w:p>
  </w:footnote>
  <w:footnote w:id="17">
    <w:p w14:paraId="681FAD1F" w14:textId="7349500B" w:rsidR="0040017D" w:rsidRPr="00935A52" w:rsidRDefault="0040017D" w:rsidP="00935A52">
      <w:pPr>
        <w:pStyle w:val="FootnoteText"/>
        <w:jc w:val="both"/>
        <w:rPr>
          <w:rFonts w:ascii="Calibri Light" w:hAnsi="Calibri Light" w:cs="Calibri Light"/>
          <w:sz w:val="24"/>
          <w:szCs w:val="24"/>
        </w:rPr>
      </w:pPr>
      <w:r w:rsidRPr="00935A52">
        <w:rPr>
          <w:rStyle w:val="FootnoteReference"/>
          <w:rFonts w:ascii="Calibri Light" w:hAnsi="Calibri Light" w:cs="Calibri Light"/>
          <w:sz w:val="24"/>
          <w:szCs w:val="24"/>
        </w:rPr>
        <w:footnoteRef/>
      </w:r>
      <w:r w:rsidRPr="00935A52">
        <w:rPr>
          <w:rFonts w:ascii="Calibri Light" w:hAnsi="Calibri Light" w:cs="Calibri Light"/>
          <w:sz w:val="24"/>
          <w:szCs w:val="24"/>
        </w:rPr>
        <w:t xml:space="preserve"> Universities in this group which have had relatively very high offshore enrolments during the last 10 years include Bradford, Glasgow Abertay, Greenwich, Leicester, Manchester,  Nottingham Trent, Roehampton, and Staffordshire</w:t>
      </w:r>
      <w:r>
        <w:rPr>
          <w:rFonts w:ascii="Calibri Light" w:hAnsi="Calibri Light" w:cs="Calibri Light"/>
          <w:sz w:val="24"/>
          <w:szCs w:val="24"/>
        </w:rPr>
        <w:t>.</w:t>
      </w:r>
    </w:p>
  </w:footnote>
  <w:footnote w:id="18">
    <w:p w14:paraId="6A3098C5" w14:textId="7059521B" w:rsidR="0040017D" w:rsidRPr="00C7573E" w:rsidRDefault="0040017D">
      <w:pPr>
        <w:pStyle w:val="FootnoteText"/>
        <w:rPr>
          <w:rFonts w:ascii="Calibri Light" w:hAnsi="Calibri Light" w:cs="Calibri Light"/>
          <w:sz w:val="24"/>
          <w:szCs w:val="24"/>
        </w:rPr>
      </w:pPr>
      <w:r w:rsidRPr="00935A52">
        <w:rPr>
          <w:rStyle w:val="FootnoteReference"/>
          <w:rFonts w:ascii="Calibri Light" w:hAnsi="Calibri Light" w:cs="Calibri Light"/>
          <w:sz w:val="24"/>
          <w:szCs w:val="24"/>
        </w:rPr>
        <w:footnoteRef/>
      </w:r>
      <w:r w:rsidRPr="00935A52">
        <w:rPr>
          <w:rFonts w:ascii="Calibri Light" w:hAnsi="Calibri Light" w:cs="Calibri Light"/>
          <w:sz w:val="24"/>
          <w:szCs w:val="24"/>
        </w:rPr>
        <w:t xml:space="preserve">  Cyprus is a former UK colony and Greece has exceptionally high levels of </w:t>
      </w:r>
      <w:r>
        <w:rPr>
          <w:rFonts w:ascii="Calibri Light" w:hAnsi="Calibri Light" w:cs="Calibri Light"/>
          <w:sz w:val="24"/>
          <w:szCs w:val="24"/>
        </w:rPr>
        <w:t xml:space="preserve">national </w:t>
      </w:r>
      <w:r w:rsidRPr="00935A52">
        <w:rPr>
          <w:rFonts w:ascii="Calibri Light" w:hAnsi="Calibri Light" w:cs="Calibri Light"/>
          <w:sz w:val="24"/>
          <w:szCs w:val="24"/>
        </w:rPr>
        <w:t>excess demand for</w:t>
      </w:r>
      <w:r w:rsidRPr="00C7573E">
        <w:rPr>
          <w:rFonts w:ascii="Calibri Light" w:hAnsi="Calibri Light" w:cs="Calibri Light"/>
          <w:sz w:val="24"/>
          <w:szCs w:val="24"/>
        </w:rPr>
        <w:t xml:space="preserve"> higher education.</w:t>
      </w:r>
    </w:p>
  </w:footnote>
  <w:footnote w:id="19">
    <w:p w14:paraId="67EA6901" w14:textId="392BDE81" w:rsidR="0040017D" w:rsidRPr="00CB6BA3" w:rsidRDefault="0040017D" w:rsidP="0036647C">
      <w:pPr>
        <w:pStyle w:val="FootnoteText"/>
        <w:jc w:val="both"/>
        <w:rPr>
          <w:rFonts w:ascii="Calibri Light" w:hAnsi="Calibri Light" w:cs="Calibri Light"/>
          <w:sz w:val="24"/>
          <w:szCs w:val="24"/>
        </w:rPr>
      </w:pPr>
      <w:r w:rsidRPr="00CB6BA3">
        <w:rPr>
          <w:rStyle w:val="FootnoteReference"/>
          <w:rFonts w:ascii="Calibri Light" w:hAnsi="Calibri Light" w:cs="Calibri Light"/>
          <w:sz w:val="24"/>
          <w:szCs w:val="24"/>
        </w:rPr>
        <w:footnoteRef/>
      </w:r>
      <w:r w:rsidRPr="00CB6BA3">
        <w:rPr>
          <w:rFonts w:ascii="Calibri Light" w:hAnsi="Calibri Light" w:cs="Calibri Light"/>
          <w:sz w:val="24"/>
          <w:szCs w:val="24"/>
        </w:rPr>
        <w:t xml:space="preserve">  Faced with the </w:t>
      </w:r>
      <w:r>
        <w:rPr>
          <w:rFonts w:ascii="Calibri Light" w:hAnsi="Calibri Light" w:cs="Calibri Light"/>
          <w:sz w:val="24"/>
          <w:szCs w:val="24"/>
        </w:rPr>
        <w:t xml:space="preserve">very high likelihood </w:t>
      </w:r>
      <w:r w:rsidRPr="00CB6BA3">
        <w:rPr>
          <w:rFonts w:ascii="Calibri Light" w:hAnsi="Calibri Light" w:cs="Calibri Light"/>
          <w:sz w:val="24"/>
          <w:szCs w:val="24"/>
        </w:rPr>
        <w:t xml:space="preserve">that tuition fees at UK universities would increase significantly once the UK finally left the EU, it is not surprising that EU onshore enrolments also increased after the Brexit vote –from 130,000 in 2015/16 to 148,000 in 2019/20.  </w:t>
      </w:r>
    </w:p>
  </w:footnote>
  <w:footnote w:id="20">
    <w:p w14:paraId="781847B9" w14:textId="15520359" w:rsidR="0040017D" w:rsidRPr="00CB6BA3" w:rsidRDefault="0040017D" w:rsidP="009E1FBB">
      <w:pPr>
        <w:pStyle w:val="FootnoteText"/>
        <w:jc w:val="both"/>
        <w:rPr>
          <w:rFonts w:ascii="Calibri Light" w:hAnsi="Calibri Light" w:cs="Calibri Light"/>
          <w:sz w:val="24"/>
          <w:szCs w:val="24"/>
        </w:rPr>
      </w:pPr>
      <w:r>
        <w:rPr>
          <w:rStyle w:val="FootnoteReference"/>
        </w:rPr>
        <w:footnoteRef/>
      </w:r>
      <w:r>
        <w:t xml:space="preserve"> </w:t>
      </w:r>
      <w:r w:rsidRPr="00CB6BA3">
        <w:rPr>
          <w:rFonts w:ascii="Calibri Light" w:hAnsi="Calibri Light" w:cs="Calibri Light"/>
          <w:sz w:val="24"/>
          <w:szCs w:val="24"/>
        </w:rPr>
        <w:t>Only 16 universities have total offshore collaborative enrolments of more 1,000</w:t>
      </w:r>
      <w:r>
        <w:rPr>
          <w:rFonts w:ascii="Calibri Light" w:hAnsi="Calibri Light" w:cs="Calibri Light"/>
          <w:sz w:val="24"/>
          <w:szCs w:val="24"/>
        </w:rPr>
        <w:t>.</w:t>
      </w:r>
    </w:p>
    <w:p w14:paraId="27F3D0E1" w14:textId="7158D60B" w:rsidR="0040017D" w:rsidRDefault="0040017D">
      <w:pPr>
        <w:pStyle w:val="FootnoteText"/>
      </w:pPr>
    </w:p>
  </w:footnote>
  <w:footnote w:id="21">
    <w:p w14:paraId="602FAA51" w14:textId="461F97A5" w:rsidR="0040017D" w:rsidRPr="00CB6BA3" w:rsidRDefault="0040017D" w:rsidP="0036647C">
      <w:pPr>
        <w:pStyle w:val="FootnoteText"/>
        <w:jc w:val="both"/>
        <w:rPr>
          <w:rFonts w:ascii="Calibri Light" w:hAnsi="Calibri Light" w:cs="Calibri Light"/>
          <w:sz w:val="24"/>
          <w:szCs w:val="24"/>
        </w:rPr>
      </w:pPr>
      <w:r w:rsidRPr="00CB6BA3">
        <w:rPr>
          <w:rStyle w:val="FootnoteReference"/>
          <w:rFonts w:ascii="Calibri Light" w:hAnsi="Calibri Light" w:cs="Calibri Light"/>
          <w:sz w:val="24"/>
          <w:szCs w:val="24"/>
        </w:rPr>
        <w:footnoteRef/>
      </w:r>
      <w:r w:rsidRPr="00CB6BA3">
        <w:rPr>
          <w:rFonts w:ascii="Calibri Light" w:hAnsi="Calibri Light" w:cs="Calibri Light"/>
          <w:sz w:val="24"/>
          <w:szCs w:val="24"/>
        </w:rPr>
        <w:t xml:space="preserve">  In 2015/16, these exceeded 1,000 in only six </w:t>
      </w:r>
      <w:r>
        <w:rPr>
          <w:rFonts w:ascii="Calibri Light" w:hAnsi="Calibri Light" w:cs="Calibri Light"/>
          <w:sz w:val="24"/>
          <w:szCs w:val="24"/>
        </w:rPr>
        <w:t xml:space="preserve">EU </w:t>
      </w:r>
      <w:r w:rsidRPr="00CB6BA3">
        <w:rPr>
          <w:rFonts w:ascii="Calibri Light" w:hAnsi="Calibri Light" w:cs="Calibri Light"/>
          <w:sz w:val="24"/>
          <w:szCs w:val="24"/>
        </w:rPr>
        <w:t>countries</w:t>
      </w:r>
      <w:r>
        <w:rPr>
          <w:rFonts w:ascii="Calibri Light" w:hAnsi="Calibri Light" w:cs="Calibri Light"/>
          <w:sz w:val="24"/>
          <w:szCs w:val="24"/>
        </w:rPr>
        <w:t>.</w:t>
      </w:r>
      <w:r w:rsidRPr="00CB6BA3">
        <w:rPr>
          <w:rFonts w:ascii="Calibri Light" w:hAnsi="Calibri Light" w:cs="Calibri Light"/>
          <w:sz w:val="24"/>
          <w:szCs w:val="24"/>
        </w:rPr>
        <w:t xml:space="preserve"> </w:t>
      </w:r>
    </w:p>
  </w:footnote>
  <w:footnote w:id="22">
    <w:p w14:paraId="5BF48743" w14:textId="0283CA97" w:rsidR="0040017D" w:rsidRPr="004B5EE0" w:rsidRDefault="0040017D" w:rsidP="0036647C">
      <w:pPr>
        <w:pStyle w:val="FootnoteText"/>
        <w:jc w:val="both"/>
        <w:rPr>
          <w:rFonts w:ascii="Calibri Light" w:hAnsi="Calibri Light" w:cs="Calibri Light"/>
          <w:sz w:val="24"/>
          <w:szCs w:val="24"/>
        </w:rPr>
      </w:pPr>
      <w:r w:rsidRPr="004B5EE0">
        <w:rPr>
          <w:rStyle w:val="FootnoteReference"/>
          <w:rFonts w:ascii="Calibri Light" w:hAnsi="Calibri Light" w:cs="Calibri Light"/>
          <w:sz w:val="24"/>
          <w:szCs w:val="24"/>
        </w:rPr>
        <w:footnoteRef/>
      </w:r>
      <w:r w:rsidRPr="004B5EE0">
        <w:rPr>
          <w:rFonts w:ascii="Calibri Light" w:hAnsi="Calibri Light" w:cs="Calibri Light"/>
          <w:sz w:val="24"/>
          <w:szCs w:val="24"/>
        </w:rPr>
        <w:t xml:space="preserve"> Some universities have student intakes later in the year but it appears that these are generally quite limited and </w:t>
      </w:r>
      <w:r>
        <w:rPr>
          <w:rFonts w:ascii="Calibri Light" w:hAnsi="Calibri Light" w:cs="Calibri Light"/>
          <w:sz w:val="24"/>
          <w:szCs w:val="24"/>
        </w:rPr>
        <w:t xml:space="preserve">mainly </w:t>
      </w:r>
      <w:r w:rsidRPr="004B5EE0">
        <w:rPr>
          <w:rFonts w:ascii="Calibri Light" w:hAnsi="Calibri Light" w:cs="Calibri Light"/>
          <w:sz w:val="24"/>
          <w:szCs w:val="24"/>
        </w:rPr>
        <w:t>confined to ODL courses.</w:t>
      </w:r>
    </w:p>
  </w:footnote>
  <w:footnote w:id="23">
    <w:p w14:paraId="3BEF8A1D" w14:textId="0B2E4349" w:rsidR="0040017D" w:rsidRPr="00D32B25" w:rsidRDefault="0040017D">
      <w:pPr>
        <w:pStyle w:val="FootnoteText"/>
        <w:rPr>
          <w:rFonts w:ascii="Calibri Light" w:hAnsi="Calibri Light" w:cs="Calibri Light"/>
          <w:sz w:val="24"/>
          <w:szCs w:val="24"/>
        </w:rPr>
      </w:pPr>
      <w:r w:rsidRPr="00D32B25">
        <w:rPr>
          <w:rStyle w:val="FootnoteReference"/>
          <w:rFonts w:ascii="Calibri Light" w:hAnsi="Calibri Light" w:cs="Calibri Light"/>
          <w:sz w:val="24"/>
          <w:szCs w:val="24"/>
        </w:rPr>
        <w:footnoteRef/>
      </w:r>
      <w:r w:rsidRPr="00D32B25">
        <w:rPr>
          <w:rFonts w:ascii="Calibri Light" w:hAnsi="Calibri Light" w:cs="Calibri Light"/>
          <w:sz w:val="24"/>
          <w:szCs w:val="24"/>
        </w:rPr>
        <w:t xml:space="preserve"> Separate data on dropouts and intakes is not available.</w:t>
      </w:r>
    </w:p>
  </w:footnote>
  <w:footnote w:id="24">
    <w:p w14:paraId="65031190" w14:textId="2D56C662" w:rsidR="0040017D" w:rsidRPr="002B539E" w:rsidRDefault="0040017D" w:rsidP="002B539E">
      <w:pPr>
        <w:pStyle w:val="FootnoteText"/>
        <w:jc w:val="both"/>
        <w:rPr>
          <w:rFonts w:ascii="Calibri Light" w:hAnsi="Calibri Light" w:cs="Calibri Light"/>
          <w:sz w:val="24"/>
          <w:szCs w:val="24"/>
        </w:rPr>
      </w:pPr>
      <w:r w:rsidRPr="002B539E">
        <w:rPr>
          <w:rStyle w:val="FootnoteReference"/>
          <w:rFonts w:ascii="Calibri Light" w:hAnsi="Calibri Light" w:cs="Calibri Light"/>
          <w:sz w:val="24"/>
          <w:szCs w:val="24"/>
        </w:rPr>
        <w:footnoteRef/>
      </w:r>
      <w:r w:rsidRPr="002B539E">
        <w:rPr>
          <w:rFonts w:ascii="Calibri Light" w:hAnsi="Calibri Light" w:cs="Calibri Light"/>
          <w:sz w:val="24"/>
          <w:szCs w:val="24"/>
        </w:rPr>
        <w:t xml:space="preserve"> The two types of institutional partnerships have been combined in this table because of inconsistencies in the reporting of these enrolments by some FOIA respondents. </w:t>
      </w:r>
    </w:p>
  </w:footnote>
  <w:footnote w:id="25">
    <w:p w14:paraId="20EAACE5" w14:textId="3CBAF965" w:rsidR="0040017D" w:rsidRPr="002B539E" w:rsidRDefault="0040017D">
      <w:pPr>
        <w:pStyle w:val="FootnoteText"/>
        <w:rPr>
          <w:rFonts w:ascii="Calibri Light" w:hAnsi="Calibri Light" w:cs="Calibri Light"/>
          <w:sz w:val="24"/>
          <w:szCs w:val="24"/>
        </w:rPr>
      </w:pPr>
      <w:r w:rsidRPr="002B539E">
        <w:rPr>
          <w:rStyle w:val="FootnoteReference"/>
          <w:rFonts w:ascii="Calibri Light" w:hAnsi="Calibri Light" w:cs="Calibri Light"/>
          <w:sz w:val="24"/>
          <w:szCs w:val="24"/>
        </w:rPr>
        <w:footnoteRef/>
      </w:r>
      <w:r w:rsidRPr="002B539E">
        <w:rPr>
          <w:rFonts w:ascii="Calibri Light" w:hAnsi="Calibri Light" w:cs="Calibri Light"/>
          <w:sz w:val="24"/>
          <w:szCs w:val="24"/>
        </w:rPr>
        <w:t xml:space="preserve"> A large part o</w:t>
      </w:r>
      <w:r>
        <w:rPr>
          <w:rFonts w:ascii="Calibri Light" w:hAnsi="Calibri Light" w:cs="Calibri Light"/>
          <w:sz w:val="24"/>
          <w:szCs w:val="24"/>
        </w:rPr>
        <w:t xml:space="preserve">f </w:t>
      </w:r>
      <w:r w:rsidRPr="002B539E">
        <w:rPr>
          <w:rFonts w:ascii="Calibri Light" w:hAnsi="Calibri Light" w:cs="Calibri Light"/>
          <w:sz w:val="24"/>
          <w:szCs w:val="24"/>
        </w:rPr>
        <w:t>this increase was accounted for by the Open U</w:t>
      </w:r>
      <w:r>
        <w:rPr>
          <w:rFonts w:ascii="Calibri Light" w:hAnsi="Calibri Light" w:cs="Calibri Light"/>
          <w:sz w:val="24"/>
          <w:szCs w:val="24"/>
        </w:rPr>
        <w:t>niversity who</w:t>
      </w:r>
      <w:r w:rsidRPr="002B539E">
        <w:rPr>
          <w:rFonts w:ascii="Calibri Light" w:hAnsi="Calibri Light" w:cs="Calibri Light"/>
          <w:sz w:val="24"/>
          <w:szCs w:val="24"/>
        </w:rPr>
        <w:t xml:space="preserve">se EU enrolments increased from </w:t>
      </w:r>
      <w:r>
        <w:rPr>
          <w:rFonts w:ascii="Calibri Light" w:hAnsi="Calibri Light" w:cs="Calibri Light"/>
          <w:sz w:val="24"/>
          <w:szCs w:val="24"/>
        </w:rPr>
        <w:t>4,375 i</w:t>
      </w:r>
      <w:r w:rsidRPr="002B539E">
        <w:rPr>
          <w:rFonts w:ascii="Calibri Light" w:hAnsi="Calibri Light" w:cs="Calibri Light"/>
          <w:sz w:val="24"/>
          <w:szCs w:val="24"/>
        </w:rPr>
        <w:t xml:space="preserve">n 2019/20 to </w:t>
      </w:r>
      <w:r>
        <w:rPr>
          <w:rFonts w:ascii="Calibri Light" w:hAnsi="Calibri Light" w:cs="Calibri Light"/>
          <w:sz w:val="24"/>
          <w:szCs w:val="24"/>
        </w:rPr>
        <w:t xml:space="preserve">12,000 </w:t>
      </w:r>
      <w:r w:rsidRPr="002B539E">
        <w:rPr>
          <w:rFonts w:ascii="Calibri Light" w:hAnsi="Calibri Light" w:cs="Calibri Light"/>
          <w:sz w:val="24"/>
          <w:szCs w:val="24"/>
        </w:rPr>
        <w:t>in November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423C"/>
    <w:multiLevelType w:val="multilevel"/>
    <w:tmpl w:val="0DEC5A60"/>
    <w:lvl w:ilvl="0">
      <w:start w:val="4"/>
      <w:numFmt w:val="decimal"/>
      <w:lvlText w:val="%1."/>
      <w:lvlJc w:val="left"/>
      <w:pPr>
        <w:ind w:left="644" w:hanging="360"/>
      </w:pPr>
      <w:rPr>
        <w:rFonts w:hint="default"/>
      </w:rPr>
    </w:lvl>
    <w:lvl w:ilvl="1">
      <w:start w:val="1"/>
      <w:numFmt w:val="decimal"/>
      <w:isLgl/>
      <w:lvlText w:val="%1.%2"/>
      <w:lvlJc w:val="left"/>
      <w:pPr>
        <w:ind w:left="752" w:hanging="468"/>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6482E76"/>
    <w:multiLevelType w:val="hybridMultilevel"/>
    <w:tmpl w:val="3884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F1770"/>
    <w:multiLevelType w:val="multilevel"/>
    <w:tmpl w:val="C974E1E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512BB4"/>
    <w:multiLevelType w:val="hybridMultilevel"/>
    <w:tmpl w:val="95F0A032"/>
    <w:lvl w:ilvl="0" w:tplc="499EA12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85D65"/>
    <w:multiLevelType w:val="multilevel"/>
    <w:tmpl w:val="7D92B290"/>
    <w:lvl w:ilvl="0">
      <w:start w:val="1"/>
      <w:numFmt w:val="decimal"/>
      <w:pStyle w:val="FILHeader1"/>
      <w:lvlText w:val="%1."/>
      <w:lvlJc w:val="left"/>
      <w:pPr>
        <w:ind w:left="720" w:hanging="360"/>
      </w:pPr>
      <w:rPr>
        <w:rFonts w:hint="default"/>
      </w:r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816064"/>
    <w:multiLevelType w:val="hybridMultilevel"/>
    <w:tmpl w:val="2794C648"/>
    <w:lvl w:ilvl="0" w:tplc="120482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5D03A0"/>
    <w:multiLevelType w:val="hybridMultilevel"/>
    <w:tmpl w:val="BEA8B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B72D7"/>
    <w:multiLevelType w:val="hybridMultilevel"/>
    <w:tmpl w:val="E65E2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424438"/>
    <w:multiLevelType w:val="hybridMultilevel"/>
    <w:tmpl w:val="F5381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B60CA"/>
    <w:multiLevelType w:val="hybridMultilevel"/>
    <w:tmpl w:val="0302A2D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C05E1"/>
    <w:multiLevelType w:val="hybridMultilevel"/>
    <w:tmpl w:val="8DCC464A"/>
    <w:lvl w:ilvl="0" w:tplc="1482111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2360F0"/>
    <w:multiLevelType w:val="hybridMultilevel"/>
    <w:tmpl w:val="DC4A8D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FF4C55"/>
    <w:multiLevelType w:val="multilevel"/>
    <w:tmpl w:val="36D845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7125DD"/>
    <w:multiLevelType w:val="hybridMultilevel"/>
    <w:tmpl w:val="7D72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F77BA0"/>
    <w:multiLevelType w:val="hybridMultilevel"/>
    <w:tmpl w:val="BEA8B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DD74C4"/>
    <w:multiLevelType w:val="hybridMultilevel"/>
    <w:tmpl w:val="ACEA10A4"/>
    <w:lvl w:ilvl="0" w:tplc="4230865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93E59C8"/>
    <w:multiLevelType w:val="hybridMultilevel"/>
    <w:tmpl w:val="5190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795E11"/>
    <w:multiLevelType w:val="hybridMultilevel"/>
    <w:tmpl w:val="07047E4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CD02B4"/>
    <w:multiLevelType w:val="hybridMultilevel"/>
    <w:tmpl w:val="21FAD6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C179B6"/>
    <w:multiLevelType w:val="hybridMultilevel"/>
    <w:tmpl w:val="C0041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F2592"/>
    <w:multiLevelType w:val="hybridMultilevel"/>
    <w:tmpl w:val="8BA01A7C"/>
    <w:lvl w:ilvl="0" w:tplc="0F6AC0F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43020C8"/>
    <w:multiLevelType w:val="hybridMultilevel"/>
    <w:tmpl w:val="BDB09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D3418D"/>
    <w:multiLevelType w:val="hybridMultilevel"/>
    <w:tmpl w:val="A170D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2"/>
  </w:num>
  <w:num w:numId="3">
    <w:abstractNumId w:val="5"/>
  </w:num>
  <w:num w:numId="4">
    <w:abstractNumId w:val="14"/>
  </w:num>
  <w:num w:numId="5">
    <w:abstractNumId w:val="20"/>
  </w:num>
  <w:num w:numId="6">
    <w:abstractNumId w:val="6"/>
  </w:num>
  <w:num w:numId="7">
    <w:abstractNumId w:val="15"/>
  </w:num>
  <w:num w:numId="8">
    <w:abstractNumId w:val="17"/>
  </w:num>
  <w:num w:numId="9">
    <w:abstractNumId w:val="4"/>
  </w:num>
  <w:num w:numId="10">
    <w:abstractNumId w:val="0"/>
  </w:num>
  <w:num w:numId="11">
    <w:abstractNumId w:val="10"/>
  </w:num>
  <w:num w:numId="12">
    <w:abstractNumId w:val="9"/>
  </w:num>
  <w:num w:numId="13">
    <w:abstractNumId w:val="16"/>
  </w:num>
  <w:num w:numId="14">
    <w:abstractNumId w:val="13"/>
  </w:num>
  <w:num w:numId="15">
    <w:abstractNumId w:val="2"/>
  </w:num>
  <w:num w:numId="16">
    <w:abstractNumId w:val="12"/>
  </w:num>
  <w:num w:numId="17">
    <w:abstractNumId w:val="18"/>
  </w:num>
  <w:num w:numId="18">
    <w:abstractNumId w:val="1"/>
  </w:num>
  <w:num w:numId="19">
    <w:abstractNumId w:val="8"/>
  </w:num>
  <w:num w:numId="20">
    <w:abstractNumId w:val="11"/>
  </w:num>
  <w:num w:numId="21">
    <w:abstractNumId w:val="3"/>
  </w:num>
  <w:num w:numId="22">
    <w:abstractNumId w:val="4"/>
    <w:lvlOverride w:ilvl="0">
      <w:startOverride w:val="4"/>
    </w:lvlOverride>
    <w:lvlOverride w:ilvl="1">
      <w:startOverride w:val="1"/>
    </w:lvlOverride>
  </w:num>
  <w:num w:numId="23">
    <w:abstractNumId w:val="4"/>
    <w:lvlOverride w:ilvl="0">
      <w:startOverride w:val="4"/>
    </w:lvlOverride>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9C"/>
    <w:rsid w:val="00001780"/>
    <w:rsid w:val="000019A9"/>
    <w:rsid w:val="00003B22"/>
    <w:rsid w:val="00003F8D"/>
    <w:rsid w:val="00006CB3"/>
    <w:rsid w:val="00006F1E"/>
    <w:rsid w:val="000106D6"/>
    <w:rsid w:val="00015C21"/>
    <w:rsid w:val="00016991"/>
    <w:rsid w:val="00016C41"/>
    <w:rsid w:val="00016D28"/>
    <w:rsid w:val="000222C7"/>
    <w:rsid w:val="0002425C"/>
    <w:rsid w:val="00024B80"/>
    <w:rsid w:val="00026F88"/>
    <w:rsid w:val="00031ECC"/>
    <w:rsid w:val="00033D2B"/>
    <w:rsid w:val="00034A22"/>
    <w:rsid w:val="00036FBF"/>
    <w:rsid w:val="0004148E"/>
    <w:rsid w:val="00041EB4"/>
    <w:rsid w:val="00045343"/>
    <w:rsid w:val="000476CC"/>
    <w:rsid w:val="00051299"/>
    <w:rsid w:val="00051DDE"/>
    <w:rsid w:val="00051F3E"/>
    <w:rsid w:val="00052B5F"/>
    <w:rsid w:val="0005319B"/>
    <w:rsid w:val="000545D5"/>
    <w:rsid w:val="0005508F"/>
    <w:rsid w:val="000552CC"/>
    <w:rsid w:val="00061021"/>
    <w:rsid w:val="0006115D"/>
    <w:rsid w:val="0006196B"/>
    <w:rsid w:val="000659F6"/>
    <w:rsid w:val="000672E5"/>
    <w:rsid w:val="00070B04"/>
    <w:rsid w:val="00072915"/>
    <w:rsid w:val="00073C22"/>
    <w:rsid w:val="0007407E"/>
    <w:rsid w:val="00074E80"/>
    <w:rsid w:val="00077276"/>
    <w:rsid w:val="000773F4"/>
    <w:rsid w:val="000818BD"/>
    <w:rsid w:val="00082567"/>
    <w:rsid w:val="000829B8"/>
    <w:rsid w:val="00082A80"/>
    <w:rsid w:val="00085421"/>
    <w:rsid w:val="00086927"/>
    <w:rsid w:val="000900B6"/>
    <w:rsid w:val="000918DD"/>
    <w:rsid w:val="00094062"/>
    <w:rsid w:val="000955A3"/>
    <w:rsid w:val="000974A1"/>
    <w:rsid w:val="000A37C0"/>
    <w:rsid w:val="000A5C19"/>
    <w:rsid w:val="000A7E35"/>
    <w:rsid w:val="000A7F40"/>
    <w:rsid w:val="000B15C3"/>
    <w:rsid w:val="000B1987"/>
    <w:rsid w:val="000B422F"/>
    <w:rsid w:val="000B51EC"/>
    <w:rsid w:val="000B5E55"/>
    <w:rsid w:val="000B5FEC"/>
    <w:rsid w:val="000C073D"/>
    <w:rsid w:val="000C1BF6"/>
    <w:rsid w:val="000C76FB"/>
    <w:rsid w:val="000D037C"/>
    <w:rsid w:val="000D13A6"/>
    <w:rsid w:val="000D6D14"/>
    <w:rsid w:val="000E519E"/>
    <w:rsid w:val="000F2ABA"/>
    <w:rsid w:val="000F44B3"/>
    <w:rsid w:val="000F53FA"/>
    <w:rsid w:val="000F5CAB"/>
    <w:rsid w:val="000F6275"/>
    <w:rsid w:val="000F647A"/>
    <w:rsid w:val="00102E1D"/>
    <w:rsid w:val="00104AC7"/>
    <w:rsid w:val="00107D43"/>
    <w:rsid w:val="001101AE"/>
    <w:rsid w:val="0011133F"/>
    <w:rsid w:val="00112CB9"/>
    <w:rsid w:val="00113304"/>
    <w:rsid w:val="0011515E"/>
    <w:rsid w:val="00116C6B"/>
    <w:rsid w:val="00117F22"/>
    <w:rsid w:val="001216FB"/>
    <w:rsid w:val="00121B5C"/>
    <w:rsid w:val="00123960"/>
    <w:rsid w:val="00125E64"/>
    <w:rsid w:val="0012649F"/>
    <w:rsid w:val="001269C8"/>
    <w:rsid w:val="001302F2"/>
    <w:rsid w:val="0013341D"/>
    <w:rsid w:val="00133C05"/>
    <w:rsid w:val="00134DD6"/>
    <w:rsid w:val="00135677"/>
    <w:rsid w:val="001361CA"/>
    <w:rsid w:val="00136AE4"/>
    <w:rsid w:val="00141902"/>
    <w:rsid w:val="00142014"/>
    <w:rsid w:val="001440E4"/>
    <w:rsid w:val="00144EEB"/>
    <w:rsid w:val="00145287"/>
    <w:rsid w:val="00147185"/>
    <w:rsid w:val="00147A00"/>
    <w:rsid w:val="00152C17"/>
    <w:rsid w:val="001565B8"/>
    <w:rsid w:val="00156AAE"/>
    <w:rsid w:val="001578C7"/>
    <w:rsid w:val="00160043"/>
    <w:rsid w:val="001613C2"/>
    <w:rsid w:val="001614FF"/>
    <w:rsid w:val="00161842"/>
    <w:rsid w:val="00161940"/>
    <w:rsid w:val="001639AC"/>
    <w:rsid w:val="00164A3A"/>
    <w:rsid w:val="0016790C"/>
    <w:rsid w:val="001711B9"/>
    <w:rsid w:val="0017420A"/>
    <w:rsid w:val="001745E9"/>
    <w:rsid w:val="001759CD"/>
    <w:rsid w:val="00177909"/>
    <w:rsid w:val="00177C4D"/>
    <w:rsid w:val="001806C6"/>
    <w:rsid w:val="00180784"/>
    <w:rsid w:val="00181873"/>
    <w:rsid w:val="00181E09"/>
    <w:rsid w:val="0018374E"/>
    <w:rsid w:val="001845A9"/>
    <w:rsid w:val="00192E56"/>
    <w:rsid w:val="00192EAC"/>
    <w:rsid w:val="001955FF"/>
    <w:rsid w:val="00195FA7"/>
    <w:rsid w:val="0019697C"/>
    <w:rsid w:val="00196A59"/>
    <w:rsid w:val="001971E0"/>
    <w:rsid w:val="00197B85"/>
    <w:rsid w:val="001A2081"/>
    <w:rsid w:val="001A470B"/>
    <w:rsid w:val="001A4C0D"/>
    <w:rsid w:val="001A7BE1"/>
    <w:rsid w:val="001B1DB5"/>
    <w:rsid w:val="001B267A"/>
    <w:rsid w:val="001B2A6E"/>
    <w:rsid w:val="001C0DFA"/>
    <w:rsid w:val="001C0E84"/>
    <w:rsid w:val="001C3EB8"/>
    <w:rsid w:val="001C4952"/>
    <w:rsid w:val="001C56F8"/>
    <w:rsid w:val="001D522D"/>
    <w:rsid w:val="001D5CC1"/>
    <w:rsid w:val="001D5F94"/>
    <w:rsid w:val="001E0F28"/>
    <w:rsid w:val="001E362D"/>
    <w:rsid w:val="001E48C3"/>
    <w:rsid w:val="001E4C06"/>
    <w:rsid w:val="001E4D55"/>
    <w:rsid w:val="001E770A"/>
    <w:rsid w:val="001F02FD"/>
    <w:rsid w:val="001F0FB0"/>
    <w:rsid w:val="001F1364"/>
    <w:rsid w:val="001F1E3E"/>
    <w:rsid w:val="001F32AC"/>
    <w:rsid w:val="001F47A8"/>
    <w:rsid w:val="001F4BCE"/>
    <w:rsid w:val="001F62C5"/>
    <w:rsid w:val="001F7D13"/>
    <w:rsid w:val="0020029E"/>
    <w:rsid w:val="0020153F"/>
    <w:rsid w:val="00202CBD"/>
    <w:rsid w:val="0020487B"/>
    <w:rsid w:val="00204931"/>
    <w:rsid w:val="00205F19"/>
    <w:rsid w:val="002071FE"/>
    <w:rsid w:val="00207BDE"/>
    <w:rsid w:val="00210B51"/>
    <w:rsid w:val="00213D62"/>
    <w:rsid w:val="00216EAA"/>
    <w:rsid w:val="002179DA"/>
    <w:rsid w:val="002213EA"/>
    <w:rsid w:val="00222999"/>
    <w:rsid w:val="00225A02"/>
    <w:rsid w:val="00230635"/>
    <w:rsid w:val="0023196F"/>
    <w:rsid w:val="00231A6F"/>
    <w:rsid w:val="00233130"/>
    <w:rsid w:val="00234CE3"/>
    <w:rsid w:val="00234F4F"/>
    <w:rsid w:val="00235DEA"/>
    <w:rsid w:val="00236A97"/>
    <w:rsid w:val="00240DAE"/>
    <w:rsid w:val="00241A5A"/>
    <w:rsid w:val="00242083"/>
    <w:rsid w:val="002450D7"/>
    <w:rsid w:val="002479AD"/>
    <w:rsid w:val="00250065"/>
    <w:rsid w:val="00250535"/>
    <w:rsid w:val="0025120D"/>
    <w:rsid w:val="00251438"/>
    <w:rsid w:val="00252343"/>
    <w:rsid w:val="00252DC8"/>
    <w:rsid w:val="00254527"/>
    <w:rsid w:val="0026047E"/>
    <w:rsid w:val="00261E90"/>
    <w:rsid w:val="00263158"/>
    <w:rsid w:val="0026399B"/>
    <w:rsid w:val="0026435A"/>
    <w:rsid w:val="002659ED"/>
    <w:rsid w:val="00272DB8"/>
    <w:rsid w:val="002750A8"/>
    <w:rsid w:val="00275141"/>
    <w:rsid w:val="00275964"/>
    <w:rsid w:val="00276BFD"/>
    <w:rsid w:val="00281044"/>
    <w:rsid w:val="00282AB8"/>
    <w:rsid w:val="00283A56"/>
    <w:rsid w:val="002847E8"/>
    <w:rsid w:val="002854A3"/>
    <w:rsid w:val="002862B5"/>
    <w:rsid w:val="00286423"/>
    <w:rsid w:val="00286846"/>
    <w:rsid w:val="00287957"/>
    <w:rsid w:val="00287F34"/>
    <w:rsid w:val="002917CC"/>
    <w:rsid w:val="00292F15"/>
    <w:rsid w:val="002941B6"/>
    <w:rsid w:val="002951B3"/>
    <w:rsid w:val="002966B2"/>
    <w:rsid w:val="00296D8F"/>
    <w:rsid w:val="00297C20"/>
    <w:rsid w:val="002A1F63"/>
    <w:rsid w:val="002A2CCE"/>
    <w:rsid w:val="002A3473"/>
    <w:rsid w:val="002A3B93"/>
    <w:rsid w:val="002A3F54"/>
    <w:rsid w:val="002A51F4"/>
    <w:rsid w:val="002A5587"/>
    <w:rsid w:val="002A5DD4"/>
    <w:rsid w:val="002A607F"/>
    <w:rsid w:val="002B106E"/>
    <w:rsid w:val="002B3FC0"/>
    <w:rsid w:val="002B539E"/>
    <w:rsid w:val="002B58EA"/>
    <w:rsid w:val="002B5C9D"/>
    <w:rsid w:val="002B5CA0"/>
    <w:rsid w:val="002C2842"/>
    <w:rsid w:val="002C4B8E"/>
    <w:rsid w:val="002C7FC8"/>
    <w:rsid w:val="002D173F"/>
    <w:rsid w:val="002D2FC3"/>
    <w:rsid w:val="002D49F0"/>
    <w:rsid w:val="002D55D6"/>
    <w:rsid w:val="002D7708"/>
    <w:rsid w:val="002E1135"/>
    <w:rsid w:val="002E1634"/>
    <w:rsid w:val="002E1B1C"/>
    <w:rsid w:val="002E1D69"/>
    <w:rsid w:val="002E358C"/>
    <w:rsid w:val="002E43FF"/>
    <w:rsid w:val="002E76C6"/>
    <w:rsid w:val="002F0839"/>
    <w:rsid w:val="002F0FBD"/>
    <w:rsid w:val="002F3E1F"/>
    <w:rsid w:val="002F4B45"/>
    <w:rsid w:val="002F6E05"/>
    <w:rsid w:val="002F746D"/>
    <w:rsid w:val="002F7E89"/>
    <w:rsid w:val="003014EA"/>
    <w:rsid w:val="00303404"/>
    <w:rsid w:val="003045D9"/>
    <w:rsid w:val="003059F0"/>
    <w:rsid w:val="003070FD"/>
    <w:rsid w:val="003103BC"/>
    <w:rsid w:val="003114AC"/>
    <w:rsid w:val="00313A91"/>
    <w:rsid w:val="00317CC1"/>
    <w:rsid w:val="00322828"/>
    <w:rsid w:val="003302DD"/>
    <w:rsid w:val="00330A82"/>
    <w:rsid w:val="003330BB"/>
    <w:rsid w:val="003334BE"/>
    <w:rsid w:val="003376FE"/>
    <w:rsid w:val="0034322C"/>
    <w:rsid w:val="00343D47"/>
    <w:rsid w:val="003446D3"/>
    <w:rsid w:val="00344A64"/>
    <w:rsid w:val="00345FCF"/>
    <w:rsid w:val="003475C1"/>
    <w:rsid w:val="0035770C"/>
    <w:rsid w:val="00362C38"/>
    <w:rsid w:val="003660D0"/>
    <w:rsid w:val="00366285"/>
    <w:rsid w:val="0036647C"/>
    <w:rsid w:val="00367126"/>
    <w:rsid w:val="00367C2E"/>
    <w:rsid w:val="0037368F"/>
    <w:rsid w:val="00382474"/>
    <w:rsid w:val="003875F7"/>
    <w:rsid w:val="00392378"/>
    <w:rsid w:val="003925AA"/>
    <w:rsid w:val="00393164"/>
    <w:rsid w:val="0039414B"/>
    <w:rsid w:val="003949A1"/>
    <w:rsid w:val="00394BDF"/>
    <w:rsid w:val="003A19CD"/>
    <w:rsid w:val="003A4008"/>
    <w:rsid w:val="003A51CF"/>
    <w:rsid w:val="003A5E32"/>
    <w:rsid w:val="003A6510"/>
    <w:rsid w:val="003A77FF"/>
    <w:rsid w:val="003B0034"/>
    <w:rsid w:val="003B22C1"/>
    <w:rsid w:val="003B6ACB"/>
    <w:rsid w:val="003C2F45"/>
    <w:rsid w:val="003C35B6"/>
    <w:rsid w:val="003C52C1"/>
    <w:rsid w:val="003C542E"/>
    <w:rsid w:val="003C7F32"/>
    <w:rsid w:val="003D3B1C"/>
    <w:rsid w:val="003D5B9C"/>
    <w:rsid w:val="003D7AC1"/>
    <w:rsid w:val="003E07A8"/>
    <w:rsid w:val="003E0BA5"/>
    <w:rsid w:val="003E18CA"/>
    <w:rsid w:val="003E239F"/>
    <w:rsid w:val="003E2958"/>
    <w:rsid w:val="003E40FD"/>
    <w:rsid w:val="003E46A5"/>
    <w:rsid w:val="003E46D2"/>
    <w:rsid w:val="003E47F6"/>
    <w:rsid w:val="003E47FA"/>
    <w:rsid w:val="003F249D"/>
    <w:rsid w:val="003F31F6"/>
    <w:rsid w:val="003F3C94"/>
    <w:rsid w:val="003F4101"/>
    <w:rsid w:val="003F4864"/>
    <w:rsid w:val="003F558D"/>
    <w:rsid w:val="003F58AD"/>
    <w:rsid w:val="003F5991"/>
    <w:rsid w:val="003F67EF"/>
    <w:rsid w:val="003F7E50"/>
    <w:rsid w:val="0040017D"/>
    <w:rsid w:val="00403F23"/>
    <w:rsid w:val="0040733D"/>
    <w:rsid w:val="00411E79"/>
    <w:rsid w:val="00414BE1"/>
    <w:rsid w:val="004151EB"/>
    <w:rsid w:val="00415DF6"/>
    <w:rsid w:val="00416090"/>
    <w:rsid w:val="00417794"/>
    <w:rsid w:val="0042248F"/>
    <w:rsid w:val="004258C4"/>
    <w:rsid w:val="00432A63"/>
    <w:rsid w:val="00433D4C"/>
    <w:rsid w:val="004346A2"/>
    <w:rsid w:val="004373E3"/>
    <w:rsid w:val="004408A3"/>
    <w:rsid w:val="004417C5"/>
    <w:rsid w:val="00444721"/>
    <w:rsid w:val="004449AA"/>
    <w:rsid w:val="00444ED1"/>
    <w:rsid w:val="00451A9C"/>
    <w:rsid w:val="00452AC8"/>
    <w:rsid w:val="00452E4C"/>
    <w:rsid w:val="0046203C"/>
    <w:rsid w:val="00464E8E"/>
    <w:rsid w:val="00471893"/>
    <w:rsid w:val="00474484"/>
    <w:rsid w:val="004767A4"/>
    <w:rsid w:val="00480FF8"/>
    <w:rsid w:val="00485405"/>
    <w:rsid w:val="0048579E"/>
    <w:rsid w:val="00485A9F"/>
    <w:rsid w:val="004866BB"/>
    <w:rsid w:val="00493CB2"/>
    <w:rsid w:val="00494069"/>
    <w:rsid w:val="00496A82"/>
    <w:rsid w:val="004A0133"/>
    <w:rsid w:val="004A060A"/>
    <w:rsid w:val="004A0F2D"/>
    <w:rsid w:val="004A164E"/>
    <w:rsid w:val="004A1AEF"/>
    <w:rsid w:val="004A47D9"/>
    <w:rsid w:val="004A5C56"/>
    <w:rsid w:val="004A6D53"/>
    <w:rsid w:val="004A77E0"/>
    <w:rsid w:val="004B0293"/>
    <w:rsid w:val="004B0C8E"/>
    <w:rsid w:val="004B3237"/>
    <w:rsid w:val="004B5EE0"/>
    <w:rsid w:val="004C03AF"/>
    <w:rsid w:val="004C0B53"/>
    <w:rsid w:val="004C1EB6"/>
    <w:rsid w:val="004C55E1"/>
    <w:rsid w:val="004C7435"/>
    <w:rsid w:val="004D2559"/>
    <w:rsid w:val="004D42F9"/>
    <w:rsid w:val="004D4B80"/>
    <w:rsid w:val="004D5AEE"/>
    <w:rsid w:val="004D7393"/>
    <w:rsid w:val="004D7DCC"/>
    <w:rsid w:val="004E0121"/>
    <w:rsid w:val="004E0264"/>
    <w:rsid w:val="004E115A"/>
    <w:rsid w:val="004E206F"/>
    <w:rsid w:val="004E40C8"/>
    <w:rsid w:val="004E5AC0"/>
    <w:rsid w:val="004E7E2A"/>
    <w:rsid w:val="004F06BA"/>
    <w:rsid w:val="004F1C49"/>
    <w:rsid w:val="004F1DF0"/>
    <w:rsid w:val="004F216C"/>
    <w:rsid w:val="004F3B69"/>
    <w:rsid w:val="004F45AF"/>
    <w:rsid w:val="004F4DAA"/>
    <w:rsid w:val="004F6810"/>
    <w:rsid w:val="004F70B0"/>
    <w:rsid w:val="00500188"/>
    <w:rsid w:val="005010E8"/>
    <w:rsid w:val="005024CE"/>
    <w:rsid w:val="00504AA7"/>
    <w:rsid w:val="00506460"/>
    <w:rsid w:val="005066CB"/>
    <w:rsid w:val="00507524"/>
    <w:rsid w:val="00510072"/>
    <w:rsid w:val="00512485"/>
    <w:rsid w:val="00512953"/>
    <w:rsid w:val="005129EE"/>
    <w:rsid w:val="0051383D"/>
    <w:rsid w:val="00513882"/>
    <w:rsid w:val="005205B2"/>
    <w:rsid w:val="00521C17"/>
    <w:rsid w:val="00523701"/>
    <w:rsid w:val="00523CC4"/>
    <w:rsid w:val="005257DB"/>
    <w:rsid w:val="00527184"/>
    <w:rsid w:val="00531977"/>
    <w:rsid w:val="00532611"/>
    <w:rsid w:val="00532E37"/>
    <w:rsid w:val="00533627"/>
    <w:rsid w:val="0053419B"/>
    <w:rsid w:val="0054055B"/>
    <w:rsid w:val="00546336"/>
    <w:rsid w:val="00554CE5"/>
    <w:rsid w:val="00555D81"/>
    <w:rsid w:val="00560012"/>
    <w:rsid w:val="00562492"/>
    <w:rsid w:val="00566DBF"/>
    <w:rsid w:val="0056749E"/>
    <w:rsid w:val="0057178E"/>
    <w:rsid w:val="00572D2E"/>
    <w:rsid w:val="005733EC"/>
    <w:rsid w:val="005737EE"/>
    <w:rsid w:val="00574483"/>
    <w:rsid w:val="005762B3"/>
    <w:rsid w:val="00576744"/>
    <w:rsid w:val="005815D1"/>
    <w:rsid w:val="00584E88"/>
    <w:rsid w:val="00585405"/>
    <w:rsid w:val="005927AA"/>
    <w:rsid w:val="00593FC8"/>
    <w:rsid w:val="00594E48"/>
    <w:rsid w:val="005960F7"/>
    <w:rsid w:val="005A0027"/>
    <w:rsid w:val="005A367D"/>
    <w:rsid w:val="005A455C"/>
    <w:rsid w:val="005A4EAA"/>
    <w:rsid w:val="005B07AD"/>
    <w:rsid w:val="005B0DC9"/>
    <w:rsid w:val="005B1117"/>
    <w:rsid w:val="005B1D19"/>
    <w:rsid w:val="005B3610"/>
    <w:rsid w:val="005B63AF"/>
    <w:rsid w:val="005B763B"/>
    <w:rsid w:val="005C07A9"/>
    <w:rsid w:val="005C0AF0"/>
    <w:rsid w:val="005C6073"/>
    <w:rsid w:val="005C6320"/>
    <w:rsid w:val="005C72F7"/>
    <w:rsid w:val="005D4493"/>
    <w:rsid w:val="005D49C9"/>
    <w:rsid w:val="005D788F"/>
    <w:rsid w:val="005E01A0"/>
    <w:rsid w:val="005E4684"/>
    <w:rsid w:val="005E4D6F"/>
    <w:rsid w:val="005E567D"/>
    <w:rsid w:val="005E67A5"/>
    <w:rsid w:val="005F0ECA"/>
    <w:rsid w:val="005F1656"/>
    <w:rsid w:val="005F56BF"/>
    <w:rsid w:val="00603DB7"/>
    <w:rsid w:val="006058FF"/>
    <w:rsid w:val="00610935"/>
    <w:rsid w:val="0061208D"/>
    <w:rsid w:val="00612BE5"/>
    <w:rsid w:val="006130F1"/>
    <w:rsid w:val="0061444F"/>
    <w:rsid w:val="006151C3"/>
    <w:rsid w:val="00615A58"/>
    <w:rsid w:val="0061653C"/>
    <w:rsid w:val="0062190A"/>
    <w:rsid w:val="00621C07"/>
    <w:rsid w:val="006220DB"/>
    <w:rsid w:val="00622444"/>
    <w:rsid w:val="0062275D"/>
    <w:rsid w:val="006263EB"/>
    <w:rsid w:val="006264DA"/>
    <w:rsid w:val="00627EE0"/>
    <w:rsid w:val="0063480C"/>
    <w:rsid w:val="00636533"/>
    <w:rsid w:val="0063698D"/>
    <w:rsid w:val="00637649"/>
    <w:rsid w:val="006379B3"/>
    <w:rsid w:val="006401BD"/>
    <w:rsid w:val="0064050F"/>
    <w:rsid w:val="00640E9C"/>
    <w:rsid w:val="006412F5"/>
    <w:rsid w:val="0064259C"/>
    <w:rsid w:val="00643483"/>
    <w:rsid w:val="006436A2"/>
    <w:rsid w:val="00644855"/>
    <w:rsid w:val="00647342"/>
    <w:rsid w:val="00647667"/>
    <w:rsid w:val="00647865"/>
    <w:rsid w:val="00647E12"/>
    <w:rsid w:val="00650B13"/>
    <w:rsid w:val="006537D4"/>
    <w:rsid w:val="00654136"/>
    <w:rsid w:val="00657CD2"/>
    <w:rsid w:val="00660EB7"/>
    <w:rsid w:val="00661ED7"/>
    <w:rsid w:val="00662D34"/>
    <w:rsid w:val="006634CC"/>
    <w:rsid w:val="00663668"/>
    <w:rsid w:val="00664724"/>
    <w:rsid w:val="00665CA0"/>
    <w:rsid w:val="00666AA6"/>
    <w:rsid w:val="0066770D"/>
    <w:rsid w:val="006678EF"/>
    <w:rsid w:val="00671D41"/>
    <w:rsid w:val="006771AD"/>
    <w:rsid w:val="00680BFC"/>
    <w:rsid w:val="00680FB3"/>
    <w:rsid w:val="00686A82"/>
    <w:rsid w:val="006900C7"/>
    <w:rsid w:val="00692880"/>
    <w:rsid w:val="00697A5D"/>
    <w:rsid w:val="006A1E45"/>
    <w:rsid w:val="006A22F3"/>
    <w:rsid w:val="006A39B2"/>
    <w:rsid w:val="006A564D"/>
    <w:rsid w:val="006B194E"/>
    <w:rsid w:val="006B2EBF"/>
    <w:rsid w:val="006B3068"/>
    <w:rsid w:val="006C3412"/>
    <w:rsid w:val="006C60F7"/>
    <w:rsid w:val="006C6959"/>
    <w:rsid w:val="006C6974"/>
    <w:rsid w:val="006C7A76"/>
    <w:rsid w:val="006C7B72"/>
    <w:rsid w:val="006D0BF5"/>
    <w:rsid w:val="006D5FC3"/>
    <w:rsid w:val="006D7A05"/>
    <w:rsid w:val="006E0567"/>
    <w:rsid w:val="006E21C2"/>
    <w:rsid w:val="006E4CF4"/>
    <w:rsid w:val="006E61BE"/>
    <w:rsid w:val="006E6BD2"/>
    <w:rsid w:val="006E7490"/>
    <w:rsid w:val="006F0E7E"/>
    <w:rsid w:val="006F2F51"/>
    <w:rsid w:val="006F38B3"/>
    <w:rsid w:val="006F3C90"/>
    <w:rsid w:val="006F5CE6"/>
    <w:rsid w:val="006F60F1"/>
    <w:rsid w:val="006F75A8"/>
    <w:rsid w:val="00702E91"/>
    <w:rsid w:val="00703106"/>
    <w:rsid w:val="00705F68"/>
    <w:rsid w:val="0071034E"/>
    <w:rsid w:val="007106DC"/>
    <w:rsid w:val="00712918"/>
    <w:rsid w:val="00713AC0"/>
    <w:rsid w:val="007231F3"/>
    <w:rsid w:val="00723696"/>
    <w:rsid w:val="0072516F"/>
    <w:rsid w:val="00726BD2"/>
    <w:rsid w:val="00726F67"/>
    <w:rsid w:val="007276CA"/>
    <w:rsid w:val="00731B79"/>
    <w:rsid w:val="0073331A"/>
    <w:rsid w:val="00733633"/>
    <w:rsid w:val="0073482F"/>
    <w:rsid w:val="00734A4B"/>
    <w:rsid w:val="00735DE7"/>
    <w:rsid w:val="0073693D"/>
    <w:rsid w:val="007408A2"/>
    <w:rsid w:val="00741461"/>
    <w:rsid w:val="00745565"/>
    <w:rsid w:val="0074627F"/>
    <w:rsid w:val="0075042F"/>
    <w:rsid w:val="007518E1"/>
    <w:rsid w:val="007524C8"/>
    <w:rsid w:val="007524DC"/>
    <w:rsid w:val="00752F42"/>
    <w:rsid w:val="0075405C"/>
    <w:rsid w:val="007543DF"/>
    <w:rsid w:val="00754E70"/>
    <w:rsid w:val="00756B0A"/>
    <w:rsid w:val="0075726D"/>
    <w:rsid w:val="007575BC"/>
    <w:rsid w:val="007608F6"/>
    <w:rsid w:val="007625C2"/>
    <w:rsid w:val="0076279F"/>
    <w:rsid w:val="007632F1"/>
    <w:rsid w:val="00765C17"/>
    <w:rsid w:val="007709C3"/>
    <w:rsid w:val="007711E8"/>
    <w:rsid w:val="007722F7"/>
    <w:rsid w:val="007737C8"/>
    <w:rsid w:val="00774536"/>
    <w:rsid w:val="007750BA"/>
    <w:rsid w:val="00775448"/>
    <w:rsid w:val="00776903"/>
    <w:rsid w:val="0078187A"/>
    <w:rsid w:val="00783994"/>
    <w:rsid w:val="00786297"/>
    <w:rsid w:val="00786423"/>
    <w:rsid w:val="007873D8"/>
    <w:rsid w:val="0079187C"/>
    <w:rsid w:val="0079257C"/>
    <w:rsid w:val="00795F1D"/>
    <w:rsid w:val="007A3282"/>
    <w:rsid w:val="007B19C2"/>
    <w:rsid w:val="007B3195"/>
    <w:rsid w:val="007B4820"/>
    <w:rsid w:val="007B5005"/>
    <w:rsid w:val="007B6B07"/>
    <w:rsid w:val="007C2D49"/>
    <w:rsid w:val="007C3DC3"/>
    <w:rsid w:val="007C4848"/>
    <w:rsid w:val="007C5845"/>
    <w:rsid w:val="007C58E0"/>
    <w:rsid w:val="007C66D1"/>
    <w:rsid w:val="007C6B9D"/>
    <w:rsid w:val="007C6F70"/>
    <w:rsid w:val="007C724D"/>
    <w:rsid w:val="007D3033"/>
    <w:rsid w:val="007D69A8"/>
    <w:rsid w:val="007D6DF8"/>
    <w:rsid w:val="007E007A"/>
    <w:rsid w:val="007E04FC"/>
    <w:rsid w:val="007E25FE"/>
    <w:rsid w:val="007E3036"/>
    <w:rsid w:val="007E48D1"/>
    <w:rsid w:val="007E546A"/>
    <w:rsid w:val="007E585F"/>
    <w:rsid w:val="007E65BD"/>
    <w:rsid w:val="007E725A"/>
    <w:rsid w:val="007E7E6D"/>
    <w:rsid w:val="007F300A"/>
    <w:rsid w:val="007F5AA0"/>
    <w:rsid w:val="008008B0"/>
    <w:rsid w:val="00801268"/>
    <w:rsid w:val="00801366"/>
    <w:rsid w:val="008022D8"/>
    <w:rsid w:val="00802F40"/>
    <w:rsid w:val="008050F8"/>
    <w:rsid w:val="00806337"/>
    <w:rsid w:val="0080729D"/>
    <w:rsid w:val="008120B2"/>
    <w:rsid w:val="008152D7"/>
    <w:rsid w:val="0081543C"/>
    <w:rsid w:val="008157EF"/>
    <w:rsid w:val="00815BCC"/>
    <w:rsid w:val="00816E02"/>
    <w:rsid w:val="0081717E"/>
    <w:rsid w:val="008204D1"/>
    <w:rsid w:val="00820BEB"/>
    <w:rsid w:val="008210B8"/>
    <w:rsid w:val="00822513"/>
    <w:rsid w:val="00823A9D"/>
    <w:rsid w:val="00825120"/>
    <w:rsid w:val="0083015C"/>
    <w:rsid w:val="008304A8"/>
    <w:rsid w:val="0083600E"/>
    <w:rsid w:val="0083640D"/>
    <w:rsid w:val="0084103C"/>
    <w:rsid w:val="0084113B"/>
    <w:rsid w:val="00842440"/>
    <w:rsid w:val="0084270C"/>
    <w:rsid w:val="00842D42"/>
    <w:rsid w:val="00845A81"/>
    <w:rsid w:val="00847066"/>
    <w:rsid w:val="00850454"/>
    <w:rsid w:val="00850A42"/>
    <w:rsid w:val="008511B4"/>
    <w:rsid w:val="00851230"/>
    <w:rsid w:val="00852092"/>
    <w:rsid w:val="0085211E"/>
    <w:rsid w:val="008523FB"/>
    <w:rsid w:val="00862B3C"/>
    <w:rsid w:val="00862CED"/>
    <w:rsid w:val="008651A4"/>
    <w:rsid w:val="00865548"/>
    <w:rsid w:val="008706F5"/>
    <w:rsid w:val="008713A1"/>
    <w:rsid w:val="0087177E"/>
    <w:rsid w:val="00871A90"/>
    <w:rsid w:val="00874856"/>
    <w:rsid w:val="008752A4"/>
    <w:rsid w:val="00875B94"/>
    <w:rsid w:val="008776DD"/>
    <w:rsid w:val="00877E84"/>
    <w:rsid w:val="008804B9"/>
    <w:rsid w:val="00883C27"/>
    <w:rsid w:val="00885AD8"/>
    <w:rsid w:val="00885B8B"/>
    <w:rsid w:val="008875DC"/>
    <w:rsid w:val="00893641"/>
    <w:rsid w:val="008941F6"/>
    <w:rsid w:val="008963D7"/>
    <w:rsid w:val="008B0B32"/>
    <w:rsid w:val="008B0C48"/>
    <w:rsid w:val="008B38BC"/>
    <w:rsid w:val="008B39A1"/>
    <w:rsid w:val="008B5A21"/>
    <w:rsid w:val="008B6458"/>
    <w:rsid w:val="008C2E58"/>
    <w:rsid w:val="008C5D2A"/>
    <w:rsid w:val="008C6B43"/>
    <w:rsid w:val="008C6E15"/>
    <w:rsid w:val="008D2279"/>
    <w:rsid w:val="008D59FE"/>
    <w:rsid w:val="008E111A"/>
    <w:rsid w:val="008E11FC"/>
    <w:rsid w:val="008E344A"/>
    <w:rsid w:val="008E4D20"/>
    <w:rsid w:val="008E5386"/>
    <w:rsid w:val="008E5827"/>
    <w:rsid w:val="008E5EAD"/>
    <w:rsid w:val="008F1AFE"/>
    <w:rsid w:val="008F22E8"/>
    <w:rsid w:val="008F335E"/>
    <w:rsid w:val="008F380A"/>
    <w:rsid w:val="008F3B85"/>
    <w:rsid w:val="008F7AEC"/>
    <w:rsid w:val="008F7B1B"/>
    <w:rsid w:val="00907D21"/>
    <w:rsid w:val="0091021F"/>
    <w:rsid w:val="009126A2"/>
    <w:rsid w:val="009137B4"/>
    <w:rsid w:val="00914B3C"/>
    <w:rsid w:val="00920EC9"/>
    <w:rsid w:val="00920F5F"/>
    <w:rsid w:val="00921AD7"/>
    <w:rsid w:val="009225A7"/>
    <w:rsid w:val="009312C1"/>
    <w:rsid w:val="00932D14"/>
    <w:rsid w:val="00934BA9"/>
    <w:rsid w:val="00935A52"/>
    <w:rsid w:val="00936541"/>
    <w:rsid w:val="00940EAF"/>
    <w:rsid w:val="00944C61"/>
    <w:rsid w:val="00945567"/>
    <w:rsid w:val="00945D5B"/>
    <w:rsid w:val="009468EF"/>
    <w:rsid w:val="00947011"/>
    <w:rsid w:val="00950023"/>
    <w:rsid w:val="009505F4"/>
    <w:rsid w:val="00950855"/>
    <w:rsid w:val="0095183B"/>
    <w:rsid w:val="0095194C"/>
    <w:rsid w:val="0095399D"/>
    <w:rsid w:val="00953B91"/>
    <w:rsid w:val="0095438A"/>
    <w:rsid w:val="009543F4"/>
    <w:rsid w:val="00955A87"/>
    <w:rsid w:val="00955DB3"/>
    <w:rsid w:val="00960330"/>
    <w:rsid w:val="00961576"/>
    <w:rsid w:val="0096309E"/>
    <w:rsid w:val="0096460D"/>
    <w:rsid w:val="00965004"/>
    <w:rsid w:val="0096676D"/>
    <w:rsid w:val="00971AB1"/>
    <w:rsid w:val="009727BE"/>
    <w:rsid w:val="0097308B"/>
    <w:rsid w:val="00974D87"/>
    <w:rsid w:val="0097576D"/>
    <w:rsid w:val="009814D5"/>
    <w:rsid w:val="00982C75"/>
    <w:rsid w:val="0098313D"/>
    <w:rsid w:val="00983D4E"/>
    <w:rsid w:val="009844C8"/>
    <w:rsid w:val="009858E0"/>
    <w:rsid w:val="00995C02"/>
    <w:rsid w:val="0099714B"/>
    <w:rsid w:val="0099744E"/>
    <w:rsid w:val="009A0B0C"/>
    <w:rsid w:val="009A24DD"/>
    <w:rsid w:val="009A7D7D"/>
    <w:rsid w:val="009B04F5"/>
    <w:rsid w:val="009B3A4B"/>
    <w:rsid w:val="009B583A"/>
    <w:rsid w:val="009C005D"/>
    <w:rsid w:val="009C02A4"/>
    <w:rsid w:val="009C1A98"/>
    <w:rsid w:val="009C2B5D"/>
    <w:rsid w:val="009C5EEE"/>
    <w:rsid w:val="009C6950"/>
    <w:rsid w:val="009C70AB"/>
    <w:rsid w:val="009C7D7D"/>
    <w:rsid w:val="009C7DCE"/>
    <w:rsid w:val="009D115D"/>
    <w:rsid w:val="009D3703"/>
    <w:rsid w:val="009D3DCD"/>
    <w:rsid w:val="009D3F07"/>
    <w:rsid w:val="009D411F"/>
    <w:rsid w:val="009D4C7D"/>
    <w:rsid w:val="009D60FA"/>
    <w:rsid w:val="009D6412"/>
    <w:rsid w:val="009E1D9F"/>
    <w:rsid w:val="009E1FBB"/>
    <w:rsid w:val="009E2B7A"/>
    <w:rsid w:val="009E3BA9"/>
    <w:rsid w:val="009E4134"/>
    <w:rsid w:val="009E5924"/>
    <w:rsid w:val="009E643C"/>
    <w:rsid w:val="009E7CCD"/>
    <w:rsid w:val="009F3705"/>
    <w:rsid w:val="009F4CAA"/>
    <w:rsid w:val="00A0172A"/>
    <w:rsid w:val="00A01B82"/>
    <w:rsid w:val="00A04E88"/>
    <w:rsid w:val="00A0520C"/>
    <w:rsid w:val="00A066E4"/>
    <w:rsid w:val="00A06A58"/>
    <w:rsid w:val="00A10F0E"/>
    <w:rsid w:val="00A10F4D"/>
    <w:rsid w:val="00A1307B"/>
    <w:rsid w:val="00A14923"/>
    <w:rsid w:val="00A14F09"/>
    <w:rsid w:val="00A158B2"/>
    <w:rsid w:val="00A161B1"/>
    <w:rsid w:val="00A1732A"/>
    <w:rsid w:val="00A17AE2"/>
    <w:rsid w:val="00A209BE"/>
    <w:rsid w:val="00A20CFE"/>
    <w:rsid w:val="00A22752"/>
    <w:rsid w:val="00A2357D"/>
    <w:rsid w:val="00A260E3"/>
    <w:rsid w:val="00A266C2"/>
    <w:rsid w:val="00A311EB"/>
    <w:rsid w:val="00A3165D"/>
    <w:rsid w:val="00A323DE"/>
    <w:rsid w:val="00A331AC"/>
    <w:rsid w:val="00A34BA2"/>
    <w:rsid w:val="00A34F4F"/>
    <w:rsid w:val="00A36101"/>
    <w:rsid w:val="00A36B70"/>
    <w:rsid w:val="00A37491"/>
    <w:rsid w:val="00A40FB6"/>
    <w:rsid w:val="00A41AC7"/>
    <w:rsid w:val="00A423E5"/>
    <w:rsid w:val="00A458F7"/>
    <w:rsid w:val="00A45D82"/>
    <w:rsid w:val="00A46E7E"/>
    <w:rsid w:val="00A47FE5"/>
    <w:rsid w:val="00A513FC"/>
    <w:rsid w:val="00A51965"/>
    <w:rsid w:val="00A51B29"/>
    <w:rsid w:val="00A51B58"/>
    <w:rsid w:val="00A526AB"/>
    <w:rsid w:val="00A52EB0"/>
    <w:rsid w:val="00A53E8C"/>
    <w:rsid w:val="00A56350"/>
    <w:rsid w:val="00A579DA"/>
    <w:rsid w:val="00A616D2"/>
    <w:rsid w:val="00A6216B"/>
    <w:rsid w:val="00A638F8"/>
    <w:rsid w:val="00A6398A"/>
    <w:rsid w:val="00A70DA2"/>
    <w:rsid w:val="00A72A62"/>
    <w:rsid w:val="00A72C76"/>
    <w:rsid w:val="00A75F29"/>
    <w:rsid w:val="00A820D2"/>
    <w:rsid w:val="00A8249E"/>
    <w:rsid w:val="00A855B6"/>
    <w:rsid w:val="00A858E8"/>
    <w:rsid w:val="00A8737E"/>
    <w:rsid w:val="00A90602"/>
    <w:rsid w:val="00A91C31"/>
    <w:rsid w:val="00A934CD"/>
    <w:rsid w:val="00A9557B"/>
    <w:rsid w:val="00A95FB0"/>
    <w:rsid w:val="00A96302"/>
    <w:rsid w:val="00AA1ED7"/>
    <w:rsid w:val="00AA3CFB"/>
    <w:rsid w:val="00AA5AE7"/>
    <w:rsid w:val="00AB40ED"/>
    <w:rsid w:val="00AB5C61"/>
    <w:rsid w:val="00AB619C"/>
    <w:rsid w:val="00AC38FD"/>
    <w:rsid w:val="00AC3FB4"/>
    <w:rsid w:val="00AC6BDD"/>
    <w:rsid w:val="00AD033A"/>
    <w:rsid w:val="00AD0F56"/>
    <w:rsid w:val="00AD1DB6"/>
    <w:rsid w:val="00AD1F87"/>
    <w:rsid w:val="00AD3D62"/>
    <w:rsid w:val="00AD4C40"/>
    <w:rsid w:val="00AE64A4"/>
    <w:rsid w:val="00AE7144"/>
    <w:rsid w:val="00AE7196"/>
    <w:rsid w:val="00AE7555"/>
    <w:rsid w:val="00AF1053"/>
    <w:rsid w:val="00AF2FF2"/>
    <w:rsid w:val="00AF34C7"/>
    <w:rsid w:val="00AF372B"/>
    <w:rsid w:val="00AF65F5"/>
    <w:rsid w:val="00AF7278"/>
    <w:rsid w:val="00AF7776"/>
    <w:rsid w:val="00AF7B90"/>
    <w:rsid w:val="00AF7CF1"/>
    <w:rsid w:val="00B01836"/>
    <w:rsid w:val="00B048F0"/>
    <w:rsid w:val="00B04D22"/>
    <w:rsid w:val="00B0685C"/>
    <w:rsid w:val="00B12093"/>
    <w:rsid w:val="00B13189"/>
    <w:rsid w:val="00B17EE7"/>
    <w:rsid w:val="00B2228C"/>
    <w:rsid w:val="00B226A8"/>
    <w:rsid w:val="00B230E9"/>
    <w:rsid w:val="00B23A58"/>
    <w:rsid w:val="00B2412F"/>
    <w:rsid w:val="00B268FD"/>
    <w:rsid w:val="00B304D5"/>
    <w:rsid w:val="00B30E2D"/>
    <w:rsid w:val="00B32503"/>
    <w:rsid w:val="00B32D4C"/>
    <w:rsid w:val="00B35B69"/>
    <w:rsid w:val="00B36047"/>
    <w:rsid w:val="00B37E22"/>
    <w:rsid w:val="00B426B0"/>
    <w:rsid w:val="00B450DE"/>
    <w:rsid w:val="00B46F81"/>
    <w:rsid w:val="00B51452"/>
    <w:rsid w:val="00B51AB6"/>
    <w:rsid w:val="00B56D0A"/>
    <w:rsid w:val="00B57AD9"/>
    <w:rsid w:val="00B603A9"/>
    <w:rsid w:val="00B61207"/>
    <w:rsid w:val="00B6282B"/>
    <w:rsid w:val="00B646D7"/>
    <w:rsid w:val="00B71E54"/>
    <w:rsid w:val="00B73B15"/>
    <w:rsid w:val="00B7653C"/>
    <w:rsid w:val="00B771DE"/>
    <w:rsid w:val="00B809F2"/>
    <w:rsid w:val="00B80F77"/>
    <w:rsid w:val="00B81EBD"/>
    <w:rsid w:val="00B82455"/>
    <w:rsid w:val="00B84A66"/>
    <w:rsid w:val="00B902F3"/>
    <w:rsid w:val="00B90AAC"/>
    <w:rsid w:val="00B91528"/>
    <w:rsid w:val="00B91858"/>
    <w:rsid w:val="00B92359"/>
    <w:rsid w:val="00B935E6"/>
    <w:rsid w:val="00B95E04"/>
    <w:rsid w:val="00BA08DB"/>
    <w:rsid w:val="00BA1F4F"/>
    <w:rsid w:val="00BA1FFD"/>
    <w:rsid w:val="00BA22B5"/>
    <w:rsid w:val="00BA3CC0"/>
    <w:rsid w:val="00BB0EF0"/>
    <w:rsid w:val="00BB4EA4"/>
    <w:rsid w:val="00BB66F4"/>
    <w:rsid w:val="00BB6D8F"/>
    <w:rsid w:val="00BB7304"/>
    <w:rsid w:val="00BB7FF8"/>
    <w:rsid w:val="00BC0EEA"/>
    <w:rsid w:val="00BC13C1"/>
    <w:rsid w:val="00BC2D2E"/>
    <w:rsid w:val="00BC466E"/>
    <w:rsid w:val="00BC48EB"/>
    <w:rsid w:val="00BC52FC"/>
    <w:rsid w:val="00BC5984"/>
    <w:rsid w:val="00BC5BA3"/>
    <w:rsid w:val="00BC7F5A"/>
    <w:rsid w:val="00BD201F"/>
    <w:rsid w:val="00BD6E48"/>
    <w:rsid w:val="00BD7369"/>
    <w:rsid w:val="00BD7486"/>
    <w:rsid w:val="00BE0AE9"/>
    <w:rsid w:val="00BE17CD"/>
    <w:rsid w:val="00BE2736"/>
    <w:rsid w:val="00BE310A"/>
    <w:rsid w:val="00BE3CC7"/>
    <w:rsid w:val="00BE61BB"/>
    <w:rsid w:val="00BE691B"/>
    <w:rsid w:val="00BE6CA4"/>
    <w:rsid w:val="00BE73D0"/>
    <w:rsid w:val="00BF37C8"/>
    <w:rsid w:val="00BF4587"/>
    <w:rsid w:val="00BF4C0E"/>
    <w:rsid w:val="00BF556B"/>
    <w:rsid w:val="00BF671D"/>
    <w:rsid w:val="00BF7870"/>
    <w:rsid w:val="00C00A97"/>
    <w:rsid w:val="00C0405C"/>
    <w:rsid w:val="00C0469B"/>
    <w:rsid w:val="00C07C60"/>
    <w:rsid w:val="00C102D5"/>
    <w:rsid w:val="00C12E5C"/>
    <w:rsid w:val="00C12FEA"/>
    <w:rsid w:val="00C1402D"/>
    <w:rsid w:val="00C16888"/>
    <w:rsid w:val="00C2066F"/>
    <w:rsid w:val="00C229FB"/>
    <w:rsid w:val="00C25004"/>
    <w:rsid w:val="00C25442"/>
    <w:rsid w:val="00C25B6C"/>
    <w:rsid w:val="00C27585"/>
    <w:rsid w:val="00C30FD1"/>
    <w:rsid w:val="00C31C2B"/>
    <w:rsid w:val="00C35C4B"/>
    <w:rsid w:val="00C41648"/>
    <w:rsid w:val="00C41EBB"/>
    <w:rsid w:val="00C41F3F"/>
    <w:rsid w:val="00C441AA"/>
    <w:rsid w:val="00C4664E"/>
    <w:rsid w:val="00C476E3"/>
    <w:rsid w:val="00C50082"/>
    <w:rsid w:val="00C50E40"/>
    <w:rsid w:val="00C518FA"/>
    <w:rsid w:val="00C52A9D"/>
    <w:rsid w:val="00C552C4"/>
    <w:rsid w:val="00C56A98"/>
    <w:rsid w:val="00C56E59"/>
    <w:rsid w:val="00C57D0C"/>
    <w:rsid w:val="00C62E7D"/>
    <w:rsid w:val="00C6395B"/>
    <w:rsid w:val="00C63974"/>
    <w:rsid w:val="00C7015B"/>
    <w:rsid w:val="00C70E68"/>
    <w:rsid w:val="00C71DCE"/>
    <w:rsid w:val="00C71E7D"/>
    <w:rsid w:val="00C72A15"/>
    <w:rsid w:val="00C72AD9"/>
    <w:rsid w:val="00C73BE3"/>
    <w:rsid w:val="00C7492C"/>
    <w:rsid w:val="00C7573E"/>
    <w:rsid w:val="00C809A3"/>
    <w:rsid w:val="00C82947"/>
    <w:rsid w:val="00C846ED"/>
    <w:rsid w:val="00C84FEC"/>
    <w:rsid w:val="00C86BCE"/>
    <w:rsid w:val="00C8743E"/>
    <w:rsid w:val="00C904BD"/>
    <w:rsid w:val="00C9293A"/>
    <w:rsid w:val="00C95F24"/>
    <w:rsid w:val="00C96D32"/>
    <w:rsid w:val="00CA0B5F"/>
    <w:rsid w:val="00CA1774"/>
    <w:rsid w:val="00CA307B"/>
    <w:rsid w:val="00CA31DD"/>
    <w:rsid w:val="00CA4E00"/>
    <w:rsid w:val="00CA7580"/>
    <w:rsid w:val="00CB3C41"/>
    <w:rsid w:val="00CB40CB"/>
    <w:rsid w:val="00CB4DB0"/>
    <w:rsid w:val="00CB5BDE"/>
    <w:rsid w:val="00CB6B87"/>
    <w:rsid w:val="00CB6BA3"/>
    <w:rsid w:val="00CB777D"/>
    <w:rsid w:val="00CC002E"/>
    <w:rsid w:val="00CC058C"/>
    <w:rsid w:val="00CC0BE2"/>
    <w:rsid w:val="00CC0BFF"/>
    <w:rsid w:val="00CC0FC6"/>
    <w:rsid w:val="00CC18EF"/>
    <w:rsid w:val="00CC4620"/>
    <w:rsid w:val="00CC5801"/>
    <w:rsid w:val="00CC596F"/>
    <w:rsid w:val="00CC6B7B"/>
    <w:rsid w:val="00CC6C4F"/>
    <w:rsid w:val="00CC6DA0"/>
    <w:rsid w:val="00CD2FC6"/>
    <w:rsid w:val="00CD351F"/>
    <w:rsid w:val="00CD3620"/>
    <w:rsid w:val="00CD4C88"/>
    <w:rsid w:val="00CE05E0"/>
    <w:rsid w:val="00CE24F9"/>
    <w:rsid w:val="00CE2AC4"/>
    <w:rsid w:val="00CE2B29"/>
    <w:rsid w:val="00CE73CD"/>
    <w:rsid w:val="00CF0D52"/>
    <w:rsid w:val="00CF118F"/>
    <w:rsid w:val="00CF1C22"/>
    <w:rsid w:val="00CF1D2E"/>
    <w:rsid w:val="00CF32F5"/>
    <w:rsid w:val="00CF3563"/>
    <w:rsid w:val="00CF414A"/>
    <w:rsid w:val="00CF4560"/>
    <w:rsid w:val="00D01937"/>
    <w:rsid w:val="00D03CB5"/>
    <w:rsid w:val="00D0456F"/>
    <w:rsid w:val="00D049D7"/>
    <w:rsid w:val="00D06438"/>
    <w:rsid w:val="00D10D4D"/>
    <w:rsid w:val="00D11338"/>
    <w:rsid w:val="00D1180C"/>
    <w:rsid w:val="00D118C5"/>
    <w:rsid w:val="00D14855"/>
    <w:rsid w:val="00D15073"/>
    <w:rsid w:val="00D16AEB"/>
    <w:rsid w:val="00D17B97"/>
    <w:rsid w:val="00D2166C"/>
    <w:rsid w:val="00D232AD"/>
    <w:rsid w:val="00D25D33"/>
    <w:rsid w:val="00D2629C"/>
    <w:rsid w:val="00D27CE6"/>
    <w:rsid w:val="00D30034"/>
    <w:rsid w:val="00D32B25"/>
    <w:rsid w:val="00D33C99"/>
    <w:rsid w:val="00D34391"/>
    <w:rsid w:val="00D34469"/>
    <w:rsid w:val="00D366F8"/>
    <w:rsid w:val="00D36A17"/>
    <w:rsid w:val="00D36A64"/>
    <w:rsid w:val="00D37EB4"/>
    <w:rsid w:val="00D4168F"/>
    <w:rsid w:val="00D42F1E"/>
    <w:rsid w:val="00D43422"/>
    <w:rsid w:val="00D45433"/>
    <w:rsid w:val="00D46200"/>
    <w:rsid w:val="00D50037"/>
    <w:rsid w:val="00D514F9"/>
    <w:rsid w:val="00D51F36"/>
    <w:rsid w:val="00D53D03"/>
    <w:rsid w:val="00D622D3"/>
    <w:rsid w:val="00D623D8"/>
    <w:rsid w:val="00D62AE3"/>
    <w:rsid w:val="00D62E7F"/>
    <w:rsid w:val="00D67BD9"/>
    <w:rsid w:val="00D73DEB"/>
    <w:rsid w:val="00D75D62"/>
    <w:rsid w:val="00D77761"/>
    <w:rsid w:val="00D832B4"/>
    <w:rsid w:val="00D83B87"/>
    <w:rsid w:val="00D84144"/>
    <w:rsid w:val="00D84D41"/>
    <w:rsid w:val="00D90BE5"/>
    <w:rsid w:val="00D912A5"/>
    <w:rsid w:val="00D93C15"/>
    <w:rsid w:val="00D96A24"/>
    <w:rsid w:val="00D9708C"/>
    <w:rsid w:val="00DA4053"/>
    <w:rsid w:val="00DB0B22"/>
    <w:rsid w:val="00DB2273"/>
    <w:rsid w:val="00DB2470"/>
    <w:rsid w:val="00DB2C5B"/>
    <w:rsid w:val="00DB2E63"/>
    <w:rsid w:val="00DB316A"/>
    <w:rsid w:val="00DB465E"/>
    <w:rsid w:val="00DB5737"/>
    <w:rsid w:val="00DB71A6"/>
    <w:rsid w:val="00DC2B48"/>
    <w:rsid w:val="00DC2D18"/>
    <w:rsid w:val="00DC3691"/>
    <w:rsid w:val="00DC3CAF"/>
    <w:rsid w:val="00DD0694"/>
    <w:rsid w:val="00DD16F2"/>
    <w:rsid w:val="00DD3B4E"/>
    <w:rsid w:val="00DD5204"/>
    <w:rsid w:val="00DD7420"/>
    <w:rsid w:val="00DE3142"/>
    <w:rsid w:val="00DE33A6"/>
    <w:rsid w:val="00DE5324"/>
    <w:rsid w:val="00DF03B0"/>
    <w:rsid w:val="00DF08C0"/>
    <w:rsid w:val="00DF0CED"/>
    <w:rsid w:val="00DF219C"/>
    <w:rsid w:val="00DF37B8"/>
    <w:rsid w:val="00E01891"/>
    <w:rsid w:val="00E02D6A"/>
    <w:rsid w:val="00E03894"/>
    <w:rsid w:val="00E10A1C"/>
    <w:rsid w:val="00E10CE9"/>
    <w:rsid w:val="00E114E2"/>
    <w:rsid w:val="00E119BC"/>
    <w:rsid w:val="00E15746"/>
    <w:rsid w:val="00E206F2"/>
    <w:rsid w:val="00E246F2"/>
    <w:rsid w:val="00E2562E"/>
    <w:rsid w:val="00E25B46"/>
    <w:rsid w:val="00E25C17"/>
    <w:rsid w:val="00E37AC8"/>
    <w:rsid w:val="00E40A5C"/>
    <w:rsid w:val="00E413D2"/>
    <w:rsid w:val="00E4143E"/>
    <w:rsid w:val="00E41C69"/>
    <w:rsid w:val="00E43CCC"/>
    <w:rsid w:val="00E45F6E"/>
    <w:rsid w:val="00E50708"/>
    <w:rsid w:val="00E55610"/>
    <w:rsid w:val="00E55A4D"/>
    <w:rsid w:val="00E55FD1"/>
    <w:rsid w:val="00E56EF3"/>
    <w:rsid w:val="00E57127"/>
    <w:rsid w:val="00E64D13"/>
    <w:rsid w:val="00E65D0C"/>
    <w:rsid w:val="00E66BFB"/>
    <w:rsid w:val="00E66C22"/>
    <w:rsid w:val="00E70948"/>
    <w:rsid w:val="00E70BFA"/>
    <w:rsid w:val="00E71AB5"/>
    <w:rsid w:val="00E736A1"/>
    <w:rsid w:val="00E73E44"/>
    <w:rsid w:val="00E7482E"/>
    <w:rsid w:val="00E75FD7"/>
    <w:rsid w:val="00E77DC5"/>
    <w:rsid w:val="00E80BFB"/>
    <w:rsid w:val="00E835B4"/>
    <w:rsid w:val="00E9016A"/>
    <w:rsid w:val="00E92138"/>
    <w:rsid w:val="00E97F77"/>
    <w:rsid w:val="00EA161F"/>
    <w:rsid w:val="00EA2114"/>
    <w:rsid w:val="00EA21FF"/>
    <w:rsid w:val="00EA2790"/>
    <w:rsid w:val="00EA4BAC"/>
    <w:rsid w:val="00EA527C"/>
    <w:rsid w:val="00EA5FAB"/>
    <w:rsid w:val="00EA6AE7"/>
    <w:rsid w:val="00EA7533"/>
    <w:rsid w:val="00EB1A66"/>
    <w:rsid w:val="00EB2F75"/>
    <w:rsid w:val="00EB398F"/>
    <w:rsid w:val="00EB73DF"/>
    <w:rsid w:val="00EC0D61"/>
    <w:rsid w:val="00EC341D"/>
    <w:rsid w:val="00EC5ACB"/>
    <w:rsid w:val="00EC68CD"/>
    <w:rsid w:val="00EC79AF"/>
    <w:rsid w:val="00EC7DD4"/>
    <w:rsid w:val="00ED0541"/>
    <w:rsid w:val="00ED08D5"/>
    <w:rsid w:val="00ED41E4"/>
    <w:rsid w:val="00ED69E5"/>
    <w:rsid w:val="00EE0683"/>
    <w:rsid w:val="00EE1217"/>
    <w:rsid w:val="00EE2408"/>
    <w:rsid w:val="00EE251D"/>
    <w:rsid w:val="00EE3F09"/>
    <w:rsid w:val="00EE5132"/>
    <w:rsid w:val="00EE54CF"/>
    <w:rsid w:val="00EE63D6"/>
    <w:rsid w:val="00EF0C15"/>
    <w:rsid w:val="00EF2DAE"/>
    <w:rsid w:val="00EF30C7"/>
    <w:rsid w:val="00EF6831"/>
    <w:rsid w:val="00EF6BA9"/>
    <w:rsid w:val="00F002D4"/>
    <w:rsid w:val="00F01AD2"/>
    <w:rsid w:val="00F05CAC"/>
    <w:rsid w:val="00F11FF6"/>
    <w:rsid w:val="00F125F1"/>
    <w:rsid w:val="00F17280"/>
    <w:rsid w:val="00F174A0"/>
    <w:rsid w:val="00F2054C"/>
    <w:rsid w:val="00F226F1"/>
    <w:rsid w:val="00F241E6"/>
    <w:rsid w:val="00F2594F"/>
    <w:rsid w:val="00F27F54"/>
    <w:rsid w:val="00F30ACF"/>
    <w:rsid w:val="00F31001"/>
    <w:rsid w:val="00F31F01"/>
    <w:rsid w:val="00F325DE"/>
    <w:rsid w:val="00F3268D"/>
    <w:rsid w:val="00F33355"/>
    <w:rsid w:val="00F33BB1"/>
    <w:rsid w:val="00F3401F"/>
    <w:rsid w:val="00F40BE5"/>
    <w:rsid w:val="00F436A2"/>
    <w:rsid w:val="00F47158"/>
    <w:rsid w:val="00F51858"/>
    <w:rsid w:val="00F52AA4"/>
    <w:rsid w:val="00F551F7"/>
    <w:rsid w:val="00F5585A"/>
    <w:rsid w:val="00F56B69"/>
    <w:rsid w:val="00F56D36"/>
    <w:rsid w:val="00F634EA"/>
    <w:rsid w:val="00F63E85"/>
    <w:rsid w:val="00F644E9"/>
    <w:rsid w:val="00F7180A"/>
    <w:rsid w:val="00F73E94"/>
    <w:rsid w:val="00F74E5E"/>
    <w:rsid w:val="00F751E3"/>
    <w:rsid w:val="00F827F3"/>
    <w:rsid w:val="00F83903"/>
    <w:rsid w:val="00F8459F"/>
    <w:rsid w:val="00F849B4"/>
    <w:rsid w:val="00F85B43"/>
    <w:rsid w:val="00F85ED6"/>
    <w:rsid w:val="00F87498"/>
    <w:rsid w:val="00F93740"/>
    <w:rsid w:val="00F93E11"/>
    <w:rsid w:val="00F9464F"/>
    <w:rsid w:val="00F967AD"/>
    <w:rsid w:val="00F96EC6"/>
    <w:rsid w:val="00F9753A"/>
    <w:rsid w:val="00FA53D8"/>
    <w:rsid w:val="00FB31F5"/>
    <w:rsid w:val="00FB4437"/>
    <w:rsid w:val="00FB5E6A"/>
    <w:rsid w:val="00FC651A"/>
    <w:rsid w:val="00FD06A4"/>
    <w:rsid w:val="00FD0BA8"/>
    <w:rsid w:val="00FD14D5"/>
    <w:rsid w:val="00FD435B"/>
    <w:rsid w:val="00FD7C27"/>
    <w:rsid w:val="00FD7C2A"/>
    <w:rsid w:val="00FE1CE3"/>
    <w:rsid w:val="00FE5129"/>
    <w:rsid w:val="00FE5CF4"/>
    <w:rsid w:val="00FF331E"/>
    <w:rsid w:val="00FF66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1B91F0"/>
  <w15:docId w15:val="{4084BD27-3E2A-481E-9234-6AA64B58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909"/>
  </w:style>
  <w:style w:type="paragraph" w:styleId="Heading1">
    <w:name w:val="heading 1"/>
    <w:basedOn w:val="FILHeader1"/>
    <w:next w:val="Normal"/>
    <w:link w:val="Heading1Char"/>
    <w:uiPriority w:val="9"/>
    <w:qFormat/>
    <w:rsid w:val="009137B4"/>
    <w:pPr>
      <w:outlineLvl w:val="0"/>
    </w:pPr>
  </w:style>
  <w:style w:type="paragraph" w:styleId="Heading2">
    <w:name w:val="heading 2"/>
    <w:basedOn w:val="Normal"/>
    <w:next w:val="Normal"/>
    <w:link w:val="Heading2Char"/>
    <w:uiPriority w:val="9"/>
    <w:unhideWhenUsed/>
    <w:qFormat/>
    <w:rsid w:val="009137B4"/>
    <w:pPr>
      <w:jc w:val="both"/>
      <w:outlineLvl w:val="1"/>
    </w:pPr>
    <w:rPr>
      <w:rFonts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1B79"/>
    <w:pPr>
      <w:ind w:left="720"/>
      <w:contextualSpacing/>
    </w:pPr>
  </w:style>
  <w:style w:type="paragraph" w:styleId="EndnoteText">
    <w:name w:val="endnote text"/>
    <w:basedOn w:val="Normal"/>
    <w:link w:val="EndnoteTextChar"/>
    <w:uiPriority w:val="99"/>
    <w:semiHidden/>
    <w:unhideWhenUsed/>
    <w:rsid w:val="003D5B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5B9C"/>
    <w:rPr>
      <w:sz w:val="20"/>
      <w:szCs w:val="20"/>
    </w:rPr>
  </w:style>
  <w:style w:type="character" w:styleId="EndnoteReference">
    <w:name w:val="endnote reference"/>
    <w:basedOn w:val="DefaultParagraphFont"/>
    <w:uiPriority w:val="99"/>
    <w:semiHidden/>
    <w:unhideWhenUsed/>
    <w:rsid w:val="003D5B9C"/>
    <w:rPr>
      <w:vertAlign w:val="superscript"/>
    </w:rPr>
  </w:style>
  <w:style w:type="paragraph" w:styleId="FootnoteText">
    <w:name w:val="footnote text"/>
    <w:basedOn w:val="Normal"/>
    <w:link w:val="FootnoteTextChar"/>
    <w:uiPriority w:val="99"/>
    <w:unhideWhenUsed/>
    <w:rsid w:val="00B6282B"/>
    <w:pPr>
      <w:spacing w:after="0" w:line="240" w:lineRule="auto"/>
    </w:pPr>
    <w:rPr>
      <w:sz w:val="20"/>
      <w:szCs w:val="20"/>
    </w:rPr>
  </w:style>
  <w:style w:type="character" w:customStyle="1" w:styleId="FootnoteTextChar">
    <w:name w:val="Footnote Text Char"/>
    <w:basedOn w:val="DefaultParagraphFont"/>
    <w:link w:val="FootnoteText"/>
    <w:uiPriority w:val="99"/>
    <w:rsid w:val="00B6282B"/>
    <w:rPr>
      <w:sz w:val="20"/>
      <w:szCs w:val="20"/>
    </w:rPr>
  </w:style>
  <w:style w:type="character" w:styleId="FootnoteReference">
    <w:name w:val="footnote reference"/>
    <w:basedOn w:val="DefaultParagraphFont"/>
    <w:uiPriority w:val="99"/>
    <w:semiHidden/>
    <w:unhideWhenUsed/>
    <w:rsid w:val="00B6282B"/>
    <w:rPr>
      <w:vertAlign w:val="superscript"/>
    </w:rPr>
  </w:style>
  <w:style w:type="paragraph" w:styleId="Header">
    <w:name w:val="header"/>
    <w:basedOn w:val="Normal"/>
    <w:link w:val="HeaderChar"/>
    <w:uiPriority w:val="99"/>
    <w:unhideWhenUsed/>
    <w:rsid w:val="00877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E84"/>
  </w:style>
  <w:style w:type="paragraph" w:styleId="Footer">
    <w:name w:val="footer"/>
    <w:basedOn w:val="Normal"/>
    <w:link w:val="FooterChar"/>
    <w:uiPriority w:val="99"/>
    <w:unhideWhenUsed/>
    <w:rsid w:val="00877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E84"/>
  </w:style>
  <w:style w:type="paragraph" w:styleId="BalloonText">
    <w:name w:val="Balloon Text"/>
    <w:basedOn w:val="Normal"/>
    <w:link w:val="BalloonTextChar"/>
    <w:uiPriority w:val="99"/>
    <w:semiHidden/>
    <w:unhideWhenUsed/>
    <w:rsid w:val="00BD7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369"/>
    <w:rPr>
      <w:rFonts w:ascii="Tahoma" w:hAnsi="Tahoma" w:cs="Tahoma"/>
      <w:sz w:val="16"/>
      <w:szCs w:val="16"/>
    </w:rPr>
  </w:style>
  <w:style w:type="character" w:styleId="Hyperlink">
    <w:name w:val="Hyperlink"/>
    <w:basedOn w:val="DefaultParagraphFont"/>
    <w:uiPriority w:val="99"/>
    <w:unhideWhenUsed/>
    <w:rsid w:val="00533627"/>
    <w:rPr>
      <w:color w:val="0000FF" w:themeColor="hyperlink"/>
      <w:u w:val="single"/>
    </w:rPr>
  </w:style>
  <w:style w:type="character" w:styleId="CommentReference">
    <w:name w:val="annotation reference"/>
    <w:basedOn w:val="DefaultParagraphFont"/>
    <w:uiPriority w:val="99"/>
    <w:semiHidden/>
    <w:unhideWhenUsed/>
    <w:rsid w:val="00B61207"/>
    <w:rPr>
      <w:sz w:val="16"/>
      <w:szCs w:val="16"/>
    </w:rPr>
  </w:style>
  <w:style w:type="paragraph" w:styleId="CommentText">
    <w:name w:val="annotation text"/>
    <w:basedOn w:val="Normal"/>
    <w:link w:val="CommentTextChar"/>
    <w:uiPriority w:val="99"/>
    <w:semiHidden/>
    <w:unhideWhenUsed/>
    <w:rsid w:val="00B61207"/>
    <w:pPr>
      <w:spacing w:line="240" w:lineRule="auto"/>
    </w:pPr>
    <w:rPr>
      <w:sz w:val="20"/>
      <w:szCs w:val="20"/>
    </w:rPr>
  </w:style>
  <w:style w:type="character" w:customStyle="1" w:styleId="CommentTextChar">
    <w:name w:val="Comment Text Char"/>
    <w:basedOn w:val="DefaultParagraphFont"/>
    <w:link w:val="CommentText"/>
    <w:uiPriority w:val="99"/>
    <w:semiHidden/>
    <w:rsid w:val="00B61207"/>
    <w:rPr>
      <w:sz w:val="20"/>
      <w:szCs w:val="20"/>
    </w:rPr>
  </w:style>
  <w:style w:type="paragraph" w:styleId="CommentSubject">
    <w:name w:val="annotation subject"/>
    <w:basedOn w:val="CommentText"/>
    <w:next w:val="CommentText"/>
    <w:link w:val="CommentSubjectChar"/>
    <w:uiPriority w:val="99"/>
    <w:semiHidden/>
    <w:unhideWhenUsed/>
    <w:rsid w:val="00B61207"/>
    <w:rPr>
      <w:b/>
      <w:bCs/>
    </w:rPr>
  </w:style>
  <w:style w:type="character" w:customStyle="1" w:styleId="CommentSubjectChar">
    <w:name w:val="Comment Subject Char"/>
    <w:basedOn w:val="CommentTextChar"/>
    <w:link w:val="CommentSubject"/>
    <w:uiPriority w:val="99"/>
    <w:semiHidden/>
    <w:rsid w:val="00B61207"/>
    <w:rPr>
      <w:b/>
      <w:bCs/>
      <w:sz w:val="20"/>
      <w:szCs w:val="20"/>
    </w:rPr>
  </w:style>
  <w:style w:type="paragraph" w:styleId="Revision">
    <w:name w:val="Revision"/>
    <w:hidden/>
    <w:uiPriority w:val="99"/>
    <w:semiHidden/>
    <w:rsid w:val="00E25B46"/>
    <w:pPr>
      <w:spacing w:after="0" w:line="240" w:lineRule="auto"/>
    </w:pPr>
  </w:style>
  <w:style w:type="character" w:styleId="FollowedHyperlink">
    <w:name w:val="FollowedHyperlink"/>
    <w:basedOn w:val="DefaultParagraphFont"/>
    <w:uiPriority w:val="99"/>
    <w:semiHidden/>
    <w:unhideWhenUsed/>
    <w:rsid w:val="00141902"/>
    <w:rPr>
      <w:color w:val="954F72"/>
      <w:u w:val="single"/>
    </w:rPr>
  </w:style>
  <w:style w:type="paragraph" w:customStyle="1" w:styleId="xl63">
    <w:name w:val="xl63"/>
    <w:basedOn w:val="Normal"/>
    <w:rsid w:val="0014190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4">
    <w:name w:val="xl64"/>
    <w:basedOn w:val="Normal"/>
    <w:rsid w:val="0014190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141902"/>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141902"/>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141902"/>
    <w:pP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141902"/>
    <w:pPr>
      <w:pBdr>
        <w:lef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141902"/>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0">
    <w:name w:val="xl70"/>
    <w:basedOn w:val="Normal"/>
    <w:rsid w:val="00141902"/>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141902"/>
    <w:pPr>
      <w:shd w:val="clear" w:color="000000" w:fill="00B05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141902"/>
    <w:pP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3">
    <w:name w:val="xl73"/>
    <w:basedOn w:val="Normal"/>
    <w:rsid w:val="00141902"/>
    <w:pPr>
      <w:pBdr>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141902"/>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rsid w:val="00141902"/>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6">
    <w:name w:val="xl76"/>
    <w:basedOn w:val="Normal"/>
    <w:rsid w:val="00141902"/>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90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37B4"/>
    <w:rPr>
      <w:rFonts w:cstheme="minorHAnsi"/>
      <w:b/>
      <w:sz w:val="32"/>
      <w:szCs w:val="32"/>
    </w:rPr>
  </w:style>
  <w:style w:type="paragraph" w:styleId="TOCHeading">
    <w:name w:val="TOC Heading"/>
    <w:basedOn w:val="Heading1"/>
    <w:next w:val="Normal"/>
    <w:uiPriority w:val="39"/>
    <w:unhideWhenUsed/>
    <w:qFormat/>
    <w:rsid w:val="003475C1"/>
    <w:pPr>
      <w:spacing w:line="259" w:lineRule="auto"/>
      <w:outlineLvl w:val="9"/>
    </w:pPr>
    <w:rPr>
      <w:lang w:val="en-US"/>
    </w:rPr>
  </w:style>
  <w:style w:type="paragraph" w:customStyle="1" w:styleId="FILHeader1">
    <w:name w:val="FIL Header 1"/>
    <w:basedOn w:val="Normal"/>
    <w:next w:val="Normal"/>
    <w:link w:val="FILHeader1Char"/>
    <w:rsid w:val="003475C1"/>
    <w:pPr>
      <w:numPr>
        <w:numId w:val="9"/>
      </w:numPr>
    </w:pPr>
    <w:rPr>
      <w:rFonts w:cstheme="minorHAnsi"/>
      <w:b/>
      <w:sz w:val="32"/>
      <w:szCs w:val="32"/>
    </w:rPr>
  </w:style>
  <w:style w:type="paragraph" w:styleId="Title">
    <w:name w:val="Title"/>
    <w:basedOn w:val="Normal"/>
    <w:next w:val="Normal"/>
    <w:link w:val="TitleChar"/>
    <w:uiPriority w:val="10"/>
    <w:qFormat/>
    <w:rsid w:val="009137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3475C1"/>
  </w:style>
  <w:style w:type="character" w:customStyle="1" w:styleId="FILHeader1Char">
    <w:name w:val="FIL Header 1 Char"/>
    <w:basedOn w:val="ListParagraphChar"/>
    <w:link w:val="FILHeader1"/>
    <w:rsid w:val="003475C1"/>
    <w:rPr>
      <w:rFonts w:cstheme="minorHAnsi"/>
      <w:b/>
      <w:sz w:val="32"/>
      <w:szCs w:val="32"/>
    </w:rPr>
  </w:style>
  <w:style w:type="character" w:customStyle="1" w:styleId="TitleChar">
    <w:name w:val="Title Char"/>
    <w:basedOn w:val="DefaultParagraphFont"/>
    <w:link w:val="Title"/>
    <w:uiPriority w:val="10"/>
    <w:rsid w:val="009137B4"/>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137B4"/>
    <w:pPr>
      <w:spacing w:after="100"/>
    </w:pPr>
  </w:style>
  <w:style w:type="character" w:customStyle="1" w:styleId="Heading2Char">
    <w:name w:val="Heading 2 Char"/>
    <w:basedOn w:val="DefaultParagraphFont"/>
    <w:link w:val="Heading2"/>
    <w:uiPriority w:val="9"/>
    <w:rsid w:val="009137B4"/>
    <w:rPr>
      <w:rFonts w:cstheme="minorHAnsi"/>
      <w:b/>
      <w:sz w:val="28"/>
      <w:szCs w:val="28"/>
    </w:rPr>
  </w:style>
  <w:style w:type="paragraph" w:styleId="TOC2">
    <w:name w:val="toc 2"/>
    <w:basedOn w:val="Normal"/>
    <w:next w:val="Normal"/>
    <w:autoRedefine/>
    <w:uiPriority w:val="39"/>
    <w:unhideWhenUsed/>
    <w:rsid w:val="009137B4"/>
    <w:pPr>
      <w:spacing w:after="100"/>
      <w:ind w:left="220"/>
    </w:pPr>
  </w:style>
  <w:style w:type="paragraph" w:styleId="NoSpacing">
    <w:name w:val="No Spacing"/>
    <w:uiPriority w:val="1"/>
    <w:qFormat/>
    <w:rsid w:val="00913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4000">
      <w:bodyDiv w:val="1"/>
      <w:marLeft w:val="0"/>
      <w:marRight w:val="0"/>
      <w:marTop w:val="0"/>
      <w:marBottom w:val="0"/>
      <w:divBdr>
        <w:top w:val="none" w:sz="0" w:space="0" w:color="auto"/>
        <w:left w:val="none" w:sz="0" w:space="0" w:color="auto"/>
        <w:bottom w:val="none" w:sz="0" w:space="0" w:color="auto"/>
        <w:right w:val="none" w:sz="0" w:space="0" w:color="auto"/>
      </w:divBdr>
    </w:div>
    <w:div w:id="67700883">
      <w:bodyDiv w:val="1"/>
      <w:marLeft w:val="0"/>
      <w:marRight w:val="0"/>
      <w:marTop w:val="0"/>
      <w:marBottom w:val="0"/>
      <w:divBdr>
        <w:top w:val="none" w:sz="0" w:space="0" w:color="auto"/>
        <w:left w:val="none" w:sz="0" w:space="0" w:color="auto"/>
        <w:bottom w:val="none" w:sz="0" w:space="0" w:color="auto"/>
        <w:right w:val="none" w:sz="0" w:space="0" w:color="auto"/>
      </w:divBdr>
    </w:div>
    <w:div w:id="79565054">
      <w:bodyDiv w:val="1"/>
      <w:marLeft w:val="0"/>
      <w:marRight w:val="0"/>
      <w:marTop w:val="0"/>
      <w:marBottom w:val="0"/>
      <w:divBdr>
        <w:top w:val="none" w:sz="0" w:space="0" w:color="auto"/>
        <w:left w:val="none" w:sz="0" w:space="0" w:color="auto"/>
        <w:bottom w:val="none" w:sz="0" w:space="0" w:color="auto"/>
        <w:right w:val="none" w:sz="0" w:space="0" w:color="auto"/>
      </w:divBdr>
    </w:div>
    <w:div w:id="100759034">
      <w:bodyDiv w:val="1"/>
      <w:marLeft w:val="0"/>
      <w:marRight w:val="0"/>
      <w:marTop w:val="0"/>
      <w:marBottom w:val="0"/>
      <w:divBdr>
        <w:top w:val="none" w:sz="0" w:space="0" w:color="auto"/>
        <w:left w:val="none" w:sz="0" w:space="0" w:color="auto"/>
        <w:bottom w:val="none" w:sz="0" w:space="0" w:color="auto"/>
        <w:right w:val="none" w:sz="0" w:space="0" w:color="auto"/>
      </w:divBdr>
    </w:div>
    <w:div w:id="103691736">
      <w:bodyDiv w:val="1"/>
      <w:marLeft w:val="0"/>
      <w:marRight w:val="0"/>
      <w:marTop w:val="0"/>
      <w:marBottom w:val="0"/>
      <w:divBdr>
        <w:top w:val="none" w:sz="0" w:space="0" w:color="auto"/>
        <w:left w:val="none" w:sz="0" w:space="0" w:color="auto"/>
        <w:bottom w:val="none" w:sz="0" w:space="0" w:color="auto"/>
        <w:right w:val="none" w:sz="0" w:space="0" w:color="auto"/>
      </w:divBdr>
    </w:div>
    <w:div w:id="134563955">
      <w:bodyDiv w:val="1"/>
      <w:marLeft w:val="0"/>
      <w:marRight w:val="0"/>
      <w:marTop w:val="0"/>
      <w:marBottom w:val="0"/>
      <w:divBdr>
        <w:top w:val="none" w:sz="0" w:space="0" w:color="auto"/>
        <w:left w:val="none" w:sz="0" w:space="0" w:color="auto"/>
        <w:bottom w:val="none" w:sz="0" w:space="0" w:color="auto"/>
        <w:right w:val="none" w:sz="0" w:space="0" w:color="auto"/>
      </w:divBdr>
    </w:div>
    <w:div w:id="149949186">
      <w:bodyDiv w:val="1"/>
      <w:marLeft w:val="0"/>
      <w:marRight w:val="0"/>
      <w:marTop w:val="0"/>
      <w:marBottom w:val="0"/>
      <w:divBdr>
        <w:top w:val="none" w:sz="0" w:space="0" w:color="auto"/>
        <w:left w:val="none" w:sz="0" w:space="0" w:color="auto"/>
        <w:bottom w:val="none" w:sz="0" w:space="0" w:color="auto"/>
        <w:right w:val="none" w:sz="0" w:space="0" w:color="auto"/>
      </w:divBdr>
    </w:div>
    <w:div w:id="177547256">
      <w:bodyDiv w:val="1"/>
      <w:marLeft w:val="0"/>
      <w:marRight w:val="0"/>
      <w:marTop w:val="0"/>
      <w:marBottom w:val="0"/>
      <w:divBdr>
        <w:top w:val="none" w:sz="0" w:space="0" w:color="auto"/>
        <w:left w:val="none" w:sz="0" w:space="0" w:color="auto"/>
        <w:bottom w:val="none" w:sz="0" w:space="0" w:color="auto"/>
        <w:right w:val="none" w:sz="0" w:space="0" w:color="auto"/>
      </w:divBdr>
    </w:div>
    <w:div w:id="185295024">
      <w:bodyDiv w:val="1"/>
      <w:marLeft w:val="0"/>
      <w:marRight w:val="0"/>
      <w:marTop w:val="0"/>
      <w:marBottom w:val="0"/>
      <w:divBdr>
        <w:top w:val="none" w:sz="0" w:space="0" w:color="auto"/>
        <w:left w:val="none" w:sz="0" w:space="0" w:color="auto"/>
        <w:bottom w:val="none" w:sz="0" w:space="0" w:color="auto"/>
        <w:right w:val="none" w:sz="0" w:space="0" w:color="auto"/>
      </w:divBdr>
    </w:div>
    <w:div w:id="211428511">
      <w:bodyDiv w:val="1"/>
      <w:marLeft w:val="0"/>
      <w:marRight w:val="0"/>
      <w:marTop w:val="0"/>
      <w:marBottom w:val="0"/>
      <w:divBdr>
        <w:top w:val="none" w:sz="0" w:space="0" w:color="auto"/>
        <w:left w:val="none" w:sz="0" w:space="0" w:color="auto"/>
        <w:bottom w:val="none" w:sz="0" w:space="0" w:color="auto"/>
        <w:right w:val="none" w:sz="0" w:space="0" w:color="auto"/>
      </w:divBdr>
    </w:div>
    <w:div w:id="235014136">
      <w:bodyDiv w:val="1"/>
      <w:marLeft w:val="0"/>
      <w:marRight w:val="0"/>
      <w:marTop w:val="0"/>
      <w:marBottom w:val="0"/>
      <w:divBdr>
        <w:top w:val="none" w:sz="0" w:space="0" w:color="auto"/>
        <w:left w:val="none" w:sz="0" w:space="0" w:color="auto"/>
        <w:bottom w:val="none" w:sz="0" w:space="0" w:color="auto"/>
        <w:right w:val="none" w:sz="0" w:space="0" w:color="auto"/>
      </w:divBdr>
    </w:div>
    <w:div w:id="246424082">
      <w:bodyDiv w:val="1"/>
      <w:marLeft w:val="0"/>
      <w:marRight w:val="0"/>
      <w:marTop w:val="0"/>
      <w:marBottom w:val="0"/>
      <w:divBdr>
        <w:top w:val="none" w:sz="0" w:space="0" w:color="auto"/>
        <w:left w:val="none" w:sz="0" w:space="0" w:color="auto"/>
        <w:bottom w:val="none" w:sz="0" w:space="0" w:color="auto"/>
        <w:right w:val="none" w:sz="0" w:space="0" w:color="auto"/>
      </w:divBdr>
    </w:div>
    <w:div w:id="263462166">
      <w:bodyDiv w:val="1"/>
      <w:marLeft w:val="0"/>
      <w:marRight w:val="0"/>
      <w:marTop w:val="0"/>
      <w:marBottom w:val="0"/>
      <w:divBdr>
        <w:top w:val="none" w:sz="0" w:space="0" w:color="auto"/>
        <w:left w:val="none" w:sz="0" w:space="0" w:color="auto"/>
        <w:bottom w:val="none" w:sz="0" w:space="0" w:color="auto"/>
        <w:right w:val="none" w:sz="0" w:space="0" w:color="auto"/>
      </w:divBdr>
    </w:div>
    <w:div w:id="279453733">
      <w:bodyDiv w:val="1"/>
      <w:marLeft w:val="0"/>
      <w:marRight w:val="0"/>
      <w:marTop w:val="0"/>
      <w:marBottom w:val="0"/>
      <w:divBdr>
        <w:top w:val="none" w:sz="0" w:space="0" w:color="auto"/>
        <w:left w:val="none" w:sz="0" w:space="0" w:color="auto"/>
        <w:bottom w:val="none" w:sz="0" w:space="0" w:color="auto"/>
        <w:right w:val="none" w:sz="0" w:space="0" w:color="auto"/>
      </w:divBdr>
    </w:div>
    <w:div w:id="284242003">
      <w:bodyDiv w:val="1"/>
      <w:marLeft w:val="0"/>
      <w:marRight w:val="0"/>
      <w:marTop w:val="0"/>
      <w:marBottom w:val="0"/>
      <w:divBdr>
        <w:top w:val="none" w:sz="0" w:space="0" w:color="auto"/>
        <w:left w:val="none" w:sz="0" w:space="0" w:color="auto"/>
        <w:bottom w:val="none" w:sz="0" w:space="0" w:color="auto"/>
        <w:right w:val="none" w:sz="0" w:space="0" w:color="auto"/>
      </w:divBdr>
    </w:div>
    <w:div w:id="294531193">
      <w:bodyDiv w:val="1"/>
      <w:marLeft w:val="0"/>
      <w:marRight w:val="0"/>
      <w:marTop w:val="0"/>
      <w:marBottom w:val="0"/>
      <w:divBdr>
        <w:top w:val="none" w:sz="0" w:space="0" w:color="auto"/>
        <w:left w:val="none" w:sz="0" w:space="0" w:color="auto"/>
        <w:bottom w:val="none" w:sz="0" w:space="0" w:color="auto"/>
        <w:right w:val="none" w:sz="0" w:space="0" w:color="auto"/>
      </w:divBdr>
    </w:div>
    <w:div w:id="305204615">
      <w:bodyDiv w:val="1"/>
      <w:marLeft w:val="0"/>
      <w:marRight w:val="0"/>
      <w:marTop w:val="0"/>
      <w:marBottom w:val="0"/>
      <w:divBdr>
        <w:top w:val="none" w:sz="0" w:space="0" w:color="auto"/>
        <w:left w:val="none" w:sz="0" w:space="0" w:color="auto"/>
        <w:bottom w:val="none" w:sz="0" w:space="0" w:color="auto"/>
        <w:right w:val="none" w:sz="0" w:space="0" w:color="auto"/>
      </w:divBdr>
    </w:div>
    <w:div w:id="305864107">
      <w:bodyDiv w:val="1"/>
      <w:marLeft w:val="0"/>
      <w:marRight w:val="0"/>
      <w:marTop w:val="0"/>
      <w:marBottom w:val="0"/>
      <w:divBdr>
        <w:top w:val="none" w:sz="0" w:space="0" w:color="auto"/>
        <w:left w:val="none" w:sz="0" w:space="0" w:color="auto"/>
        <w:bottom w:val="none" w:sz="0" w:space="0" w:color="auto"/>
        <w:right w:val="none" w:sz="0" w:space="0" w:color="auto"/>
      </w:divBdr>
    </w:div>
    <w:div w:id="348067836">
      <w:bodyDiv w:val="1"/>
      <w:marLeft w:val="0"/>
      <w:marRight w:val="0"/>
      <w:marTop w:val="0"/>
      <w:marBottom w:val="0"/>
      <w:divBdr>
        <w:top w:val="none" w:sz="0" w:space="0" w:color="auto"/>
        <w:left w:val="none" w:sz="0" w:space="0" w:color="auto"/>
        <w:bottom w:val="none" w:sz="0" w:space="0" w:color="auto"/>
        <w:right w:val="none" w:sz="0" w:space="0" w:color="auto"/>
      </w:divBdr>
    </w:div>
    <w:div w:id="352344218">
      <w:bodyDiv w:val="1"/>
      <w:marLeft w:val="0"/>
      <w:marRight w:val="0"/>
      <w:marTop w:val="0"/>
      <w:marBottom w:val="0"/>
      <w:divBdr>
        <w:top w:val="none" w:sz="0" w:space="0" w:color="auto"/>
        <w:left w:val="none" w:sz="0" w:space="0" w:color="auto"/>
        <w:bottom w:val="none" w:sz="0" w:space="0" w:color="auto"/>
        <w:right w:val="none" w:sz="0" w:space="0" w:color="auto"/>
      </w:divBdr>
    </w:div>
    <w:div w:id="352805583">
      <w:bodyDiv w:val="1"/>
      <w:marLeft w:val="0"/>
      <w:marRight w:val="0"/>
      <w:marTop w:val="0"/>
      <w:marBottom w:val="0"/>
      <w:divBdr>
        <w:top w:val="none" w:sz="0" w:space="0" w:color="auto"/>
        <w:left w:val="none" w:sz="0" w:space="0" w:color="auto"/>
        <w:bottom w:val="none" w:sz="0" w:space="0" w:color="auto"/>
        <w:right w:val="none" w:sz="0" w:space="0" w:color="auto"/>
      </w:divBdr>
    </w:div>
    <w:div w:id="367415103">
      <w:bodyDiv w:val="1"/>
      <w:marLeft w:val="0"/>
      <w:marRight w:val="0"/>
      <w:marTop w:val="0"/>
      <w:marBottom w:val="0"/>
      <w:divBdr>
        <w:top w:val="none" w:sz="0" w:space="0" w:color="auto"/>
        <w:left w:val="none" w:sz="0" w:space="0" w:color="auto"/>
        <w:bottom w:val="none" w:sz="0" w:space="0" w:color="auto"/>
        <w:right w:val="none" w:sz="0" w:space="0" w:color="auto"/>
      </w:divBdr>
    </w:div>
    <w:div w:id="391663916">
      <w:bodyDiv w:val="1"/>
      <w:marLeft w:val="0"/>
      <w:marRight w:val="0"/>
      <w:marTop w:val="0"/>
      <w:marBottom w:val="0"/>
      <w:divBdr>
        <w:top w:val="none" w:sz="0" w:space="0" w:color="auto"/>
        <w:left w:val="none" w:sz="0" w:space="0" w:color="auto"/>
        <w:bottom w:val="none" w:sz="0" w:space="0" w:color="auto"/>
        <w:right w:val="none" w:sz="0" w:space="0" w:color="auto"/>
      </w:divBdr>
    </w:div>
    <w:div w:id="458498006">
      <w:bodyDiv w:val="1"/>
      <w:marLeft w:val="0"/>
      <w:marRight w:val="0"/>
      <w:marTop w:val="0"/>
      <w:marBottom w:val="0"/>
      <w:divBdr>
        <w:top w:val="none" w:sz="0" w:space="0" w:color="auto"/>
        <w:left w:val="none" w:sz="0" w:space="0" w:color="auto"/>
        <w:bottom w:val="none" w:sz="0" w:space="0" w:color="auto"/>
        <w:right w:val="none" w:sz="0" w:space="0" w:color="auto"/>
      </w:divBdr>
    </w:div>
    <w:div w:id="472521982">
      <w:bodyDiv w:val="1"/>
      <w:marLeft w:val="0"/>
      <w:marRight w:val="0"/>
      <w:marTop w:val="0"/>
      <w:marBottom w:val="0"/>
      <w:divBdr>
        <w:top w:val="none" w:sz="0" w:space="0" w:color="auto"/>
        <w:left w:val="none" w:sz="0" w:space="0" w:color="auto"/>
        <w:bottom w:val="none" w:sz="0" w:space="0" w:color="auto"/>
        <w:right w:val="none" w:sz="0" w:space="0" w:color="auto"/>
      </w:divBdr>
    </w:div>
    <w:div w:id="521556323">
      <w:bodyDiv w:val="1"/>
      <w:marLeft w:val="0"/>
      <w:marRight w:val="0"/>
      <w:marTop w:val="0"/>
      <w:marBottom w:val="0"/>
      <w:divBdr>
        <w:top w:val="none" w:sz="0" w:space="0" w:color="auto"/>
        <w:left w:val="none" w:sz="0" w:space="0" w:color="auto"/>
        <w:bottom w:val="none" w:sz="0" w:space="0" w:color="auto"/>
        <w:right w:val="none" w:sz="0" w:space="0" w:color="auto"/>
      </w:divBdr>
    </w:div>
    <w:div w:id="531573777">
      <w:bodyDiv w:val="1"/>
      <w:marLeft w:val="0"/>
      <w:marRight w:val="0"/>
      <w:marTop w:val="0"/>
      <w:marBottom w:val="0"/>
      <w:divBdr>
        <w:top w:val="none" w:sz="0" w:space="0" w:color="auto"/>
        <w:left w:val="none" w:sz="0" w:space="0" w:color="auto"/>
        <w:bottom w:val="none" w:sz="0" w:space="0" w:color="auto"/>
        <w:right w:val="none" w:sz="0" w:space="0" w:color="auto"/>
      </w:divBdr>
    </w:div>
    <w:div w:id="532619429">
      <w:bodyDiv w:val="1"/>
      <w:marLeft w:val="0"/>
      <w:marRight w:val="0"/>
      <w:marTop w:val="0"/>
      <w:marBottom w:val="0"/>
      <w:divBdr>
        <w:top w:val="none" w:sz="0" w:space="0" w:color="auto"/>
        <w:left w:val="none" w:sz="0" w:space="0" w:color="auto"/>
        <w:bottom w:val="none" w:sz="0" w:space="0" w:color="auto"/>
        <w:right w:val="none" w:sz="0" w:space="0" w:color="auto"/>
      </w:divBdr>
    </w:div>
    <w:div w:id="534734154">
      <w:bodyDiv w:val="1"/>
      <w:marLeft w:val="0"/>
      <w:marRight w:val="0"/>
      <w:marTop w:val="0"/>
      <w:marBottom w:val="0"/>
      <w:divBdr>
        <w:top w:val="none" w:sz="0" w:space="0" w:color="auto"/>
        <w:left w:val="none" w:sz="0" w:space="0" w:color="auto"/>
        <w:bottom w:val="none" w:sz="0" w:space="0" w:color="auto"/>
        <w:right w:val="none" w:sz="0" w:space="0" w:color="auto"/>
      </w:divBdr>
    </w:div>
    <w:div w:id="554925561">
      <w:bodyDiv w:val="1"/>
      <w:marLeft w:val="0"/>
      <w:marRight w:val="0"/>
      <w:marTop w:val="0"/>
      <w:marBottom w:val="0"/>
      <w:divBdr>
        <w:top w:val="none" w:sz="0" w:space="0" w:color="auto"/>
        <w:left w:val="none" w:sz="0" w:space="0" w:color="auto"/>
        <w:bottom w:val="none" w:sz="0" w:space="0" w:color="auto"/>
        <w:right w:val="none" w:sz="0" w:space="0" w:color="auto"/>
      </w:divBdr>
    </w:div>
    <w:div w:id="573274589">
      <w:bodyDiv w:val="1"/>
      <w:marLeft w:val="0"/>
      <w:marRight w:val="0"/>
      <w:marTop w:val="0"/>
      <w:marBottom w:val="0"/>
      <w:divBdr>
        <w:top w:val="none" w:sz="0" w:space="0" w:color="auto"/>
        <w:left w:val="none" w:sz="0" w:space="0" w:color="auto"/>
        <w:bottom w:val="none" w:sz="0" w:space="0" w:color="auto"/>
        <w:right w:val="none" w:sz="0" w:space="0" w:color="auto"/>
      </w:divBdr>
    </w:div>
    <w:div w:id="613564582">
      <w:bodyDiv w:val="1"/>
      <w:marLeft w:val="0"/>
      <w:marRight w:val="0"/>
      <w:marTop w:val="0"/>
      <w:marBottom w:val="0"/>
      <w:divBdr>
        <w:top w:val="none" w:sz="0" w:space="0" w:color="auto"/>
        <w:left w:val="none" w:sz="0" w:space="0" w:color="auto"/>
        <w:bottom w:val="none" w:sz="0" w:space="0" w:color="auto"/>
        <w:right w:val="none" w:sz="0" w:space="0" w:color="auto"/>
      </w:divBdr>
    </w:div>
    <w:div w:id="617100686">
      <w:bodyDiv w:val="1"/>
      <w:marLeft w:val="0"/>
      <w:marRight w:val="0"/>
      <w:marTop w:val="0"/>
      <w:marBottom w:val="0"/>
      <w:divBdr>
        <w:top w:val="none" w:sz="0" w:space="0" w:color="auto"/>
        <w:left w:val="none" w:sz="0" w:space="0" w:color="auto"/>
        <w:bottom w:val="none" w:sz="0" w:space="0" w:color="auto"/>
        <w:right w:val="none" w:sz="0" w:space="0" w:color="auto"/>
      </w:divBdr>
    </w:div>
    <w:div w:id="632295208">
      <w:bodyDiv w:val="1"/>
      <w:marLeft w:val="0"/>
      <w:marRight w:val="0"/>
      <w:marTop w:val="0"/>
      <w:marBottom w:val="0"/>
      <w:divBdr>
        <w:top w:val="none" w:sz="0" w:space="0" w:color="auto"/>
        <w:left w:val="none" w:sz="0" w:space="0" w:color="auto"/>
        <w:bottom w:val="none" w:sz="0" w:space="0" w:color="auto"/>
        <w:right w:val="none" w:sz="0" w:space="0" w:color="auto"/>
      </w:divBdr>
    </w:div>
    <w:div w:id="636302445">
      <w:bodyDiv w:val="1"/>
      <w:marLeft w:val="0"/>
      <w:marRight w:val="0"/>
      <w:marTop w:val="0"/>
      <w:marBottom w:val="0"/>
      <w:divBdr>
        <w:top w:val="none" w:sz="0" w:space="0" w:color="auto"/>
        <w:left w:val="none" w:sz="0" w:space="0" w:color="auto"/>
        <w:bottom w:val="none" w:sz="0" w:space="0" w:color="auto"/>
        <w:right w:val="none" w:sz="0" w:space="0" w:color="auto"/>
      </w:divBdr>
    </w:div>
    <w:div w:id="745493422">
      <w:bodyDiv w:val="1"/>
      <w:marLeft w:val="0"/>
      <w:marRight w:val="0"/>
      <w:marTop w:val="0"/>
      <w:marBottom w:val="0"/>
      <w:divBdr>
        <w:top w:val="none" w:sz="0" w:space="0" w:color="auto"/>
        <w:left w:val="none" w:sz="0" w:space="0" w:color="auto"/>
        <w:bottom w:val="none" w:sz="0" w:space="0" w:color="auto"/>
        <w:right w:val="none" w:sz="0" w:space="0" w:color="auto"/>
      </w:divBdr>
    </w:div>
    <w:div w:id="748160796">
      <w:bodyDiv w:val="1"/>
      <w:marLeft w:val="0"/>
      <w:marRight w:val="0"/>
      <w:marTop w:val="0"/>
      <w:marBottom w:val="0"/>
      <w:divBdr>
        <w:top w:val="none" w:sz="0" w:space="0" w:color="auto"/>
        <w:left w:val="none" w:sz="0" w:space="0" w:color="auto"/>
        <w:bottom w:val="none" w:sz="0" w:space="0" w:color="auto"/>
        <w:right w:val="none" w:sz="0" w:space="0" w:color="auto"/>
      </w:divBdr>
    </w:div>
    <w:div w:id="766118838">
      <w:bodyDiv w:val="1"/>
      <w:marLeft w:val="0"/>
      <w:marRight w:val="0"/>
      <w:marTop w:val="0"/>
      <w:marBottom w:val="0"/>
      <w:divBdr>
        <w:top w:val="none" w:sz="0" w:space="0" w:color="auto"/>
        <w:left w:val="none" w:sz="0" w:space="0" w:color="auto"/>
        <w:bottom w:val="none" w:sz="0" w:space="0" w:color="auto"/>
        <w:right w:val="none" w:sz="0" w:space="0" w:color="auto"/>
      </w:divBdr>
    </w:div>
    <w:div w:id="767236314">
      <w:bodyDiv w:val="1"/>
      <w:marLeft w:val="0"/>
      <w:marRight w:val="0"/>
      <w:marTop w:val="0"/>
      <w:marBottom w:val="0"/>
      <w:divBdr>
        <w:top w:val="none" w:sz="0" w:space="0" w:color="auto"/>
        <w:left w:val="none" w:sz="0" w:space="0" w:color="auto"/>
        <w:bottom w:val="none" w:sz="0" w:space="0" w:color="auto"/>
        <w:right w:val="none" w:sz="0" w:space="0" w:color="auto"/>
      </w:divBdr>
    </w:div>
    <w:div w:id="773482230">
      <w:bodyDiv w:val="1"/>
      <w:marLeft w:val="0"/>
      <w:marRight w:val="0"/>
      <w:marTop w:val="0"/>
      <w:marBottom w:val="0"/>
      <w:divBdr>
        <w:top w:val="none" w:sz="0" w:space="0" w:color="auto"/>
        <w:left w:val="none" w:sz="0" w:space="0" w:color="auto"/>
        <w:bottom w:val="none" w:sz="0" w:space="0" w:color="auto"/>
        <w:right w:val="none" w:sz="0" w:space="0" w:color="auto"/>
      </w:divBdr>
    </w:div>
    <w:div w:id="788935739">
      <w:bodyDiv w:val="1"/>
      <w:marLeft w:val="0"/>
      <w:marRight w:val="0"/>
      <w:marTop w:val="0"/>
      <w:marBottom w:val="0"/>
      <w:divBdr>
        <w:top w:val="none" w:sz="0" w:space="0" w:color="auto"/>
        <w:left w:val="none" w:sz="0" w:space="0" w:color="auto"/>
        <w:bottom w:val="none" w:sz="0" w:space="0" w:color="auto"/>
        <w:right w:val="none" w:sz="0" w:space="0" w:color="auto"/>
      </w:divBdr>
    </w:div>
    <w:div w:id="790199790">
      <w:bodyDiv w:val="1"/>
      <w:marLeft w:val="0"/>
      <w:marRight w:val="0"/>
      <w:marTop w:val="0"/>
      <w:marBottom w:val="0"/>
      <w:divBdr>
        <w:top w:val="none" w:sz="0" w:space="0" w:color="auto"/>
        <w:left w:val="none" w:sz="0" w:space="0" w:color="auto"/>
        <w:bottom w:val="none" w:sz="0" w:space="0" w:color="auto"/>
        <w:right w:val="none" w:sz="0" w:space="0" w:color="auto"/>
      </w:divBdr>
    </w:div>
    <w:div w:id="814953992">
      <w:bodyDiv w:val="1"/>
      <w:marLeft w:val="0"/>
      <w:marRight w:val="0"/>
      <w:marTop w:val="0"/>
      <w:marBottom w:val="0"/>
      <w:divBdr>
        <w:top w:val="none" w:sz="0" w:space="0" w:color="auto"/>
        <w:left w:val="none" w:sz="0" w:space="0" w:color="auto"/>
        <w:bottom w:val="none" w:sz="0" w:space="0" w:color="auto"/>
        <w:right w:val="none" w:sz="0" w:space="0" w:color="auto"/>
      </w:divBdr>
    </w:div>
    <w:div w:id="818425635">
      <w:bodyDiv w:val="1"/>
      <w:marLeft w:val="0"/>
      <w:marRight w:val="0"/>
      <w:marTop w:val="0"/>
      <w:marBottom w:val="0"/>
      <w:divBdr>
        <w:top w:val="none" w:sz="0" w:space="0" w:color="auto"/>
        <w:left w:val="none" w:sz="0" w:space="0" w:color="auto"/>
        <w:bottom w:val="none" w:sz="0" w:space="0" w:color="auto"/>
        <w:right w:val="none" w:sz="0" w:space="0" w:color="auto"/>
      </w:divBdr>
    </w:div>
    <w:div w:id="827749318">
      <w:bodyDiv w:val="1"/>
      <w:marLeft w:val="0"/>
      <w:marRight w:val="0"/>
      <w:marTop w:val="0"/>
      <w:marBottom w:val="0"/>
      <w:divBdr>
        <w:top w:val="none" w:sz="0" w:space="0" w:color="auto"/>
        <w:left w:val="none" w:sz="0" w:space="0" w:color="auto"/>
        <w:bottom w:val="none" w:sz="0" w:space="0" w:color="auto"/>
        <w:right w:val="none" w:sz="0" w:space="0" w:color="auto"/>
      </w:divBdr>
    </w:div>
    <w:div w:id="849375891">
      <w:bodyDiv w:val="1"/>
      <w:marLeft w:val="0"/>
      <w:marRight w:val="0"/>
      <w:marTop w:val="0"/>
      <w:marBottom w:val="0"/>
      <w:divBdr>
        <w:top w:val="none" w:sz="0" w:space="0" w:color="auto"/>
        <w:left w:val="none" w:sz="0" w:space="0" w:color="auto"/>
        <w:bottom w:val="none" w:sz="0" w:space="0" w:color="auto"/>
        <w:right w:val="none" w:sz="0" w:space="0" w:color="auto"/>
      </w:divBdr>
    </w:div>
    <w:div w:id="861894148">
      <w:bodyDiv w:val="1"/>
      <w:marLeft w:val="0"/>
      <w:marRight w:val="0"/>
      <w:marTop w:val="0"/>
      <w:marBottom w:val="0"/>
      <w:divBdr>
        <w:top w:val="none" w:sz="0" w:space="0" w:color="auto"/>
        <w:left w:val="none" w:sz="0" w:space="0" w:color="auto"/>
        <w:bottom w:val="none" w:sz="0" w:space="0" w:color="auto"/>
        <w:right w:val="none" w:sz="0" w:space="0" w:color="auto"/>
      </w:divBdr>
    </w:div>
    <w:div w:id="891648018">
      <w:bodyDiv w:val="1"/>
      <w:marLeft w:val="0"/>
      <w:marRight w:val="0"/>
      <w:marTop w:val="0"/>
      <w:marBottom w:val="0"/>
      <w:divBdr>
        <w:top w:val="none" w:sz="0" w:space="0" w:color="auto"/>
        <w:left w:val="none" w:sz="0" w:space="0" w:color="auto"/>
        <w:bottom w:val="none" w:sz="0" w:space="0" w:color="auto"/>
        <w:right w:val="none" w:sz="0" w:space="0" w:color="auto"/>
      </w:divBdr>
    </w:div>
    <w:div w:id="920680252">
      <w:bodyDiv w:val="1"/>
      <w:marLeft w:val="0"/>
      <w:marRight w:val="0"/>
      <w:marTop w:val="0"/>
      <w:marBottom w:val="0"/>
      <w:divBdr>
        <w:top w:val="none" w:sz="0" w:space="0" w:color="auto"/>
        <w:left w:val="none" w:sz="0" w:space="0" w:color="auto"/>
        <w:bottom w:val="none" w:sz="0" w:space="0" w:color="auto"/>
        <w:right w:val="none" w:sz="0" w:space="0" w:color="auto"/>
      </w:divBdr>
    </w:div>
    <w:div w:id="927808814">
      <w:bodyDiv w:val="1"/>
      <w:marLeft w:val="0"/>
      <w:marRight w:val="0"/>
      <w:marTop w:val="0"/>
      <w:marBottom w:val="0"/>
      <w:divBdr>
        <w:top w:val="none" w:sz="0" w:space="0" w:color="auto"/>
        <w:left w:val="none" w:sz="0" w:space="0" w:color="auto"/>
        <w:bottom w:val="none" w:sz="0" w:space="0" w:color="auto"/>
        <w:right w:val="none" w:sz="0" w:space="0" w:color="auto"/>
      </w:divBdr>
    </w:div>
    <w:div w:id="933244826">
      <w:bodyDiv w:val="1"/>
      <w:marLeft w:val="0"/>
      <w:marRight w:val="0"/>
      <w:marTop w:val="0"/>
      <w:marBottom w:val="0"/>
      <w:divBdr>
        <w:top w:val="none" w:sz="0" w:space="0" w:color="auto"/>
        <w:left w:val="none" w:sz="0" w:space="0" w:color="auto"/>
        <w:bottom w:val="none" w:sz="0" w:space="0" w:color="auto"/>
        <w:right w:val="none" w:sz="0" w:space="0" w:color="auto"/>
      </w:divBdr>
    </w:div>
    <w:div w:id="946428862">
      <w:bodyDiv w:val="1"/>
      <w:marLeft w:val="0"/>
      <w:marRight w:val="0"/>
      <w:marTop w:val="0"/>
      <w:marBottom w:val="0"/>
      <w:divBdr>
        <w:top w:val="none" w:sz="0" w:space="0" w:color="auto"/>
        <w:left w:val="none" w:sz="0" w:space="0" w:color="auto"/>
        <w:bottom w:val="none" w:sz="0" w:space="0" w:color="auto"/>
        <w:right w:val="none" w:sz="0" w:space="0" w:color="auto"/>
      </w:divBdr>
    </w:div>
    <w:div w:id="952588330">
      <w:bodyDiv w:val="1"/>
      <w:marLeft w:val="0"/>
      <w:marRight w:val="0"/>
      <w:marTop w:val="0"/>
      <w:marBottom w:val="0"/>
      <w:divBdr>
        <w:top w:val="none" w:sz="0" w:space="0" w:color="auto"/>
        <w:left w:val="none" w:sz="0" w:space="0" w:color="auto"/>
        <w:bottom w:val="none" w:sz="0" w:space="0" w:color="auto"/>
        <w:right w:val="none" w:sz="0" w:space="0" w:color="auto"/>
      </w:divBdr>
    </w:div>
    <w:div w:id="964314740">
      <w:bodyDiv w:val="1"/>
      <w:marLeft w:val="0"/>
      <w:marRight w:val="0"/>
      <w:marTop w:val="0"/>
      <w:marBottom w:val="0"/>
      <w:divBdr>
        <w:top w:val="none" w:sz="0" w:space="0" w:color="auto"/>
        <w:left w:val="none" w:sz="0" w:space="0" w:color="auto"/>
        <w:bottom w:val="none" w:sz="0" w:space="0" w:color="auto"/>
        <w:right w:val="none" w:sz="0" w:space="0" w:color="auto"/>
      </w:divBdr>
    </w:div>
    <w:div w:id="965232200">
      <w:bodyDiv w:val="1"/>
      <w:marLeft w:val="0"/>
      <w:marRight w:val="0"/>
      <w:marTop w:val="0"/>
      <w:marBottom w:val="0"/>
      <w:divBdr>
        <w:top w:val="none" w:sz="0" w:space="0" w:color="auto"/>
        <w:left w:val="none" w:sz="0" w:space="0" w:color="auto"/>
        <w:bottom w:val="none" w:sz="0" w:space="0" w:color="auto"/>
        <w:right w:val="none" w:sz="0" w:space="0" w:color="auto"/>
      </w:divBdr>
    </w:div>
    <w:div w:id="975260009">
      <w:bodyDiv w:val="1"/>
      <w:marLeft w:val="0"/>
      <w:marRight w:val="0"/>
      <w:marTop w:val="0"/>
      <w:marBottom w:val="0"/>
      <w:divBdr>
        <w:top w:val="none" w:sz="0" w:space="0" w:color="auto"/>
        <w:left w:val="none" w:sz="0" w:space="0" w:color="auto"/>
        <w:bottom w:val="none" w:sz="0" w:space="0" w:color="auto"/>
        <w:right w:val="none" w:sz="0" w:space="0" w:color="auto"/>
      </w:divBdr>
    </w:div>
    <w:div w:id="1002968548">
      <w:bodyDiv w:val="1"/>
      <w:marLeft w:val="0"/>
      <w:marRight w:val="0"/>
      <w:marTop w:val="0"/>
      <w:marBottom w:val="0"/>
      <w:divBdr>
        <w:top w:val="none" w:sz="0" w:space="0" w:color="auto"/>
        <w:left w:val="none" w:sz="0" w:space="0" w:color="auto"/>
        <w:bottom w:val="none" w:sz="0" w:space="0" w:color="auto"/>
        <w:right w:val="none" w:sz="0" w:space="0" w:color="auto"/>
      </w:divBdr>
    </w:div>
    <w:div w:id="1005208895">
      <w:bodyDiv w:val="1"/>
      <w:marLeft w:val="0"/>
      <w:marRight w:val="0"/>
      <w:marTop w:val="0"/>
      <w:marBottom w:val="0"/>
      <w:divBdr>
        <w:top w:val="none" w:sz="0" w:space="0" w:color="auto"/>
        <w:left w:val="none" w:sz="0" w:space="0" w:color="auto"/>
        <w:bottom w:val="none" w:sz="0" w:space="0" w:color="auto"/>
        <w:right w:val="none" w:sz="0" w:space="0" w:color="auto"/>
      </w:divBdr>
    </w:div>
    <w:div w:id="1008479242">
      <w:bodyDiv w:val="1"/>
      <w:marLeft w:val="0"/>
      <w:marRight w:val="0"/>
      <w:marTop w:val="0"/>
      <w:marBottom w:val="0"/>
      <w:divBdr>
        <w:top w:val="none" w:sz="0" w:space="0" w:color="auto"/>
        <w:left w:val="none" w:sz="0" w:space="0" w:color="auto"/>
        <w:bottom w:val="none" w:sz="0" w:space="0" w:color="auto"/>
        <w:right w:val="none" w:sz="0" w:space="0" w:color="auto"/>
      </w:divBdr>
    </w:div>
    <w:div w:id="1018120433">
      <w:bodyDiv w:val="1"/>
      <w:marLeft w:val="0"/>
      <w:marRight w:val="0"/>
      <w:marTop w:val="0"/>
      <w:marBottom w:val="0"/>
      <w:divBdr>
        <w:top w:val="none" w:sz="0" w:space="0" w:color="auto"/>
        <w:left w:val="none" w:sz="0" w:space="0" w:color="auto"/>
        <w:bottom w:val="none" w:sz="0" w:space="0" w:color="auto"/>
        <w:right w:val="none" w:sz="0" w:space="0" w:color="auto"/>
      </w:divBdr>
    </w:div>
    <w:div w:id="1036125580">
      <w:bodyDiv w:val="1"/>
      <w:marLeft w:val="0"/>
      <w:marRight w:val="0"/>
      <w:marTop w:val="0"/>
      <w:marBottom w:val="0"/>
      <w:divBdr>
        <w:top w:val="none" w:sz="0" w:space="0" w:color="auto"/>
        <w:left w:val="none" w:sz="0" w:space="0" w:color="auto"/>
        <w:bottom w:val="none" w:sz="0" w:space="0" w:color="auto"/>
        <w:right w:val="none" w:sz="0" w:space="0" w:color="auto"/>
      </w:divBdr>
    </w:div>
    <w:div w:id="1038120011">
      <w:bodyDiv w:val="1"/>
      <w:marLeft w:val="0"/>
      <w:marRight w:val="0"/>
      <w:marTop w:val="0"/>
      <w:marBottom w:val="0"/>
      <w:divBdr>
        <w:top w:val="none" w:sz="0" w:space="0" w:color="auto"/>
        <w:left w:val="none" w:sz="0" w:space="0" w:color="auto"/>
        <w:bottom w:val="none" w:sz="0" w:space="0" w:color="auto"/>
        <w:right w:val="none" w:sz="0" w:space="0" w:color="auto"/>
      </w:divBdr>
    </w:div>
    <w:div w:id="1056320425">
      <w:bodyDiv w:val="1"/>
      <w:marLeft w:val="0"/>
      <w:marRight w:val="0"/>
      <w:marTop w:val="0"/>
      <w:marBottom w:val="0"/>
      <w:divBdr>
        <w:top w:val="none" w:sz="0" w:space="0" w:color="auto"/>
        <w:left w:val="none" w:sz="0" w:space="0" w:color="auto"/>
        <w:bottom w:val="none" w:sz="0" w:space="0" w:color="auto"/>
        <w:right w:val="none" w:sz="0" w:space="0" w:color="auto"/>
      </w:divBdr>
    </w:div>
    <w:div w:id="1066026818">
      <w:bodyDiv w:val="1"/>
      <w:marLeft w:val="0"/>
      <w:marRight w:val="0"/>
      <w:marTop w:val="0"/>
      <w:marBottom w:val="0"/>
      <w:divBdr>
        <w:top w:val="none" w:sz="0" w:space="0" w:color="auto"/>
        <w:left w:val="none" w:sz="0" w:space="0" w:color="auto"/>
        <w:bottom w:val="none" w:sz="0" w:space="0" w:color="auto"/>
        <w:right w:val="none" w:sz="0" w:space="0" w:color="auto"/>
      </w:divBdr>
    </w:div>
    <w:div w:id="1083065780">
      <w:bodyDiv w:val="1"/>
      <w:marLeft w:val="0"/>
      <w:marRight w:val="0"/>
      <w:marTop w:val="0"/>
      <w:marBottom w:val="0"/>
      <w:divBdr>
        <w:top w:val="none" w:sz="0" w:space="0" w:color="auto"/>
        <w:left w:val="none" w:sz="0" w:space="0" w:color="auto"/>
        <w:bottom w:val="none" w:sz="0" w:space="0" w:color="auto"/>
        <w:right w:val="none" w:sz="0" w:space="0" w:color="auto"/>
      </w:divBdr>
    </w:div>
    <w:div w:id="1092819306">
      <w:bodyDiv w:val="1"/>
      <w:marLeft w:val="0"/>
      <w:marRight w:val="0"/>
      <w:marTop w:val="0"/>
      <w:marBottom w:val="0"/>
      <w:divBdr>
        <w:top w:val="none" w:sz="0" w:space="0" w:color="auto"/>
        <w:left w:val="none" w:sz="0" w:space="0" w:color="auto"/>
        <w:bottom w:val="none" w:sz="0" w:space="0" w:color="auto"/>
        <w:right w:val="none" w:sz="0" w:space="0" w:color="auto"/>
      </w:divBdr>
    </w:div>
    <w:div w:id="1100108022">
      <w:bodyDiv w:val="1"/>
      <w:marLeft w:val="0"/>
      <w:marRight w:val="0"/>
      <w:marTop w:val="0"/>
      <w:marBottom w:val="0"/>
      <w:divBdr>
        <w:top w:val="none" w:sz="0" w:space="0" w:color="auto"/>
        <w:left w:val="none" w:sz="0" w:space="0" w:color="auto"/>
        <w:bottom w:val="none" w:sz="0" w:space="0" w:color="auto"/>
        <w:right w:val="none" w:sz="0" w:space="0" w:color="auto"/>
      </w:divBdr>
    </w:div>
    <w:div w:id="1104038464">
      <w:bodyDiv w:val="1"/>
      <w:marLeft w:val="0"/>
      <w:marRight w:val="0"/>
      <w:marTop w:val="0"/>
      <w:marBottom w:val="0"/>
      <w:divBdr>
        <w:top w:val="none" w:sz="0" w:space="0" w:color="auto"/>
        <w:left w:val="none" w:sz="0" w:space="0" w:color="auto"/>
        <w:bottom w:val="none" w:sz="0" w:space="0" w:color="auto"/>
        <w:right w:val="none" w:sz="0" w:space="0" w:color="auto"/>
      </w:divBdr>
    </w:div>
    <w:div w:id="1108306940">
      <w:bodyDiv w:val="1"/>
      <w:marLeft w:val="0"/>
      <w:marRight w:val="0"/>
      <w:marTop w:val="0"/>
      <w:marBottom w:val="0"/>
      <w:divBdr>
        <w:top w:val="none" w:sz="0" w:space="0" w:color="auto"/>
        <w:left w:val="none" w:sz="0" w:space="0" w:color="auto"/>
        <w:bottom w:val="none" w:sz="0" w:space="0" w:color="auto"/>
        <w:right w:val="none" w:sz="0" w:space="0" w:color="auto"/>
      </w:divBdr>
    </w:div>
    <w:div w:id="1121345571">
      <w:bodyDiv w:val="1"/>
      <w:marLeft w:val="0"/>
      <w:marRight w:val="0"/>
      <w:marTop w:val="0"/>
      <w:marBottom w:val="0"/>
      <w:divBdr>
        <w:top w:val="none" w:sz="0" w:space="0" w:color="auto"/>
        <w:left w:val="none" w:sz="0" w:space="0" w:color="auto"/>
        <w:bottom w:val="none" w:sz="0" w:space="0" w:color="auto"/>
        <w:right w:val="none" w:sz="0" w:space="0" w:color="auto"/>
      </w:divBdr>
    </w:div>
    <w:div w:id="1125583490">
      <w:bodyDiv w:val="1"/>
      <w:marLeft w:val="0"/>
      <w:marRight w:val="0"/>
      <w:marTop w:val="0"/>
      <w:marBottom w:val="0"/>
      <w:divBdr>
        <w:top w:val="none" w:sz="0" w:space="0" w:color="auto"/>
        <w:left w:val="none" w:sz="0" w:space="0" w:color="auto"/>
        <w:bottom w:val="none" w:sz="0" w:space="0" w:color="auto"/>
        <w:right w:val="none" w:sz="0" w:space="0" w:color="auto"/>
      </w:divBdr>
    </w:div>
    <w:div w:id="1145506583">
      <w:bodyDiv w:val="1"/>
      <w:marLeft w:val="0"/>
      <w:marRight w:val="0"/>
      <w:marTop w:val="0"/>
      <w:marBottom w:val="0"/>
      <w:divBdr>
        <w:top w:val="none" w:sz="0" w:space="0" w:color="auto"/>
        <w:left w:val="none" w:sz="0" w:space="0" w:color="auto"/>
        <w:bottom w:val="none" w:sz="0" w:space="0" w:color="auto"/>
        <w:right w:val="none" w:sz="0" w:space="0" w:color="auto"/>
      </w:divBdr>
    </w:div>
    <w:div w:id="1146163535">
      <w:bodyDiv w:val="1"/>
      <w:marLeft w:val="0"/>
      <w:marRight w:val="0"/>
      <w:marTop w:val="0"/>
      <w:marBottom w:val="0"/>
      <w:divBdr>
        <w:top w:val="none" w:sz="0" w:space="0" w:color="auto"/>
        <w:left w:val="none" w:sz="0" w:space="0" w:color="auto"/>
        <w:bottom w:val="none" w:sz="0" w:space="0" w:color="auto"/>
        <w:right w:val="none" w:sz="0" w:space="0" w:color="auto"/>
      </w:divBdr>
    </w:div>
    <w:div w:id="1164202584">
      <w:bodyDiv w:val="1"/>
      <w:marLeft w:val="0"/>
      <w:marRight w:val="0"/>
      <w:marTop w:val="0"/>
      <w:marBottom w:val="0"/>
      <w:divBdr>
        <w:top w:val="none" w:sz="0" w:space="0" w:color="auto"/>
        <w:left w:val="none" w:sz="0" w:space="0" w:color="auto"/>
        <w:bottom w:val="none" w:sz="0" w:space="0" w:color="auto"/>
        <w:right w:val="none" w:sz="0" w:space="0" w:color="auto"/>
      </w:divBdr>
    </w:div>
    <w:div w:id="1167481921">
      <w:bodyDiv w:val="1"/>
      <w:marLeft w:val="0"/>
      <w:marRight w:val="0"/>
      <w:marTop w:val="0"/>
      <w:marBottom w:val="0"/>
      <w:divBdr>
        <w:top w:val="none" w:sz="0" w:space="0" w:color="auto"/>
        <w:left w:val="none" w:sz="0" w:space="0" w:color="auto"/>
        <w:bottom w:val="none" w:sz="0" w:space="0" w:color="auto"/>
        <w:right w:val="none" w:sz="0" w:space="0" w:color="auto"/>
      </w:divBdr>
    </w:div>
    <w:div w:id="1172455449">
      <w:bodyDiv w:val="1"/>
      <w:marLeft w:val="0"/>
      <w:marRight w:val="0"/>
      <w:marTop w:val="0"/>
      <w:marBottom w:val="0"/>
      <w:divBdr>
        <w:top w:val="none" w:sz="0" w:space="0" w:color="auto"/>
        <w:left w:val="none" w:sz="0" w:space="0" w:color="auto"/>
        <w:bottom w:val="none" w:sz="0" w:space="0" w:color="auto"/>
        <w:right w:val="none" w:sz="0" w:space="0" w:color="auto"/>
      </w:divBdr>
    </w:div>
    <w:div w:id="1211456722">
      <w:bodyDiv w:val="1"/>
      <w:marLeft w:val="0"/>
      <w:marRight w:val="0"/>
      <w:marTop w:val="0"/>
      <w:marBottom w:val="0"/>
      <w:divBdr>
        <w:top w:val="none" w:sz="0" w:space="0" w:color="auto"/>
        <w:left w:val="none" w:sz="0" w:space="0" w:color="auto"/>
        <w:bottom w:val="none" w:sz="0" w:space="0" w:color="auto"/>
        <w:right w:val="none" w:sz="0" w:space="0" w:color="auto"/>
      </w:divBdr>
    </w:div>
    <w:div w:id="1218784697">
      <w:bodyDiv w:val="1"/>
      <w:marLeft w:val="0"/>
      <w:marRight w:val="0"/>
      <w:marTop w:val="0"/>
      <w:marBottom w:val="0"/>
      <w:divBdr>
        <w:top w:val="none" w:sz="0" w:space="0" w:color="auto"/>
        <w:left w:val="none" w:sz="0" w:space="0" w:color="auto"/>
        <w:bottom w:val="none" w:sz="0" w:space="0" w:color="auto"/>
        <w:right w:val="none" w:sz="0" w:space="0" w:color="auto"/>
      </w:divBdr>
    </w:div>
    <w:div w:id="1238444498">
      <w:bodyDiv w:val="1"/>
      <w:marLeft w:val="0"/>
      <w:marRight w:val="0"/>
      <w:marTop w:val="0"/>
      <w:marBottom w:val="0"/>
      <w:divBdr>
        <w:top w:val="none" w:sz="0" w:space="0" w:color="auto"/>
        <w:left w:val="none" w:sz="0" w:space="0" w:color="auto"/>
        <w:bottom w:val="none" w:sz="0" w:space="0" w:color="auto"/>
        <w:right w:val="none" w:sz="0" w:space="0" w:color="auto"/>
      </w:divBdr>
    </w:div>
    <w:div w:id="1311596864">
      <w:bodyDiv w:val="1"/>
      <w:marLeft w:val="0"/>
      <w:marRight w:val="0"/>
      <w:marTop w:val="0"/>
      <w:marBottom w:val="0"/>
      <w:divBdr>
        <w:top w:val="none" w:sz="0" w:space="0" w:color="auto"/>
        <w:left w:val="none" w:sz="0" w:space="0" w:color="auto"/>
        <w:bottom w:val="none" w:sz="0" w:space="0" w:color="auto"/>
        <w:right w:val="none" w:sz="0" w:space="0" w:color="auto"/>
      </w:divBdr>
    </w:div>
    <w:div w:id="1324352650">
      <w:bodyDiv w:val="1"/>
      <w:marLeft w:val="0"/>
      <w:marRight w:val="0"/>
      <w:marTop w:val="0"/>
      <w:marBottom w:val="0"/>
      <w:divBdr>
        <w:top w:val="none" w:sz="0" w:space="0" w:color="auto"/>
        <w:left w:val="none" w:sz="0" w:space="0" w:color="auto"/>
        <w:bottom w:val="none" w:sz="0" w:space="0" w:color="auto"/>
        <w:right w:val="none" w:sz="0" w:space="0" w:color="auto"/>
      </w:divBdr>
    </w:div>
    <w:div w:id="1365445079">
      <w:bodyDiv w:val="1"/>
      <w:marLeft w:val="0"/>
      <w:marRight w:val="0"/>
      <w:marTop w:val="0"/>
      <w:marBottom w:val="0"/>
      <w:divBdr>
        <w:top w:val="none" w:sz="0" w:space="0" w:color="auto"/>
        <w:left w:val="none" w:sz="0" w:space="0" w:color="auto"/>
        <w:bottom w:val="none" w:sz="0" w:space="0" w:color="auto"/>
        <w:right w:val="none" w:sz="0" w:space="0" w:color="auto"/>
      </w:divBdr>
    </w:div>
    <w:div w:id="1366902973">
      <w:bodyDiv w:val="1"/>
      <w:marLeft w:val="0"/>
      <w:marRight w:val="0"/>
      <w:marTop w:val="0"/>
      <w:marBottom w:val="0"/>
      <w:divBdr>
        <w:top w:val="none" w:sz="0" w:space="0" w:color="auto"/>
        <w:left w:val="none" w:sz="0" w:space="0" w:color="auto"/>
        <w:bottom w:val="none" w:sz="0" w:space="0" w:color="auto"/>
        <w:right w:val="none" w:sz="0" w:space="0" w:color="auto"/>
      </w:divBdr>
    </w:div>
    <w:div w:id="1369448939">
      <w:bodyDiv w:val="1"/>
      <w:marLeft w:val="0"/>
      <w:marRight w:val="0"/>
      <w:marTop w:val="0"/>
      <w:marBottom w:val="0"/>
      <w:divBdr>
        <w:top w:val="none" w:sz="0" w:space="0" w:color="auto"/>
        <w:left w:val="none" w:sz="0" w:space="0" w:color="auto"/>
        <w:bottom w:val="none" w:sz="0" w:space="0" w:color="auto"/>
        <w:right w:val="none" w:sz="0" w:space="0" w:color="auto"/>
      </w:divBdr>
    </w:div>
    <w:div w:id="1395002919">
      <w:bodyDiv w:val="1"/>
      <w:marLeft w:val="0"/>
      <w:marRight w:val="0"/>
      <w:marTop w:val="0"/>
      <w:marBottom w:val="0"/>
      <w:divBdr>
        <w:top w:val="none" w:sz="0" w:space="0" w:color="auto"/>
        <w:left w:val="none" w:sz="0" w:space="0" w:color="auto"/>
        <w:bottom w:val="none" w:sz="0" w:space="0" w:color="auto"/>
        <w:right w:val="none" w:sz="0" w:space="0" w:color="auto"/>
      </w:divBdr>
    </w:div>
    <w:div w:id="1398825286">
      <w:bodyDiv w:val="1"/>
      <w:marLeft w:val="0"/>
      <w:marRight w:val="0"/>
      <w:marTop w:val="0"/>
      <w:marBottom w:val="0"/>
      <w:divBdr>
        <w:top w:val="none" w:sz="0" w:space="0" w:color="auto"/>
        <w:left w:val="none" w:sz="0" w:space="0" w:color="auto"/>
        <w:bottom w:val="none" w:sz="0" w:space="0" w:color="auto"/>
        <w:right w:val="none" w:sz="0" w:space="0" w:color="auto"/>
      </w:divBdr>
    </w:div>
    <w:div w:id="1401487520">
      <w:bodyDiv w:val="1"/>
      <w:marLeft w:val="0"/>
      <w:marRight w:val="0"/>
      <w:marTop w:val="0"/>
      <w:marBottom w:val="0"/>
      <w:divBdr>
        <w:top w:val="none" w:sz="0" w:space="0" w:color="auto"/>
        <w:left w:val="none" w:sz="0" w:space="0" w:color="auto"/>
        <w:bottom w:val="none" w:sz="0" w:space="0" w:color="auto"/>
        <w:right w:val="none" w:sz="0" w:space="0" w:color="auto"/>
      </w:divBdr>
    </w:div>
    <w:div w:id="1411735613">
      <w:bodyDiv w:val="1"/>
      <w:marLeft w:val="0"/>
      <w:marRight w:val="0"/>
      <w:marTop w:val="0"/>
      <w:marBottom w:val="0"/>
      <w:divBdr>
        <w:top w:val="none" w:sz="0" w:space="0" w:color="auto"/>
        <w:left w:val="none" w:sz="0" w:space="0" w:color="auto"/>
        <w:bottom w:val="none" w:sz="0" w:space="0" w:color="auto"/>
        <w:right w:val="none" w:sz="0" w:space="0" w:color="auto"/>
      </w:divBdr>
    </w:div>
    <w:div w:id="1437945528">
      <w:bodyDiv w:val="1"/>
      <w:marLeft w:val="0"/>
      <w:marRight w:val="0"/>
      <w:marTop w:val="0"/>
      <w:marBottom w:val="0"/>
      <w:divBdr>
        <w:top w:val="none" w:sz="0" w:space="0" w:color="auto"/>
        <w:left w:val="none" w:sz="0" w:space="0" w:color="auto"/>
        <w:bottom w:val="none" w:sz="0" w:space="0" w:color="auto"/>
        <w:right w:val="none" w:sz="0" w:space="0" w:color="auto"/>
      </w:divBdr>
    </w:div>
    <w:div w:id="1445995641">
      <w:bodyDiv w:val="1"/>
      <w:marLeft w:val="0"/>
      <w:marRight w:val="0"/>
      <w:marTop w:val="0"/>
      <w:marBottom w:val="0"/>
      <w:divBdr>
        <w:top w:val="none" w:sz="0" w:space="0" w:color="auto"/>
        <w:left w:val="none" w:sz="0" w:space="0" w:color="auto"/>
        <w:bottom w:val="none" w:sz="0" w:space="0" w:color="auto"/>
        <w:right w:val="none" w:sz="0" w:space="0" w:color="auto"/>
      </w:divBdr>
    </w:div>
    <w:div w:id="1507987046">
      <w:bodyDiv w:val="1"/>
      <w:marLeft w:val="0"/>
      <w:marRight w:val="0"/>
      <w:marTop w:val="0"/>
      <w:marBottom w:val="0"/>
      <w:divBdr>
        <w:top w:val="none" w:sz="0" w:space="0" w:color="auto"/>
        <w:left w:val="none" w:sz="0" w:space="0" w:color="auto"/>
        <w:bottom w:val="none" w:sz="0" w:space="0" w:color="auto"/>
        <w:right w:val="none" w:sz="0" w:space="0" w:color="auto"/>
      </w:divBdr>
    </w:div>
    <w:div w:id="1528369809">
      <w:bodyDiv w:val="1"/>
      <w:marLeft w:val="0"/>
      <w:marRight w:val="0"/>
      <w:marTop w:val="0"/>
      <w:marBottom w:val="0"/>
      <w:divBdr>
        <w:top w:val="none" w:sz="0" w:space="0" w:color="auto"/>
        <w:left w:val="none" w:sz="0" w:space="0" w:color="auto"/>
        <w:bottom w:val="none" w:sz="0" w:space="0" w:color="auto"/>
        <w:right w:val="none" w:sz="0" w:space="0" w:color="auto"/>
      </w:divBdr>
    </w:div>
    <w:div w:id="1540971035">
      <w:bodyDiv w:val="1"/>
      <w:marLeft w:val="0"/>
      <w:marRight w:val="0"/>
      <w:marTop w:val="0"/>
      <w:marBottom w:val="0"/>
      <w:divBdr>
        <w:top w:val="none" w:sz="0" w:space="0" w:color="auto"/>
        <w:left w:val="none" w:sz="0" w:space="0" w:color="auto"/>
        <w:bottom w:val="none" w:sz="0" w:space="0" w:color="auto"/>
        <w:right w:val="none" w:sz="0" w:space="0" w:color="auto"/>
      </w:divBdr>
    </w:div>
    <w:div w:id="1553616515">
      <w:bodyDiv w:val="1"/>
      <w:marLeft w:val="0"/>
      <w:marRight w:val="0"/>
      <w:marTop w:val="0"/>
      <w:marBottom w:val="0"/>
      <w:divBdr>
        <w:top w:val="none" w:sz="0" w:space="0" w:color="auto"/>
        <w:left w:val="none" w:sz="0" w:space="0" w:color="auto"/>
        <w:bottom w:val="none" w:sz="0" w:space="0" w:color="auto"/>
        <w:right w:val="none" w:sz="0" w:space="0" w:color="auto"/>
      </w:divBdr>
    </w:div>
    <w:div w:id="1573736849">
      <w:bodyDiv w:val="1"/>
      <w:marLeft w:val="0"/>
      <w:marRight w:val="0"/>
      <w:marTop w:val="0"/>
      <w:marBottom w:val="0"/>
      <w:divBdr>
        <w:top w:val="none" w:sz="0" w:space="0" w:color="auto"/>
        <w:left w:val="none" w:sz="0" w:space="0" w:color="auto"/>
        <w:bottom w:val="none" w:sz="0" w:space="0" w:color="auto"/>
        <w:right w:val="none" w:sz="0" w:space="0" w:color="auto"/>
      </w:divBdr>
    </w:div>
    <w:div w:id="1637493115">
      <w:bodyDiv w:val="1"/>
      <w:marLeft w:val="0"/>
      <w:marRight w:val="0"/>
      <w:marTop w:val="0"/>
      <w:marBottom w:val="0"/>
      <w:divBdr>
        <w:top w:val="none" w:sz="0" w:space="0" w:color="auto"/>
        <w:left w:val="none" w:sz="0" w:space="0" w:color="auto"/>
        <w:bottom w:val="none" w:sz="0" w:space="0" w:color="auto"/>
        <w:right w:val="none" w:sz="0" w:space="0" w:color="auto"/>
      </w:divBdr>
    </w:div>
    <w:div w:id="1656029628">
      <w:bodyDiv w:val="1"/>
      <w:marLeft w:val="0"/>
      <w:marRight w:val="0"/>
      <w:marTop w:val="0"/>
      <w:marBottom w:val="0"/>
      <w:divBdr>
        <w:top w:val="none" w:sz="0" w:space="0" w:color="auto"/>
        <w:left w:val="none" w:sz="0" w:space="0" w:color="auto"/>
        <w:bottom w:val="none" w:sz="0" w:space="0" w:color="auto"/>
        <w:right w:val="none" w:sz="0" w:space="0" w:color="auto"/>
      </w:divBdr>
    </w:div>
    <w:div w:id="1662585331">
      <w:bodyDiv w:val="1"/>
      <w:marLeft w:val="0"/>
      <w:marRight w:val="0"/>
      <w:marTop w:val="0"/>
      <w:marBottom w:val="0"/>
      <w:divBdr>
        <w:top w:val="none" w:sz="0" w:space="0" w:color="auto"/>
        <w:left w:val="none" w:sz="0" w:space="0" w:color="auto"/>
        <w:bottom w:val="none" w:sz="0" w:space="0" w:color="auto"/>
        <w:right w:val="none" w:sz="0" w:space="0" w:color="auto"/>
      </w:divBdr>
    </w:div>
    <w:div w:id="1663847752">
      <w:bodyDiv w:val="1"/>
      <w:marLeft w:val="0"/>
      <w:marRight w:val="0"/>
      <w:marTop w:val="0"/>
      <w:marBottom w:val="0"/>
      <w:divBdr>
        <w:top w:val="none" w:sz="0" w:space="0" w:color="auto"/>
        <w:left w:val="none" w:sz="0" w:space="0" w:color="auto"/>
        <w:bottom w:val="none" w:sz="0" w:space="0" w:color="auto"/>
        <w:right w:val="none" w:sz="0" w:space="0" w:color="auto"/>
      </w:divBdr>
    </w:div>
    <w:div w:id="1676495202">
      <w:bodyDiv w:val="1"/>
      <w:marLeft w:val="0"/>
      <w:marRight w:val="0"/>
      <w:marTop w:val="0"/>
      <w:marBottom w:val="0"/>
      <w:divBdr>
        <w:top w:val="none" w:sz="0" w:space="0" w:color="auto"/>
        <w:left w:val="none" w:sz="0" w:space="0" w:color="auto"/>
        <w:bottom w:val="none" w:sz="0" w:space="0" w:color="auto"/>
        <w:right w:val="none" w:sz="0" w:space="0" w:color="auto"/>
      </w:divBdr>
    </w:div>
    <w:div w:id="1682007654">
      <w:bodyDiv w:val="1"/>
      <w:marLeft w:val="0"/>
      <w:marRight w:val="0"/>
      <w:marTop w:val="0"/>
      <w:marBottom w:val="0"/>
      <w:divBdr>
        <w:top w:val="none" w:sz="0" w:space="0" w:color="auto"/>
        <w:left w:val="none" w:sz="0" w:space="0" w:color="auto"/>
        <w:bottom w:val="none" w:sz="0" w:space="0" w:color="auto"/>
        <w:right w:val="none" w:sz="0" w:space="0" w:color="auto"/>
      </w:divBdr>
    </w:div>
    <w:div w:id="1727146442">
      <w:bodyDiv w:val="1"/>
      <w:marLeft w:val="0"/>
      <w:marRight w:val="0"/>
      <w:marTop w:val="0"/>
      <w:marBottom w:val="0"/>
      <w:divBdr>
        <w:top w:val="none" w:sz="0" w:space="0" w:color="auto"/>
        <w:left w:val="none" w:sz="0" w:space="0" w:color="auto"/>
        <w:bottom w:val="none" w:sz="0" w:space="0" w:color="auto"/>
        <w:right w:val="none" w:sz="0" w:space="0" w:color="auto"/>
      </w:divBdr>
    </w:div>
    <w:div w:id="1729382952">
      <w:bodyDiv w:val="1"/>
      <w:marLeft w:val="0"/>
      <w:marRight w:val="0"/>
      <w:marTop w:val="0"/>
      <w:marBottom w:val="0"/>
      <w:divBdr>
        <w:top w:val="none" w:sz="0" w:space="0" w:color="auto"/>
        <w:left w:val="none" w:sz="0" w:space="0" w:color="auto"/>
        <w:bottom w:val="none" w:sz="0" w:space="0" w:color="auto"/>
        <w:right w:val="none" w:sz="0" w:space="0" w:color="auto"/>
      </w:divBdr>
    </w:div>
    <w:div w:id="1737891789">
      <w:bodyDiv w:val="1"/>
      <w:marLeft w:val="0"/>
      <w:marRight w:val="0"/>
      <w:marTop w:val="0"/>
      <w:marBottom w:val="0"/>
      <w:divBdr>
        <w:top w:val="none" w:sz="0" w:space="0" w:color="auto"/>
        <w:left w:val="none" w:sz="0" w:space="0" w:color="auto"/>
        <w:bottom w:val="none" w:sz="0" w:space="0" w:color="auto"/>
        <w:right w:val="none" w:sz="0" w:space="0" w:color="auto"/>
      </w:divBdr>
    </w:div>
    <w:div w:id="1764718071">
      <w:bodyDiv w:val="1"/>
      <w:marLeft w:val="0"/>
      <w:marRight w:val="0"/>
      <w:marTop w:val="0"/>
      <w:marBottom w:val="0"/>
      <w:divBdr>
        <w:top w:val="none" w:sz="0" w:space="0" w:color="auto"/>
        <w:left w:val="none" w:sz="0" w:space="0" w:color="auto"/>
        <w:bottom w:val="none" w:sz="0" w:space="0" w:color="auto"/>
        <w:right w:val="none" w:sz="0" w:space="0" w:color="auto"/>
      </w:divBdr>
    </w:div>
    <w:div w:id="1788810229">
      <w:bodyDiv w:val="1"/>
      <w:marLeft w:val="0"/>
      <w:marRight w:val="0"/>
      <w:marTop w:val="0"/>
      <w:marBottom w:val="0"/>
      <w:divBdr>
        <w:top w:val="none" w:sz="0" w:space="0" w:color="auto"/>
        <w:left w:val="none" w:sz="0" w:space="0" w:color="auto"/>
        <w:bottom w:val="none" w:sz="0" w:space="0" w:color="auto"/>
        <w:right w:val="none" w:sz="0" w:space="0" w:color="auto"/>
      </w:divBdr>
    </w:div>
    <w:div w:id="1790464454">
      <w:bodyDiv w:val="1"/>
      <w:marLeft w:val="0"/>
      <w:marRight w:val="0"/>
      <w:marTop w:val="0"/>
      <w:marBottom w:val="0"/>
      <w:divBdr>
        <w:top w:val="none" w:sz="0" w:space="0" w:color="auto"/>
        <w:left w:val="none" w:sz="0" w:space="0" w:color="auto"/>
        <w:bottom w:val="none" w:sz="0" w:space="0" w:color="auto"/>
        <w:right w:val="none" w:sz="0" w:space="0" w:color="auto"/>
      </w:divBdr>
    </w:div>
    <w:div w:id="1830976769">
      <w:bodyDiv w:val="1"/>
      <w:marLeft w:val="0"/>
      <w:marRight w:val="0"/>
      <w:marTop w:val="0"/>
      <w:marBottom w:val="0"/>
      <w:divBdr>
        <w:top w:val="none" w:sz="0" w:space="0" w:color="auto"/>
        <w:left w:val="none" w:sz="0" w:space="0" w:color="auto"/>
        <w:bottom w:val="none" w:sz="0" w:space="0" w:color="auto"/>
        <w:right w:val="none" w:sz="0" w:space="0" w:color="auto"/>
      </w:divBdr>
    </w:div>
    <w:div w:id="1846702715">
      <w:bodyDiv w:val="1"/>
      <w:marLeft w:val="0"/>
      <w:marRight w:val="0"/>
      <w:marTop w:val="0"/>
      <w:marBottom w:val="0"/>
      <w:divBdr>
        <w:top w:val="none" w:sz="0" w:space="0" w:color="auto"/>
        <w:left w:val="none" w:sz="0" w:space="0" w:color="auto"/>
        <w:bottom w:val="none" w:sz="0" w:space="0" w:color="auto"/>
        <w:right w:val="none" w:sz="0" w:space="0" w:color="auto"/>
      </w:divBdr>
    </w:div>
    <w:div w:id="1867326027">
      <w:bodyDiv w:val="1"/>
      <w:marLeft w:val="0"/>
      <w:marRight w:val="0"/>
      <w:marTop w:val="0"/>
      <w:marBottom w:val="0"/>
      <w:divBdr>
        <w:top w:val="none" w:sz="0" w:space="0" w:color="auto"/>
        <w:left w:val="none" w:sz="0" w:space="0" w:color="auto"/>
        <w:bottom w:val="none" w:sz="0" w:space="0" w:color="auto"/>
        <w:right w:val="none" w:sz="0" w:space="0" w:color="auto"/>
      </w:divBdr>
    </w:div>
    <w:div w:id="1880623154">
      <w:bodyDiv w:val="1"/>
      <w:marLeft w:val="0"/>
      <w:marRight w:val="0"/>
      <w:marTop w:val="0"/>
      <w:marBottom w:val="0"/>
      <w:divBdr>
        <w:top w:val="none" w:sz="0" w:space="0" w:color="auto"/>
        <w:left w:val="none" w:sz="0" w:space="0" w:color="auto"/>
        <w:bottom w:val="none" w:sz="0" w:space="0" w:color="auto"/>
        <w:right w:val="none" w:sz="0" w:space="0" w:color="auto"/>
      </w:divBdr>
    </w:div>
    <w:div w:id="1938100528">
      <w:bodyDiv w:val="1"/>
      <w:marLeft w:val="0"/>
      <w:marRight w:val="0"/>
      <w:marTop w:val="0"/>
      <w:marBottom w:val="0"/>
      <w:divBdr>
        <w:top w:val="none" w:sz="0" w:space="0" w:color="auto"/>
        <w:left w:val="none" w:sz="0" w:space="0" w:color="auto"/>
        <w:bottom w:val="none" w:sz="0" w:space="0" w:color="auto"/>
        <w:right w:val="none" w:sz="0" w:space="0" w:color="auto"/>
      </w:divBdr>
    </w:div>
    <w:div w:id="1948348830">
      <w:bodyDiv w:val="1"/>
      <w:marLeft w:val="0"/>
      <w:marRight w:val="0"/>
      <w:marTop w:val="0"/>
      <w:marBottom w:val="0"/>
      <w:divBdr>
        <w:top w:val="none" w:sz="0" w:space="0" w:color="auto"/>
        <w:left w:val="none" w:sz="0" w:space="0" w:color="auto"/>
        <w:bottom w:val="none" w:sz="0" w:space="0" w:color="auto"/>
        <w:right w:val="none" w:sz="0" w:space="0" w:color="auto"/>
      </w:divBdr>
    </w:div>
    <w:div w:id="1962807032">
      <w:bodyDiv w:val="1"/>
      <w:marLeft w:val="0"/>
      <w:marRight w:val="0"/>
      <w:marTop w:val="0"/>
      <w:marBottom w:val="0"/>
      <w:divBdr>
        <w:top w:val="none" w:sz="0" w:space="0" w:color="auto"/>
        <w:left w:val="none" w:sz="0" w:space="0" w:color="auto"/>
        <w:bottom w:val="none" w:sz="0" w:space="0" w:color="auto"/>
        <w:right w:val="none" w:sz="0" w:space="0" w:color="auto"/>
      </w:divBdr>
    </w:div>
    <w:div w:id="1997103619">
      <w:bodyDiv w:val="1"/>
      <w:marLeft w:val="0"/>
      <w:marRight w:val="0"/>
      <w:marTop w:val="0"/>
      <w:marBottom w:val="0"/>
      <w:divBdr>
        <w:top w:val="none" w:sz="0" w:space="0" w:color="auto"/>
        <w:left w:val="none" w:sz="0" w:space="0" w:color="auto"/>
        <w:bottom w:val="none" w:sz="0" w:space="0" w:color="auto"/>
        <w:right w:val="none" w:sz="0" w:space="0" w:color="auto"/>
      </w:divBdr>
    </w:div>
    <w:div w:id="2030594790">
      <w:bodyDiv w:val="1"/>
      <w:marLeft w:val="0"/>
      <w:marRight w:val="0"/>
      <w:marTop w:val="0"/>
      <w:marBottom w:val="0"/>
      <w:divBdr>
        <w:top w:val="none" w:sz="0" w:space="0" w:color="auto"/>
        <w:left w:val="none" w:sz="0" w:space="0" w:color="auto"/>
        <w:bottom w:val="none" w:sz="0" w:space="0" w:color="auto"/>
        <w:right w:val="none" w:sz="0" w:space="0" w:color="auto"/>
      </w:divBdr>
    </w:div>
    <w:div w:id="2041783417">
      <w:bodyDiv w:val="1"/>
      <w:marLeft w:val="0"/>
      <w:marRight w:val="0"/>
      <w:marTop w:val="0"/>
      <w:marBottom w:val="0"/>
      <w:divBdr>
        <w:top w:val="none" w:sz="0" w:space="0" w:color="auto"/>
        <w:left w:val="none" w:sz="0" w:space="0" w:color="auto"/>
        <w:bottom w:val="none" w:sz="0" w:space="0" w:color="auto"/>
        <w:right w:val="none" w:sz="0" w:space="0" w:color="auto"/>
      </w:divBdr>
    </w:div>
    <w:div w:id="2071150008">
      <w:bodyDiv w:val="1"/>
      <w:marLeft w:val="0"/>
      <w:marRight w:val="0"/>
      <w:marTop w:val="0"/>
      <w:marBottom w:val="0"/>
      <w:divBdr>
        <w:top w:val="none" w:sz="0" w:space="0" w:color="auto"/>
        <w:left w:val="none" w:sz="0" w:space="0" w:color="auto"/>
        <w:bottom w:val="none" w:sz="0" w:space="0" w:color="auto"/>
        <w:right w:val="none" w:sz="0" w:space="0" w:color="auto"/>
      </w:divBdr>
    </w:div>
    <w:div w:id="2080714959">
      <w:bodyDiv w:val="1"/>
      <w:marLeft w:val="0"/>
      <w:marRight w:val="0"/>
      <w:marTop w:val="0"/>
      <w:marBottom w:val="0"/>
      <w:divBdr>
        <w:top w:val="none" w:sz="0" w:space="0" w:color="auto"/>
        <w:left w:val="none" w:sz="0" w:space="0" w:color="auto"/>
        <w:bottom w:val="none" w:sz="0" w:space="0" w:color="auto"/>
        <w:right w:val="none" w:sz="0" w:space="0" w:color="auto"/>
      </w:divBdr>
    </w:div>
    <w:div w:id="2116169053">
      <w:bodyDiv w:val="1"/>
      <w:marLeft w:val="0"/>
      <w:marRight w:val="0"/>
      <w:marTop w:val="0"/>
      <w:marBottom w:val="0"/>
      <w:divBdr>
        <w:top w:val="none" w:sz="0" w:space="0" w:color="auto"/>
        <w:left w:val="none" w:sz="0" w:space="0" w:color="auto"/>
        <w:bottom w:val="none" w:sz="0" w:space="0" w:color="auto"/>
        <w:right w:val="none" w:sz="0" w:space="0" w:color="auto"/>
      </w:divBdr>
    </w:div>
    <w:div w:id="2116513176">
      <w:bodyDiv w:val="1"/>
      <w:marLeft w:val="0"/>
      <w:marRight w:val="0"/>
      <w:marTop w:val="0"/>
      <w:marBottom w:val="0"/>
      <w:divBdr>
        <w:top w:val="none" w:sz="0" w:space="0" w:color="auto"/>
        <w:left w:val="none" w:sz="0" w:space="0" w:color="auto"/>
        <w:bottom w:val="none" w:sz="0" w:space="0" w:color="auto"/>
        <w:right w:val="none" w:sz="0" w:space="0" w:color="auto"/>
      </w:divBdr>
    </w:div>
    <w:div w:id="2135783810">
      <w:bodyDiv w:val="1"/>
      <w:marLeft w:val="0"/>
      <w:marRight w:val="0"/>
      <w:marTop w:val="0"/>
      <w:marBottom w:val="0"/>
      <w:divBdr>
        <w:top w:val="none" w:sz="0" w:space="0" w:color="auto"/>
        <w:left w:val="none" w:sz="0" w:space="0" w:color="auto"/>
        <w:bottom w:val="none" w:sz="0" w:space="0" w:color="auto"/>
        <w:right w:val="none" w:sz="0" w:space="0" w:color="auto"/>
      </w:divBdr>
    </w:div>
    <w:div w:id="2140101814">
      <w:bodyDiv w:val="1"/>
      <w:marLeft w:val="0"/>
      <w:marRight w:val="0"/>
      <w:marTop w:val="0"/>
      <w:marBottom w:val="0"/>
      <w:divBdr>
        <w:top w:val="none" w:sz="0" w:space="0" w:color="auto"/>
        <w:left w:val="none" w:sz="0" w:space="0" w:color="auto"/>
        <w:bottom w:val="none" w:sz="0" w:space="0" w:color="auto"/>
        <w:right w:val="none" w:sz="0" w:space="0" w:color="auto"/>
      </w:divBdr>
    </w:div>
    <w:div w:id="2144343694">
      <w:bodyDiv w:val="1"/>
      <w:marLeft w:val="0"/>
      <w:marRight w:val="0"/>
      <w:marTop w:val="0"/>
      <w:marBottom w:val="0"/>
      <w:divBdr>
        <w:top w:val="none" w:sz="0" w:space="0" w:color="auto"/>
        <w:left w:val="none" w:sz="0" w:space="0" w:color="auto"/>
        <w:bottom w:val="none" w:sz="0" w:space="0" w:color="auto"/>
        <w:right w:val="none" w:sz="0" w:space="0" w:color="auto"/>
      </w:divBdr>
    </w:div>
    <w:div w:id="21473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3" Type="http://schemas.microsoft.com/office/2016/09/relationships/commentsIds" Target="commentsIds.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d4161281-19ac-4487-8e19-1947623352c0" origin="userSelected">
  <element uid="id_classification_nonbusiness" value=""/>
</sisl>
</file>

<file path=customXml/item2.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7871-C2D8-4262-BEEE-64A3A9C6191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96C38A7-6610-4603-ACB4-CBAC81010F36}"/>
</file>

<file path=customXml/itemProps3.xml><?xml version="1.0" encoding="utf-8"?>
<ds:datastoreItem xmlns:ds="http://schemas.openxmlformats.org/officeDocument/2006/customXml" ds:itemID="{8E171CDD-B4D9-4BB9-93D6-D990DF22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5652</Words>
  <Characters>32219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cp:lastModifiedBy>
  <cp:revision>7</cp:revision>
  <cp:lastPrinted>2021-04-21T12:55:00Z</cp:lastPrinted>
  <dcterms:created xsi:type="dcterms:W3CDTF">2021-04-29T14:22:00Z</dcterms:created>
  <dcterms:modified xsi:type="dcterms:W3CDTF">2021-04-29T15:02:00Z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07c19250-fbdb-49f0-b729-ff2e71b950a6</vt:lpwstr>
  </property>
  <property fmtid="{D5CDD505-2E9C-101B-9397-08002B2CF9AE}" pid="3" name="bjSaver">
    <vt:lpwstr>6/c4iXE9LSOZTBVnuvYVFztrAOppBpIM</vt:lpwstr>
  </property>
  <property fmtid="{D5CDD505-2E9C-101B-9397-08002B2CF9AE}" pid="4" name="bjDocumentLabelXML">
    <vt:lpwstr>&lt;?xml version="1.0" encoding="us-ascii"?&gt;&lt;sisl xmlns:xsi="http://www.w3.org/2001/XMLSchema-instance" xmlns:xsd="http://www.w3.org/2001/XMLSchema" sislVersion="0" policy="d4161281-19ac-4487-8e19-1947623352c0"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Unrestricted</vt:lpwstr>
  </property>
  <property fmtid="{D5CDD505-2E9C-101B-9397-08002B2CF9AE}" pid="7" name="BarclaysDC">
    <vt:lpwstr>Unrestricted</vt:lpwstr>
  </property>
  <property fmtid="{D5CDD505-2E9C-101B-9397-08002B2CF9AE}" pid="8" name="bjDocumentLabelFieldCode">
    <vt:lpwstr>Unrestricted</vt:lpwstr>
  </property>
</Properties>
</file>