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E1A" w:rsidRDefault="00F41670" w:rsidP="00F41670">
      <w:pPr>
        <w:jc w:val="center"/>
        <w:rPr>
          <w:rFonts w:asciiTheme="majorHAnsi" w:hAnsiTheme="majorHAnsi" w:cstheme="majorHAnsi"/>
          <w:b/>
          <w:sz w:val="28"/>
          <w:szCs w:val="28"/>
        </w:rPr>
      </w:pPr>
      <w:r w:rsidRPr="00327B3A">
        <w:rPr>
          <w:rFonts w:asciiTheme="majorHAnsi" w:hAnsiTheme="majorHAnsi" w:cstheme="majorHAnsi"/>
          <w:b/>
          <w:sz w:val="28"/>
          <w:szCs w:val="28"/>
        </w:rPr>
        <w:t xml:space="preserve">A CORPORATE UTOPIA? </w:t>
      </w:r>
    </w:p>
    <w:p w:rsidR="00691C81" w:rsidRPr="00327B3A" w:rsidRDefault="00C7652F" w:rsidP="00F41670">
      <w:pPr>
        <w:jc w:val="center"/>
        <w:rPr>
          <w:rFonts w:asciiTheme="majorHAnsi" w:hAnsiTheme="majorHAnsi" w:cstheme="majorHAnsi"/>
          <w:b/>
          <w:sz w:val="28"/>
          <w:szCs w:val="28"/>
        </w:rPr>
      </w:pPr>
      <w:r w:rsidRPr="00327B3A">
        <w:rPr>
          <w:rFonts w:asciiTheme="majorHAnsi" w:hAnsiTheme="majorHAnsi" w:cstheme="majorHAnsi"/>
          <w:b/>
          <w:sz w:val="28"/>
          <w:szCs w:val="28"/>
        </w:rPr>
        <w:t xml:space="preserve">A REVIEW OF THE MASTERCARD </w:t>
      </w:r>
      <w:r w:rsidR="00D37A67" w:rsidRPr="00327B3A">
        <w:rPr>
          <w:rFonts w:asciiTheme="majorHAnsi" w:hAnsiTheme="majorHAnsi" w:cstheme="majorHAnsi"/>
          <w:b/>
          <w:sz w:val="28"/>
          <w:szCs w:val="28"/>
        </w:rPr>
        <w:t>F</w:t>
      </w:r>
      <w:r w:rsidRPr="00327B3A">
        <w:rPr>
          <w:rFonts w:asciiTheme="majorHAnsi" w:hAnsiTheme="majorHAnsi" w:cstheme="majorHAnsi"/>
          <w:b/>
          <w:sz w:val="28"/>
          <w:szCs w:val="28"/>
        </w:rPr>
        <w:t>OUNDATION REPORT ON SECONDARY EDUCATION IN AFRICA</w:t>
      </w:r>
    </w:p>
    <w:p w:rsidR="00C7652F" w:rsidRPr="00327B3A" w:rsidRDefault="00C7652F" w:rsidP="00577F32">
      <w:pPr>
        <w:jc w:val="both"/>
        <w:rPr>
          <w:rFonts w:asciiTheme="majorHAnsi" w:hAnsiTheme="majorHAnsi" w:cstheme="majorHAnsi"/>
          <w:sz w:val="28"/>
          <w:szCs w:val="28"/>
        </w:rPr>
      </w:pPr>
    </w:p>
    <w:p w:rsidR="00C7652F" w:rsidRPr="00327B3A" w:rsidRDefault="00C7652F" w:rsidP="00F41670">
      <w:pPr>
        <w:jc w:val="center"/>
        <w:rPr>
          <w:rFonts w:asciiTheme="majorHAnsi" w:hAnsiTheme="majorHAnsi" w:cstheme="majorHAnsi"/>
          <w:b/>
          <w:sz w:val="28"/>
          <w:szCs w:val="28"/>
        </w:rPr>
      </w:pPr>
      <w:r w:rsidRPr="00327B3A">
        <w:rPr>
          <w:rFonts w:asciiTheme="majorHAnsi" w:hAnsiTheme="majorHAnsi" w:cstheme="majorHAnsi"/>
          <w:b/>
          <w:sz w:val="28"/>
          <w:szCs w:val="28"/>
        </w:rPr>
        <w:t>PAUL BENNELL</w:t>
      </w:r>
    </w:p>
    <w:p w:rsidR="00C7652F" w:rsidRPr="00327B3A" w:rsidRDefault="00C7652F" w:rsidP="00577F32">
      <w:pPr>
        <w:jc w:val="both"/>
        <w:rPr>
          <w:rFonts w:asciiTheme="majorHAnsi" w:hAnsiTheme="majorHAnsi" w:cstheme="majorHAnsi"/>
          <w:sz w:val="28"/>
          <w:szCs w:val="28"/>
        </w:rPr>
      </w:pPr>
    </w:p>
    <w:p w:rsidR="00F41670" w:rsidRPr="00327B3A" w:rsidRDefault="004B6254" w:rsidP="00D17284">
      <w:pPr>
        <w:pStyle w:val="ListParagraph"/>
        <w:numPr>
          <w:ilvl w:val="0"/>
          <w:numId w:val="1"/>
        </w:numPr>
        <w:jc w:val="both"/>
        <w:rPr>
          <w:rFonts w:asciiTheme="majorHAnsi" w:hAnsiTheme="majorHAnsi" w:cstheme="majorHAnsi"/>
          <w:b/>
          <w:sz w:val="28"/>
          <w:szCs w:val="28"/>
        </w:rPr>
      </w:pPr>
      <w:r w:rsidRPr="00327B3A">
        <w:rPr>
          <w:rFonts w:asciiTheme="majorHAnsi" w:hAnsiTheme="majorHAnsi" w:cstheme="majorHAnsi"/>
          <w:b/>
          <w:sz w:val="28"/>
          <w:szCs w:val="28"/>
        </w:rPr>
        <w:t>Introduction</w:t>
      </w:r>
    </w:p>
    <w:p w:rsidR="00E200DC" w:rsidRPr="00327B3A" w:rsidRDefault="00C7652F" w:rsidP="00577F32">
      <w:pPr>
        <w:jc w:val="both"/>
        <w:rPr>
          <w:rFonts w:asciiTheme="majorHAnsi" w:hAnsiTheme="majorHAnsi" w:cstheme="majorHAnsi"/>
          <w:sz w:val="28"/>
          <w:szCs w:val="28"/>
        </w:rPr>
      </w:pPr>
      <w:r w:rsidRPr="00327B3A">
        <w:rPr>
          <w:rFonts w:asciiTheme="majorHAnsi" w:hAnsiTheme="majorHAnsi" w:cstheme="majorHAnsi"/>
          <w:sz w:val="28"/>
          <w:szCs w:val="28"/>
        </w:rPr>
        <w:t xml:space="preserve">The </w:t>
      </w:r>
      <w:r w:rsidR="00BF1F5E" w:rsidRPr="00327B3A">
        <w:rPr>
          <w:rFonts w:asciiTheme="majorHAnsi" w:hAnsiTheme="majorHAnsi" w:cstheme="majorHAnsi"/>
          <w:sz w:val="28"/>
          <w:szCs w:val="28"/>
        </w:rPr>
        <w:t>MasterCard</w:t>
      </w:r>
      <w:r w:rsidRPr="00327B3A">
        <w:rPr>
          <w:rFonts w:asciiTheme="majorHAnsi" w:hAnsiTheme="majorHAnsi" w:cstheme="majorHAnsi"/>
          <w:sz w:val="28"/>
          <w:szCs w:val="28"/>
        </w:rPr>
        <w:t xml:space="preserve"> </w:t>
      </w:r>
      <w:r w:rsidR="00D37A67" w:rsidRPr="00327B3A">
        <w:rPr>
          <w:rFonts w:asciiTheme="majorHAnsi" w:hAnsiTheme="majorHAnsi" w:cstheme="majorHAnsi"/>
          <w:sz w:val="28"/>
          <w:szCs w:val="28"/>
        </w:rPr>
        <w:t xml:space="preserve">Foundation report </w:t>
      </w:r>
      <w:r w:rsidRPr="00327B3A">
        <w:rPr>
          <w:rFonts w:asciiTheme="majorHAnsi" w:hAnsiTheme="majorHAnsi" w:cstheme="majorHAnsi"/>
          <w:sz w:val="28"/>
          <w:szCs w:val="28"/>
        </w:rPr>
        <w:t>on secondary education</w:t>
      </w:r>
      <w:r w:rsidR="0065291B" w:rsidRPr="00327B3A">
        <w:rPr>
          <w:rFonts w:asciiTheme="majorHAnsi" w:hAnsiTheme="majorHAnsi" w:cstheme="majorHAnsi"/>
          <w:sz w:val="28"/>
          <w:szCs w:val="28"/>
        </w:rPr>
        <w:t xml:space="preserve"> in Africa</w:t>
      </w:r>
      <w:r w:rsidR="00044DD2" w:rsidRPr="00327B3A">
        <w:rPr>
          <w:rFonts w:asciiTheme="majorHAnsi" w:hAnsiTheme="majorHAnsi" w:cstheme="majorHAnsi"/>
          <w:sz w:val="28"/>
          <w:szCs w:val="28"/>
        </w:rPr>
        <w:t>, which was published in August</w:t>
      </w:r>
      <w:r w:rsidR="00D17284" w:rsidRPr="00327B3A">
        <w:rPr>
          <w:rFonts w:asciiTheme="majorHAnsi" w:hAnsiTheme="majorHAnsi" w:cstheme="majorHAnsi"/>
          <w:sz w:val="28"/>
          <w:szCs w:val="28"/>
        </w:rPr>
        <w:t xml:space="preserve"> 2020,</w:t>
      </w:r>
      <w:r w:rsidRPr="00327B3A">
        <w:rPr>
          <w:rFonts w:asciiTheme="majorHAnsi" w:hAnsiTheme="majorHAnsi" w:cstheme="majorHAnsi"/>
          <w:sz w:val="28"/>
          <w:szCs w:val="28"/>
        </w:rPr>
        <w:t xml:space="preserve"> is a major, high profile publication which lays out a</w:t>
      </w:r>
      <w:r w:rsidR="00D17284" w:rsidRPr="00327B3A">
        <w:rPr>
          <w:rFonts w:asciiTheme="majorHAnsi" w:hAnsiTheme="majorHAnsi" w:cstheme="majorHAnsi"/>
          <w:sz w:val="28"/>
          <w:szCs w:val="28"/>
        </w:rPr>
        <w:t xml:space="preserve">n ambitious </w:t>
      </w:r>
      <w:r w:rsidR="002D3D90" w:rsidRPr="00327B3A">
        <w:rPr>
          <w:rFonts w:asciiTheme="majorHAnsi" w:hAnsiTheme="majorHAnsi" w:cstheme="majorHAnsi"/>
          <w:sz w:val="28"/>
          <w:szCs w:val="28"/>
        </w:rPr>
        <w:t xml:space="preserve">strategy </w:t>
      </w:r>
      <w:r w:rsidRPr="00327B3A">
        <w:rPr>
          <w:rFonts w:asciiTheme="majorHAnsi" w:hAnsiTheme="majorHAnsi" w:cstheme="majorHAnsi"/>
          <w:sz w:val="28"/>
          <w:szCs w:val="28"/>
        </w:rPr>
        <w:t>for attaining universal secondary education in sub-Saharan Africa over the ne</w:t>
      </w:r>
      <w:r w:rsidR="00D17284" w:rsidRPr="00327B3A">
        <w:rPr>
          <w:rFonts w:asciiTheme="majorHAnsi" w:hAnsiTheme="majorHAnsi" w:cstheme="majorHAnsi"/>
          <w:sz w:val="28"/>
          <w:szCs w:val="28"/>
        </w:rPr>
        <w:t>x</w:t>
      </w:r>
      <w:r w:rsidRPr="00327B3A">
        <w:rPr>
          <w:rFonts w:asciiTheme="majorHAnsi" w:hAnsiTheme="majorHAnsi" w:cstheme="majorHAnsi"/>
          <w:sz w:val="28"/>
          <w:szCs w:val="28"/>
        </w:rPr>
        <w:t xml:space="preserve">t thirty years. </w:t>
      </w:r>
      <w:r w:rsidR="0065291B" w:rsidRPr="00327B3A">
        <w:rPr>
          <w:rFonts w:asciiTheme="majorHAnsi" w:hAnsiTheme="majorHAnsi" w:cstheme="majorHAnsi"/>
          <w:sz w:val="28"/>
          <w:szCs w:val="28"/>
        </w:rPr>
        <w:t xml:space="preserve">The scale of this corporately sponsored effort is unprecedented. </w:t>
      </w:r>
      <w:r w:rsidR="00044DD2" w:rsidRPr="00327B3A">
        <w:rPr>
          <w:rFonts w:asciiTheme="majorHAnsi" w:hAnsiTheme="majorHAnsi" w:cstheme="majorHAnsi"/>
          <w:sz w:val="28"/>
          <w:szCs w:val="28"/>
        </w:rPr>
        <w:t xml:space="preserve">An </w:t>
      </w:r>
      <w:r w:rsidR="0009699B" w:rsidRPr="00327B3A">
        <w:rPr>
          <w:rFonts w:asciiTheme="majorHAnsi" w:hAnsiTheme="majorHAnsi" w:cstheme="majorHAnsi"/>
          <w:sz w:val="28"/>
          <w:szCs w:val="28"/>
        </w:rPr>
        <w:t>‘</w:t>
      </w:r>
      <w:r w:rsidRPr="00327B3A">
        <w:rPr>
          <w:rFonts w:asciiTheme="majorHAnsi" w:hAnsiTheme="majorHAnsi" w:cstheme="majorHAnsi"/>
          <w:sz w:val="28"/>
          <w:szCs w:val="28"/>
        </w:rPr>
        <w:t xml:space="preserve">Education </w:t>
      </w:r>
      <w:r w:rsidR="00D17284" w:rsidRPr="00327B3A">
        <w:rPr>
          <w:rFonts w:asciiTheme="majorHAnsi" w:hAnsiTheme="majorHAnsi" w:cstheme="majorHAnsi"/>
          <w:sz w:val="28"/>
          <w:szCs w:val="28"/>
        </w:rPr>
        <w:t>C</w:t>
      </w:r>
      <w:r w:rsidRPr="00327B3A">
        <w:rPr>
          <w:rFonts w:asciiTheme="majorHAnsi" w:hAnsiTheme="majorHAnsi" w:cstheme="majorHAnsi"/>
          <w:sz w:val="28"/>
          <w:szCs w:val="28"/>
        </w:rPr>
        <w:t>ommission</w:t>
      </w:r>
      <w:r w:rsidR="0009699B" w:rsidRPr="00327B3A">
        <w:rPr>
          <w:rFonts w:asciiTheme="majorHAnsi" w:hAnsiTheme="majorHAnsi" w:cstheme="majorHAnsi"/>
          <w:sz w:val="28"/>
          <w:szCs w:val="28"/>
        </w:rPr>
        <w:t>’</w:t>
      </w:r>
      <w:r w:rsidRPr="00327B3A">
        <w:rPr>
          <w:rFonts w:asciiTheme="majorHAnsi" w:hAnsiTheme="majorHAnsi" w:cstheme="majorHAnsi"/>
          <w:sz w:val="28"/>
          <w:szCs w:val="28"/>
        </w:rPr>
        <w:t xml:space="preserve"> </w:t>
      </w:r>
      <w:r w:rsidR="00044DD2" w:rsidRPr="00327B3A">
        <w:rPr>
          <w:rFonts w:asciiTheme="majorHAnsi" w:hAnsiTheme="majorHAnsi" w:cstheme="majorHAnsi"/>
          <w:sz w:val="28"/>
          <w:szCs w:val="28"/>
        </w:rPr>
        <w:t>was established to manage the overall preparation of the Report</w:t>
      </w:r>
      <w:r w:rsidR="00327B3A">
        <w:rPr>
          <w:rFonts w:asciiTheme="majorHAnsi" w:hAnsiTheme="majorHAnsi" w:cstheme="majorHAnsi"/>
          <w:sz w:val="28"/>
          <w:szCs w:val="28"/>
        </w:rPr>
        <w:t xml:space="preserve">. It </w:t>
      </w:r>
      <w:r w:rsidR="00044DD2" w:rsidRPr="00327B3A">
        <w:rPr>
          <w:rFonts w:asciiTheme="majorHAnsi" w:hAnsiTheme="majorHAnsi" w:cstheme="majorHAnsi"/>
          <w:sz w:val="28"/>
          <w:szCs w:val="28"/>
        </w:rPr>
        <w:t xml:space="preserve">was written by </w:t>
      </w:r>
      <w:r w:rsidR="002D3D90" w:rsidRPr="00327B3A">
        <w:rPr>
          <w:rFonts w:asciiTheme="majorHAnsi" w:hAnsiTheme="majorHAnsi" w:cstheme="majorHAnsi"/>
          <w:sz w:val="28"/>
          <w:szCs w:val="28"/>
        </w:rPr>
        <w:t xml:space="preserve">a core group </w:t>
      </w:r>
      <w:r w:rsidR="00044DD2" w:rsidRPr="00327B3A">
        <w:rPr>
          <w:rFonts w:asciiTheme="majorHAnsi" w:hAnsiTheme="majorHAnsi" w:cstheme="majorHAnsi"/>
          <w:sz w:val="28"/>
          <w:szCs w:val="28"/>
        </w:rPr>
        <w:t xml:space="preserve">of researchers </w:t>
      </w:r>
      <w:r w:rsidRPr="00327B3A">
        <w:rPr>
          <w:rFonts w:asciiTheme="majorHAnsi" w:hAnsiTheme="majorHAnsi" w:cstheme="majorHAnsi"/>
          <w:sz w:val="28"/>
          <w:szCs w:val="28"/>
        </w:rPr>
        <w:t>from the Overseas Development Institute in London</w:t>
      </w:r>
      <w:r w:rsidR="00044DD2" w:rsidRPr="00327B3A">
        <w:rPr>
          <w:rFonts w:asciiTheme="majorHAnsi" w:hAnsiTheme="majorHAnsi" w:cstheme="majorHAnsi"/>
          <w:sz w:val="28"/>
          <w:szCs w:val="28"/>
        </w:rPr>
        <w:t xml:space="preserve"> who were able to draw on </w:t>
      </w:r>
      <w:r w:rsidR="00E200DC" w:rsidRPr="00327B3A">
        <w:rPr>
          <w:rFonts w:asciiTheme="majorHAnsi" w:hAnsiTheme="majorHAnsi" w:cstheme="majorHAnsi"/>
          <w:sz w:val="28"/>
          <w:szCs w:val="28"/>
        </w:rPr>
        <w:t xml:space="preserve">22 </w:t>
      </w:r>
      <w:r w:rsidR="00044DD2" w:rsidRPr="00327B3A">
        <w:rPr>
          <w:rFonts w:asciiTheme="majorHAnsi" w:hAnsiTheme="majorHAnsi" w:cstheme="majorHAnsi"/>
          <w:sz w:val="28"/>
          <w:szCs w:val="28"/>
        </w:rPr>
        <w:t xml:space="preserve">specially commissioned </w:t>
      </w:r>
      <w:r w:rsidR="00E200DC" w:rsidRPr="00327B3A">
        <w:rPr>
          <w:rFonts w:asciiTheme="majorHAnsi" w:hAnsiTheme="majorHAnsi" w:cstheme="majorHAnsi"/>
          <w:sz w:val="28"/>
          <w:szCs w:val="28"/>
        </w:rPr>
        <w:t>background papers</w:t>
      </w:r>
      <w:r w:rsidR="0065291B" w:rsidRPr="00327B3A">
        <w:rPr>
          <w:rFonts w:asciiTheme="majorHAnsi" w:hAnsiTheme="majorHAnsi" w:cstheme="majorHAnsi"/>
          <w:sz w:val="28"/>
          <w:szCs w:val="28"/>
        </w:rPr>
        <w:t xml:space="preserve"> </w:t>
      </w:r>
      <w:r w:rsidR="00044DD2" w:rsidRPr="00327B3A">
        <w:rPr>
          <w:rFonts w:asciiTheme="majorHAnsi" w:hAnsiTheme="majorHAnsi" w:cstheme="majorHAnsi"/>
          <w:sz w:val="28"/>
          <w:szCs w:val="28"/>
        </w:rPr>
        <w:t>covering a wide range of relevant topics. A</w:t>
      </w:r>
      <w:r w:rsidR="0065291B" w:rsidRPr="00327B3A">
        <w:rPr>
          <w:rFonts w:asciiTheme="majorHAnsi" w:hAnsiTheme="majorHAnsi" w:cstheme="majorHAnsi"/>
          <w:sz w:val="28"/>
          <w:szCs w:val="28"/>
        </w:rPr>
        <w:t xml:space="preserve"> series of consultations were </w:t>
      </w:r>
      <w:r w:rsidR="00044DD2" w:rsidRPr="00327B3A">
        <w:rPr>
          <w:rFonts w:asciiTheme="majorHAnsi" w:hAnsiTheme="majorHAnsi" w:cstheme="majorHAnsi"/>
          <w:sz w:val="28"/>
          <w:szCs w:val="28"/>
        </w:rPr>
        <w:t xml:space="preserve">also </w:t>
      </w:r>
      <w:r w:rsidR="0065291B" w:rsidRPr="00327B3A">
        <w:rPr>
          <w:rFonts w:asciiTheme="majorHAnsi" w:hAnsiTheme="majorHAnsi" w:cstheme="majorHAnsi"/>
          <w:sz w:val="28"/>
          <w:szCs w:val="28"/>
        </w:rPr>
        <w:t>held with various stakeholders across SSA</w:t>
      </w:r>
      <w:r w:rsidR="00D37A67" w:rsidRPr="00327B3A">
        <w:rPr>
          <w:rStyle w:val="FootnoteReference"/>
          <w:rFonts w:asciiTheme="majorHAnsi" w:hAnsiTheme="majorHAnsi" w:cstheme="majorHAnsi"/>
          <w:sz w:val="28"/>
          <w:szCs w:val="28"/>
        </w:rPr>
        <w:footnoteReference w:id="1"/>
      </w:r>
      <w:r w:rsidR="00F41670" w:rsidRPr="00327B3A">
        <w:rPr>
          <w:rFonts w:asciiTheme="majorHAnsi" w:hAnsiTheme="majorHAnsi" w:cstheme="majorHAnsi"/>
          <w:sz w:val="28"/>
          <w:szCs w:val="28"/>
        </w:rPr>
        <w:t xml:space="preserve">. </w:t>
      </w:r>
    </w:p>
    <w:p w:rsidR="004B6254" w:rsidRPr="00327B3A" w:rsidRDefault="00920D5D" w:rsidP="00577F32">
      <w:pPr>
        <w:jc w:val="both"/>
        <w:rPr>
          <w:rFonts w:asciiTheme="majorHAnsi" w:hAnsiTheme="majorHAnsi" w:cstheme="majorHAnsi"/>
          <w:i/>
          <w:sz w:val="28"/>
          <w:szCs w:val="28"/>
        </w:rPr>
      </w:pPr>
      <w:r w:rsidRPr="00327B3A">
        <w:rPr>
          <w:rFonts w:asciiTheme="majorHAnsi" w:hAnsiTheme="majorHAnsi" w:cstheme="majorHAnsi"/>
          <w:i/>
          <w:sz w:val="28"/>
          <w:szCs w:val="28"/>
        </w:rPr>
        <w:t>‘Preparing youth for the future of work’</w:t>
      </w:r>
    </w:p>
    <w:p w:rsidR="00F41670" w:rsidRPr="00327B3A" w:rsidRDefault="00F41670" w:rsidP="00577F32">
      <w:pPr>
        <w:jc w:val="both"/>
        <w:rPr>
          <w:rFonts w:asciiTheme="majorHAnsi" w:hAnsiTheme="majorHAnsi" w:cstheme="majorHAnsi"/>
          <w:sz w:val="28"/>
          <w:szCs w:val="28"/>
        </w:rPr>
      </w:pPr>
      <w:r w:rsidRPr="00327B3A">
        <w:rPr>
          <w:rFonts w:asciiTheme="majorHAnsi" w:hAnsiTheme="majorHAnsi" w:cstheme="majorHAnsi"/>
          <w:sz w:val="28"/>
          <w:szCs w:val="28"/>
        </w:rPr>
        <w:t xml:space="preserve">The main message of the </w:t>
      </w:r>
      <w:r w:rsidR="003633CB" w:rsidRPr="00327B3A">
        <w:rPr>
          <w:rFonts w:asciiTheme="majorHAnsi" w:hAnsiTheme="majorHAnsi" w:cstheme="majorHAnsi"/>
          <w:sz w:val="28"/>
          <w:szCs w:val="28"/>
        </w:rPr>
        <w:t xml:space="preserve">Report </w:t>
      </w:r>
      <w:r w:rsidRPr="00327B3A">
        <w:rPr>
          <w:rFonts w:asciiTheme="majorHAnsi" w:hAnsiTheme="majorHAnsi" w:cstheme="majorHAnsi"/>
          <w:sz w:val="28"/>
          <w:szCs w:val="28"/>
        </w:rPr>
        <w:t>could not be clearer</w:t>
      </w:r>
      <w:r w:rsidR="003633CB" w:rsidRPr="00327B3A">
        <w:rPr>
          <w:rFonts w:asciiTheme="majorHAnsi" w:hAnsiTheme="majorHAnsi" w:cstheme="majorHAnsi"/>
          <w:sz w:val="28"/>
          <w:szCs w:val="28"/>
        </w:rPr>
        <w:t>,</w:t>
      </w:r>
      <w:r w:rsidRPr="00327B3A">
        <w:rPr>
          <w:rFonts w:asciiTheme="majorHAnsi" w:hAnsiTheme="majorHAnsi" w:cstheme="majorHAnsi"/>
          <w:sz w:val="28"/>
          <w:szCs w:val="28"/>
        </w:rPr>
        <w:t xml:space="preserve"> namely that the need for all yo</w:t>
      </w:r>
      <w:r w:rsidR="003633CB" w:rsidRPr="00327B3A">
        <w:rPr>
          <w:rFonts w:asciiTheme="majorHAnsi" w:hAnsiTheme="majorHAnsi" w:cstheme="majorHAnsi"/>
          <w:sz w:val="28"/>
          <w:szCs w:val="28"/>
        </w:rPr>
        <w:t>uth in SSA to acquire modern, 21st</w:t>
      </w:r>
      <w:r w:rsidRPr="00327B3A">
        <w:rPr>
          <w:rFonts w:asciiTheme="majorHAnsi" w:hAnsiTheme="majorHAnsi" w:cstheme="majorHAnsi"/>
          <w:sz w:val="28"/>
          <w:szCs w:val="28"/>
        </w:rPr>
        <w:t xml:space="preserve"> century </w:t>
      </w:r>
      <w:r w:rsidR="0065291B" w:rsidRPr="00327B3A">
        <w:rPr>
          <w:rFonts w:asciiTheme="majorHAnsi" w:hAnsiTheme="majorHAnsi" w:cstheme="majorHAnsi"/>
          <w:sz w:val="28"/>
          <w:szCs w:val="28"/>
        </w:rPr>
        <w:t xml:space="preserve">work-related </w:t>
      </w:r>
      <w:r w:rsidRPr="00327B3A">
        <w:rPr>
          <w:rFonts w:asciiTheme="majorHAnsi" w:hAnsiTheme="majorHAnsi" w:cstheme="majorHAnsi"/>
          <w:sz w:val="28"/>
          <w:szCs w:val="28"/>
        </w:rPr>
        <w:t xml:space="preserve">skills is </w:t>
      </w:r>
      <w:r w:rsidR="002D3D90" w:rsidRPr="00327B3A">
        <w:rPr>
          <w:rFonts w:asciiTheme="majorHAnsi" w:hAnsiTheme="majorHAnsi" w:cstheme="majorHAnsi"/>
          <w:sz w:val="28"/>
          <w:szCs w:val="28"/>
        </w:rPr>
        <w:t xml:space="preserve">both </w:t>
      </w:r>
      <w:r w:rsidRPr="00327B3A">
        <w:rPr>
          <w:rFonts w:asciiTheme="majorHAnsi" w:hAnsiTheme="majorHAnsi" w:cstheme="majorHAnsi"/>
          <w:sz w:val="28"/>
          <w:szCs w:val="28"/>
        </w:rPr>
        <w:t>overwhelming</w:t>
      </w:r>
      <w:r w:rsidR="002D3D90" w:rsidRPr="00327B3A">
        <w:rPr>
          <w:rFonts w:asciiTheme="majorHAnsi" w:hAnsiTheme="majorHAnsi" w:cstheme="majorHAnsi"/>
          <w:sz w:val="28"/>
          <w:szCs w:val="28"/>
        </w:rPr>
        <w:t xml:space="preserve"> and urgent. T</w:t>
      </w:r>
      <w:r w:rsidRPr="00327B3A">
        <w:rPr>
          <w:rFonts w:asciiTheme="majorHAnsi" w:hAnsiTheme="majorHAnsi" w:cstheme="majorHAnsi"/>
          <w:sz w:val="28"/>
          <w:szCs w:val="28"/>
        </w:rPr>
        <w:t xml:space="preserve">he current low levels of secondary education </w:t>
      </w:r>
      <w:r w:rsidR="00D17284" w:rsidRPr="00327B3A">
        <w:rPr>
          <w:rFonts w:asciiTheme="majorHAnsi" w:hAnsiTheme="majorHAnsi" w:cstheme="majorHAnsi"/>
          <w:sz w:val="28"/>
          <w:szCs w:val="28"/>
        </w:rPr>
        <w:t xml:space="preserve">provision </w:t>
      </w:r>
      <w:r w:rsidRPr="00327B3A">
        <w:rPr>
          <w:rFonts w:asciiTheme="majorHAnsi" w:hAnsiTheme="majorHAnsi" w:cstheme="majorHAnsi"/>
          <w:sz w:val="28"/>
          <w:szCs w:val="28"/>
        </w:rPr>
        <w:t>must</w:t>
      </w:r>
      <w:r w:rsidR="002D3D90" w:rsidRPr="00327B3A">
        <w:rPr>
          <w:rFonts w:asciiTheme="majorHAnsi" w:hAnsiTheme="majorHAnsi" w:cstheme="majorHAnsi"/>
          <w:sz w:val="28"/>
          <w:szCs w:val="28"/>
        </w:rPr>
        <w:t xml:space="preserve">, therefore, </w:t>
      </w:r>
      <w:r w:rsidRPr="00327B3A">
        <w:rPr>
          <w:rFonts w:asciiTheme="majorHAnsi" w:hAnsiTheme="majorHAnsi" w:cstheme="majorHAnsi"/>
          <w:sz w:val="28"/>
          <w:szCs w:val="28"/>
        </w:rPr>
        <w:t xml:space="preserve">be expanded rapidly with the ultimate goal of attaining universal secondary education </w:t>
      </w:r>
      <w:r w:rsidR="00CF3E1A">
        <w:rPr>
          <w:rFonts w:asciiTheme="majorHAnsi" w:hAnsiTheme="majorHAnsi" w:cstheme="majorHAnsi"/>
          <w:sz w:val="28"/>
          <w:szCs w:val="28"/>
        </w:rPr>
        <w:t>(USE)</w:t>
      </w:r>
      <w:r w:rsidR="00CF3E1A">
        <w:rPr>
          <w:rStyle w:val="FootnoteReference"/>
          <w:rFonts w:asciiTheme="majorHAnsi" w:hAnsiTheme="majorHAnsi" w:cstheme="majorHAnsi"/>
          <w:sz w:val="28"/>
          <w:szCs w:val="28"/>
        </w:rPr>
        <w:footnoteReference w:id="2"/>
      </w:r>
      <w:r w:rsidR="00CF3E1A">
        <w:rPr>
          <w:rFonts w:asciiTheme="majorHAnsi" w:hAnsiTheme="majorHAnsi" w:cstheme="majorHAnsi"/>
          <w:sz w:val="28"/>
          <w:szCs w:val="28"/>
        </w:rPr>
        <w:t xml:space="preserve"> </w:t>
      </w:r>
      <w:r w:rsidR="002D3D90" w:rsidRPr="00327B3A">
        <w:rPr>
          <w:rFonts w:asciiTheme="majorHAnsi" w:hAnsiTheme="majorHAnsi" w:cstheme="majorHAnsi"/>
          <w:sz w:val="28"/>
          <w:szCs w:val="28"/>
        </w:rPr>
        <w:t>across the entire continent</w:t>
      </w:r>
      <w:r w:rsidRPr="00327B3A">
        <w:rPr>
          <w:rFonts w:asciiTheme="majorHAnsi" w:hAnsiTheme="majorHAnsi" w:cstheme="majorHAnsi"/>
          <w:sz w:val="28"/>
          <w:szCs w:val="28"/>
        </w:rPr>
        <w:t xml:space="preserve"> by 2050</w:t>
      </w:r>
      <w:r w:rsidR="00044DD2" w:rsidRPr="00327B3A">
        <w:rPr>
          <w:rStyle w:val="FootnoteReference"/>
          <w:rFonts w:asciiTheme="majorHAnsi" w:hAnsiTheme="majorHAnsi" w:cstheme="majorHAnsi"/>
          <w:sz w:val="28"/>
          <w:szCs w:val="28"/>
        </w:rPr>
        <w:footnoteReference w:id="3"/>
      </w:r>
      <w:r w:rsidRPr="00327B3A">
        <w:rPr>
          <w:rFonts w:asciiTheme="majorHAnsi" w:hAnsiTheme="majorHAnsi" w:cstheme="majorHAnsi"/>
          <w:sz w:val="28"/>
          <w:szCs w:val="28"/>
        </w:rPr>
        <w:t xml:space="preserve">. The </w:t>
      </w:r>
      <w:r w:rsidR="00D17284" w:rsidRPr="00327B3A">
        <w:rPr>
          <w:rFonts w:asciiTheme="majorHAnsi" w:hAnsiTheme="majorHAnsi" w:cstheme="majorHAnsi"/>
          <w:sz w:val="28"/>
          <w:szCs w:val="28"/>
        </w:rPr>
        <w:t>most critical</w:t>
      </w:r>
      <w:r w:rsidRPr="00327B3A">
        <w:rPr>
          <w:rFonts w:asciiTheme="majorHAnsi" w:hAnsiTheme="majorHAnsi" w:cstheme="majorHAnsi"/>
          <w:sz w:val="28"/>
          <w:szCs w:val="28"/>
        </w:rPr>
        <w:t xml:space="preserve"> reform </w:t>
      </w:r>
      <w:r w:rsidR="002D3D90" w:rsidRPr="00327B3A">
        <w:rPr>
          <w:rFonts w:asciiTheme="majorHAnsi" w:hAnsiTheme="majorHAnsi" w:cstheme="majorHAnsi"/>
          <w:sz w:val="28"/>
          <w:szCs w:val="28"/>
        </w:rPr>
        <w:t xml:space="preserve">proposed by the Report </w:t>
      </w:r>
      <w:r w:rsidRPr="00327B3A">
        <w:rPr>
          <w:rFonts w:asciiTheme="majorHAnsi" w:hAnsiTheme="majorHAnsi" w:cstheme="majorHAnsi"/>
          <w:sz w:val="28"/>
          <w:szCs w:val="28"/>
        </w:rPr>
        <w:t xml:space="preserve">is </w:t>
      </w:r>
      <w:r w:rsidR="002D3D90" w:rsidRPr="00327B3A">
        <w:rPr>
          <w:rFonts w:asciiTheme="majorHAnsi" w:hAnsiTheme="majorHAnsi" w:cstheme="majorHAnsi"/>
          <w:sz w:val="28"/>
          <w:szCs w:val="28"/>
        </w:rPr>
        <w:t>th</w:t>
      </w:r>
      <w:r w:rsidR="00D37A67" w:rsidRPr="00327B3A">
        <w:rPr>
          <w:rFonts w:asciiTheme="majorHAnsi" w:hAnsiTheme="majorHAnsi" w:cstheme="majorHAnsi"/>
          <w:sz w:val="28"/>
          <w:szCs w:val="28"/>
        </w:rPr>
        <w:t>e im</w:t>
      </w:r>
      <w:r w:rsidR="00497138" w:rsidRPr="00327B3A">
        <w:rPr>
          <w:rFonts w:asciiTheme="majorHAnsi" w:hAnsiTheme="majorHAnsi" w:cstheme="majorHAnsi"/>
          <w:sz w:val="28"/>
          <w:szCs w:val="28"/>
        </w:rPr>
        <w:t>plementation of a</w:t>
      </w:r>
      <w:r w:rsidR="00D37A67" w:rsidRPr="00327B3A">
        <w:rPr>
          <w:rFonts w:asciiTheme="majorHAnsi" w:hAnsiTheme="majorHAnsi" w:cstheme="majorHAnsi"/>
          <w:sz w:val="28"/>
          <w:szCs w:val="28"/>
        </w:rPr>
        <w:t xml:space="preserve"> new </w:t>
      </w:r>
      <w:r w:rsidRPr="00327B3A">
        <w:rPr>
          <w:rFonts w:asciiTheme="majorHAnsi" w:hAnsiTheme="majorHAnsi" w:cstheme="majorHAnsi"/>
          <w:sz w:val="28"/>
          <w:szCs w:val="28"/>
        </w:rPr>
        <w:t xml:space="preserve">curriculum which imparts the requisite attitudes, knowledge and skills </w:t>
      </w:r>
      <w:r w:rsidR="00D17284" w:rsidRPr="00327B3A">
        <w:rPr>
          <w:rFonts w:asciiTheme="majorHAnsi" w:hAnsiTheme="majorHAnsi" w:cstheme="majorHAnsi"/>
          <w:sz w:val="28"/>
          <w:szCs w:val="28"/>
        </w:rPr>
        <w:t xml:space="preserve">to be </w:t>
      </w:r>
      <w:r w:rsidR="00D37A67" w:rsidRPr="00327B3A">
        <w:rPr>
          <w:rFonts w:asciiTheme="majorHAnsi" w:hAnsiTheme="majorHAnsi" w:cstheme="majorHAnsi"/>
          <w:sz w:val="28"/>
          <w:szCs w:val="28"/>
        </w:rPr>
        <w:t xml:space="preserve">universally </w:t>
      </w:r>
      <w:r w:rsidR="00D17284" w:rsidRPr="00327B3A">
        <w:rPr>
          <w:rFonts w:asciiTheme="majorHAnsi" w:hAnsiTheme="majorHAnsi" w:cstheme="majorHAnsi"/>
          <w:sz w:val="28"/>
          <w:szCs w:val="28"/>
        </w:rPr>
        <w:t>adopted by</w:t>
      </w:r>
      <w:r w:rsidRPr="00327B3A">
        <w:rPr>
          <w:rFonts w:asciiTheme="majorHAnsi" w:hAnsiTheme="majorHAnsi" w:cstheme="majorHAnsi"/>
          <w:sz w:val="28"/>
          <w:szCs w:val="28"/>
        </w:rPr>
        <w:t xml:space="preserve"> all secondary schools as soon as </w:t>
      </w:r>
      <w:r w:rsidR="0009699B" w:rsidRPr="00327B3A">
        <w:rPr>
          <w:rFonts w:asciiTheme="majorHAnsi" w:hAnsiTheme="majorHAnsi" w:cstheme="majorHAnsi"/>
          <w:sz w:val="28"/>
          <w:szCs w:val="28"/>
        </w:rPr>
        <w:t>is practicable. With regard to access, the Report estimates that attaining USE will require a seven</w:t>
      </w:r>
      <w:r w:rsidR="00D17284" w:rsidRPr="00327B3A">
        <w:rPr>
          <w:rFonts w:asciiTheme="majorHAnsi" w:hAnsiTheme="majorHAnsi" w:cstheme="majorHAnsi"/>
          <w:sz w:val="28"/>
          <w:szCs w:val="28"/>
        </w:rPr>
        <w:t>fold</w:t>
      </w:r>
      <w:r w:rsidR="0009699B" w:rsidRPr="00327B3A">
        <w:rPr>
          <w:rFonts w:asciiTheme="majorHAnsi" w:hAnsiTheme="majorHAnsi" w:cstheme="majorHAnsi"/>
          <w:sz w:val="28"/>
          <w:szCs w:val="28"/>
        </w:rPr>
        <w:t xml:space="preserve"> </w:t>
      </w:r>
      <w:r w:rsidR="0009699B" w:rsidRPr="00327B3A">
        <w:rPr>
          <w:rFonts w:asciiTheme="majorHAnsi" w:hAnsiTheme="majorHAnsi" w:cstheme="majorHAnsi"/>
          <w:sz w:val="28"/>
          <w:szCs w:val="28"/>
        </w:rPr>
        <w:lastRenderedPageBreak/>
        <w:t>increase in annual average expenditure</w:t>
      </w:r>
      <w:r w:rsidR="00D17284" w:rsidRPr="00327B3A">
        <w:rPr>
          <w:rFonts w:asciiTheme="majorHAnsi" w:hAnsiTheme="majorHAnsi" w:cstheme="majorHAnsi"/>
          <w:sz w:val="28"/>
          <w:szCs w:val="28"/>
        </w:rPr>
        <w:t xml:space="preserve"> </w:t>
      </w:r>
      <w:r w:rsidR="0009699B" w:rsidRPr="00327B3A">
        <w:rPr>
          <w:rFonts w:asciiTheme="majorHAnsi" w:hAnsiTheme="majorHAnsi" w:cstheme="majorHAnsi"/>
          <w:sz w:val="28"/>
          <w:szCs w:val="28"/>
        </w:rPr>
        <w:t>– from US$2</w:t>
      </w:r>
      <w:r w:rsidR="002D3D90" w:rsidRPr="00327B3A">
        <w:rPr>
          <w:rFonts w:asciiTheme="majorHAnsi" w:hAnsiTheme="majorHAnsi" w:cstheme="majorHAnsi"/>
          <w:sz w:val="28"/>
          <w:szCs w:val="28"/>
        </w:rPr>
        <w:t xml:space="preserve">5 billion </w:t>
      </w:r>
      <w:r w:rsidR="0009699B" w:rsidRPr="00327B3A">
        <w:rPr>
          <w:rFonts w:asciiTheme="majorHAnsi" w:hAnsiTheme="majorHAnsi" w:cstheme="majorHAnsi"/>
          <w:sz w:val="28"/>
          <w:szCs w:val="28"/>
        </w:rPr>
        <w:t xml:space="preserve">in 2015 </w:t>
      </w:r>
      <w:r w:rsidR="002D3D90" w:rsidRPr="00327B3A">
        <w:rPr>
          <w:rFonts w:asciiTheme="majorHAnsi" w:hAnsiTheme="majorHAnsi" w:cstheme="majorHAnsi"/>
          <w:sz w:val="28"/>
          <w:szCs w:val="28"/>
        </w:rPr>
        <w:t>to US$</w:t>
      </w:r>
      <w:r w:rsidR="0009699B" w:rsidRPr="00327B3A">
        <w:rPr>
          <w:rFonts w:asciiTheme="majorHAnsi" w:hAnsiTheme="majorHAnsi" w:cstheme="majorHAnsi"/>
          <w:sz w:val="28"/>
          <w:szCs w:val="28"/>
        </w:rPr>
        <w:t xml:space="preserve">175 </w:t>
      </w:r>
      <w:r w:rsidR="002D3D90" w:rsidRPr="00327B3A">
        <w:rPr>
          <w:rFonts w:asciiTheme="majorHAnsi" w:hAnsiTheme="majorHAnsi" w:cstheme="majorHAnsi"/>
          <w:sz w:val="28"/>
          <w:szCs w:val="28"/>
        </w:rPr>
        <w:t>billion</w:t>
      </w:r>
      <w:r w:rsidR="0009699B" w:rsidRPr="00327B3A">
        <w:rPr>
          <w:rFonts w:asciiTheme="majorHAnsi" w:hAnsiTheme="majorHAnsi" w:cstheme="majorHAnsi"/>
          <w:sz w:val="28"/>
          <w:szCs w:val="28"/>
        </w:rPr>
        <w:t xml:space="preserve"> in 2050</w:t>
      </w:r>
      <w:r w:rsidR="00D17284" w:rsidRPr="00327B3A">
        <w:rPr>
          <w:rFonts w:asciiTheme="majorHAnsi" w:hAnsiTheme="majorHAnsi" w:cstheme="majorHAnsi"/>
          <w:sz w:val="28"/>
          <w:szCs w:val="28"/>
        </w:rPr>
        <w:t xml:space="preserve">. </w:t>
      </w:r>
    </w:p>
    <w:p w:rsidR="003633CB" w:rsidRPr="00327B3A" w:rsidRDefault="00E9093B" w:rsidP="00497138">
      <w:pPr>
        <w:jc w:val="both"/>
        <w:rPr>
          <w:rFonts w:asciiTheme="majorHAnsi" w:hAnsiTheme="majorHAnsi" w:cstheme="majorHAnsi"/>
          <w:sz w:val="28"/>
          <w:szCs w:val="28"/>
        </w:rPr>
      </w:pPr>
      <w:r w:rsidRPr="00327B3A">
        <w:rPr>
          <w:rFonts w:asciiTheme="majorHAnsi" w:hAnsiTheme="majorHAnsi" w:cstheme="majorHAnsi"/>
          <w:sz w:val="28"/>
          <w:szCs w:val="28"/>
        </w:rPr>
        <w:t xml:space="preserve">The overall intention in commissioning the Report is commendable and </w:t>
      </w:r>
      <w:r w:rsidR="0009699B" w:rsidRPr="00327B3A">
        <w:rPr>
          <w:rFonts w:asciiTheme="majorHAnsi" w:hAnsiTheme="majorHAnsi" w:cstheme="majorHAnsi"/>
          <w:sz w:val="28"/>
          <w:szCs w:val="28"/>
        </w:rPr>
        <w:t xml:space="preserve">reflects the </w:t>
      </w:r>
      <w:r w:rsidR="00BF1F5E" w:rsidRPr="00327B3A">
        <w:rPr>
          <w:rFonts w:asciiTheme="majorHAnsi" w:hAnsiTheme="majorHAnsi" w:cstheme="majorHAnsi"/>
          <w:sz w:val="28"/>
          <w:szCs w:val="28"/>
        </w:rPr>
        <w:t>MasterCard</w:t>
      </w:r>
      <w:r w:rsidR="0009699B" w:rsidRPr="00327B3A">
        <w:rPr>
          <w:rFonts w:asciiTheme="majorHAnsi" w:hAnsiTheme="majorHAnsi" w:cstheme="majorHAnsi"/>
          <w:sz w:val="28"/>
          <w:szCs w:val="28"/>
        </w:rPr>
        <w:t xml:space="preserve"> Foundation’s strong commitment to improving secondary education in SSA. T</w:t>
      </w:r>
      <w:r w:rsidRPr="00327B3A">
        <w:rPr>
          <w:rFonts w:asciiTheme="majorHAnsi" w:hAnsiTheme="majorHAnsi" w:cstheme="majorHAnsi"/>
          <w:sz w:val="28"/>
          <w:szCs w:val="28"/>
        </w:rPr>
        <w:t>he report itself is an impressive</w:t>
      </w:r>
      <w:r w:rsidR="003C7168" w:rsidRPr="00327B3A">
        <w:rPr>
          <w:rFonts w:asciiTheme="majorHAnsi" w:hAnsiTheme="majorHAnsi" w:cstheme="majorHAnsi"/>
          <w:sz w:val="28"/>
          <w:szCs w:val="28"/>
        </w:rPr>
        <w:t xml:space="preserve"> 275 page document</w:t>
      </w:r>
      <w:r w:rsidR="0009699B" w:rsidRPr="00327B3A">
        <w:rPr>
          <w:rFonts w:asciiTheme="majorHAnsi" w:hAnsiTheme="majorHAnsi" w:cstheme="majorHAnsi"/>
          <w:sz w:val="28"/>
          <w:szCs w:val="28"/>
        </w:rPr>
        <w:t xml:space="preserve"> w</w:t>
      </w:r>
      <w:r w:rsidR="00CF3E1A">
        <w:rPr>
          <w:rFonts w:asciiTheme="majorHAnsi" w:hAnsiTheme="majorHAnsi" w:cstheme="majorHAnsi"/>
          <w:sz w:val="28"/>
          <w:szCs w:val="28"/>
        </w:rPr>
        <w:t xml:space="preserve">ith </w:t>
      </w:r>
      <w:r w:rsidR="00D85FF8">
        <w:rPr>
          <w:rFonts w:asciiTheme="majorHAnsi" w:hAnsiTheme="majorHAnsi" w:cstheme="majorHAnsi"/>
          <w:sz w:val="28"/>
          <w:szCs w:val="28"/>
        </w:rPr>
        <w:t xml:space="preserve">wide-ranging </w:t>
      </w:r>
      <w:r w:rsidR="0009699B" w:rsidRPr="00327B3A">
        <w:rPr>
          <w:rFonts w:asciiTheme="majorHAnsi" w:hAnsiTheme="majorHAnsi" w:cstheme="majorHAnsi"/>
          <w:sz w:val="28"/>
          <w:szCs w:val="28"/>
        </w:rPr>
        <w:t xml:space="preserve">analysis </w:t>
      </w:r>
      <w:r w:rsidR="00D85FF8">
        <w:rPr>
          <w:rFonts w:asciiTheme="majorHAnsi" w:hAnsiTheme="majorHAnsi" w:cstheme="majorHAnsi"/>
          <w:sz w:val="28"/>
          <w:szCs w:val="28"/>
        </w:rPr>
        <w:t xml:space="preserve">of most </w:t>
      </w:r>
      <w:r w:rsidR="0009699B" w:rsidRPr="00327B3A">
        <w:rPr>
          <w:rFonts w:asciiTheme="majorHAnsi" w:hAnsiTheme="majorHAnsi" w:cstheme="majorHAnsi"/>
          <w:sz w:val="28"/>
          <w:szCs w:val="28"/>
        </w:rPr>
        <w:t xml:space="preserve">aspects of </w:t>
      </w:r>
      <w:r w:rsidR="00D85FF8">
        <w:rPr>
          <w:rFonts w:asciiTheme="majorHAnsi" w:hAnsiTheme="majorHAnsi" w:cstheme="majorHAnsi"/>
          <w:sz w:val="28"/>
          <w:szCs w:val="28"/>
        </w:rPr>
        <w:t xml:space="preserve">secondary </w:t>
      </w:r>
      <w:r w:rsidR="0009699B" w:rsidRPr="00327B3A">
        <w:rPr>
          <w:rFonts w:asciiTheme="majorHAnsi" w:hAnsiTheme="majorHAnsi" w:cstheme="majorHAnsi"/>
          <w:sz w:val="28"/>
          <w:szCs w:val="28"/>
        </w:rPr>
        <w:t xml:space="preserve">schooling provision. </w:t>
      </w:r>
      <w:r w:rsidRPr="00327B3A">
        <w:rPr>
          <w:rFonts w:asciiTheme="majorHAnsi" w:hAnsiTheme="majorHAnsi" w:cstheme="majorHAnsi"/>
          <w:sz w:val="28"/>
          <w:szCs w:val="28"/>
        </w:rPr>
        <w:t xml:space="preserve">However, </w:t>
      </w:r>
      <w:r w:rsidR="00F55437" w:rsidRPr="00327B3A">
        <w:rPr>
          <w:rFonts w:asciiTheme="majorHAnsi" w:hAnsiTheme="majorHAnsi" w:cstheme="majorHAnsi"/>
          <w:sz w:val="28"/>
          <w:szCs w:val="28"/>
        </w:rPr>
        <w:t xml:space="preserve">a detailed review of the Report raises </w:t>
      </w:r>
      <w:r w:rsidR="005C725F">
        <w:rPr>
          <w:rFonts w:asciiTheme="majorHAnsi" w:hAnsiTheme="majorHAnsi" w:cstheme="majorHAnsi"/>
          <w:sz w:val="28"/>
          <w:szCs w:val="28"/>
        </w:rPr>
        <w:t xml:space="preserve">important </w:t>
      </w:r>
      <w:r w:rsidR="00F55437" w:rsidRPr="00327B3A">
        <w:rPr>
          <w:rFonts w:asciiTheme="majorHAnsi" w:hAnsiTheme="majorHAnsi" w:cstheme="majorHAnsi"/>
          <w:sz w:val="28"/>
          <w:szCs w:val="28"/>
        </w:rPr>
        <w:t>concerns about its overall value in providing strategic guidance for the development of secondary education in SSA over the next 30 years.</w:t>
      </w:r>
      <w:r w:rsidR="003C7168" w:rsidRPr="00327B3A">
        <w:rPr>
          <w:rFonts w:asciiTheme="majorHAnsi" w:hAnsiTheme="majorHAnsi" w:cstheme="majorHAnsi"/>
          <w:sz w:val="28"/>
          <w:szCs w:val="28"/>
        </w:rPr>
        <w:t xml:space="preserve"> </w:t>
      </w:r>
      <w:r w:rsidR="00654711" w:rsidRPr="00327B3A">
        <w:rPr>
          <w:rFonts w:asciiTheme="majorHAnsi" w:hAnsiTheme="majorHAnsi" w:cstheme="majorHAnsi"/>
          <w:sz w:val="28"/>
          <w:szCs w:val="28"/>
        </w:rPr>
        <w:t>There are three</w:t>
      </w:r>
      <w:r w:rsidR="003C7168" w:rsidRPr="00327B3A">
        <w:rPr>
          <w:rFonts w:asciiTheme="majorHAnsi" w:hAnsiTheme="majorHAnsi" w:cstheme="majorHAnsi"/>
          <w:sz w:val="28"/>
          <w:szCs w:val="28"/>
        </w:rPr>
        <w:t xml:space="preserve"> main sets of </w:t>
      </w:r>
      <w:r w:rsidR="00F55437" w:rsidRPr="00327B3A">
        <w:rPr>
          <w:rFonts w:asciiTheme="majorHAnsi" w:hAnsiTheme="majorHAnsi" w:cstheme="majorHAnsi"/>
          <w:sz w:val="28"/>
          <w:szCs w:val="28"/>
        </w:rPr>
        <w:t xml:space="preserve">issues. Firstly, the Report </w:t>
      </w:r>
      <w:r w:rsidR="003C7168" w:rsidRPr="00327B3A">
        <w:rPr>
          <w:rFonts w:asciiTheme="majorHAnsi" w:hAnsiTheme="majorHAnsi" w:cstheme="majorHAnsi"/>
          <w:sz w:val="28"/>
          <w:szCs w:val="28"/>
        </w:rPr>
        <w:t>under</w:t>
      </w:r>
      <w:r w:rsidR="00D85FF8">
        <w:rPr>
          <w:rFonts w:asciiTheme="majorHAnsi" w:hAnsiTheme="majorHAnsi" w:cstheme="majorHAnsi"/>
          <w:sz w:val="28"/>
          <w:szCs w:val="28"/>
        </w:rPr>
        <w:t>-</w:t>
      </w:r>
      <w:r w:rsidR="003C7168" w:rsidRPr="00327B3A">
        <w:rPr>
          <w:rFonts w:asciiTheme="majorHAnsi" w:hAnsiTheme="majorHAnsi" w:cstheme="majorHAnsi"/>
          <w:sz w:val="28"/>
          <w:szCs w:val="28"/>
        </w:rPr>
        <w:t xml:space="preserve">estimates </w:t>
      </w:r>
      <w:r w:rsidR="00A32FA1" w:rsidRPr="00327B3A">
        <w:rPr>
          <w:rFonts w:asciiTheme="majorHAnsi" w:hAnsiTheme="majorHAnsi" w:cstheme="majorHAnsi"/>
          <w:sz w:val="28"/>
          <w:szCs w:val="28"/>
        </w:rPr>
        <w:t xml:space="preserve">the </w:t>
      </w:r>
      <w:r w:rsidR="00C7652F" w:rsidRPr="00327B3A">
        <w:rPr>
          <w:rFonts w:asciiTheme="majorHAnsi" w:hAnsiTheme="majorHAnsi" w:cstheme="majorHAnsi"/>
          <w:sz w:val="28"/>
          <w:szCs w:val="28"/>
        </w:rPr>
        <w:t>constraints that are preventing the expansion of secondary education in SSA</w:t>
      </w:r>
      <w:r w:rsidR="00610EA4" w:rsidRPr="00327B3A">
        <w:rPr>
          <w:rFonts w:asciiTheme="majorHAnsi" w:hAnsiTheme="majorHAnsi" w:cstheme="majorHAnsi"/>
          <w:sz w:val="28"/>
          <w:szCs w:val="28"/>
        </w:rPr>
        <w:t>.</w:t>
      </w:r>
      <w:r w:rsidR="00654711" w:rsidRPr="00327B3A">
        <w:rPr>
          <w:rFonts w:asciiTheme="majorHAnsi" w:hAnsiTheme="majorHAnsi" w:cstheme="majorHAnsi"/>
          <w:sz w:val="28"/>
          <w:szCs w:val="28"/>
        </w:rPr>
        <w:t xml:space="preserve"> Secondly, </w:t>
      </w:r>
      <w:r w:rsidR="00610EA4" w:rsidRPr="00327B3A">
        <w:rPr>
          <w:rFonts w:asciiTheme="majorHAnsi" w:hAnsiTheme="majorHAnsi" w:cstheme="majorHAnsi"/>
          <w:sz w:val="28"/>
          <w:szCs w:val="28"/>
        </w:rPr>
        <w:t xml:space="preserve">for a variety of reasons, </w:t>
      </w:r>
      <w:r w:rsidR="00654711" w:rsidRPr="00327B3A">
        <w:rPr>
          <w:rFonts w:asciiTheme="majorHAnsi" w:hAnsiTheme="majorHAnsi" w:cstheme="majorHAnsi"/>
          <w:sz w:val="28"/>
          <w:szCs w:val="28"/>
        </w:rPr>
        <w:t xml:space="preserve">the proposed curriculum and </w:t>
      </w:r>
      <w:r w:rsidR="003633CB" w:rsidRPr="00327B3A">
        <w:rPr>
          <w:rFonts w:asciiTheme="majorHAnsi" w:hAnsiTheme="majorHAnsi" w:cstheme="majorHAnsi"/>
          <w:sz w:val="28"/>
          <w:szCs w:val="28"/>
        </w:rPr>
        <w:t xml:space="preserve">some of the </w:t>
      </w:r>
      <w:r w:rsidR="00654711" w:rsidRPr="00327B3A">
        <w:rPr>
          <w:rFonts w:asciiTheme="majorHAnsi" w:hAnsiTheme="majorHAnsi" w:cstheme="majorHAnsi"/>
          <w:sz w:val="28"/>
          <w:szCs w:val="28"/>
        </w:rPr>
        <w:t>other ‘promisi</w:t>
      </w:r>
      <w:r w:rsidR="00610EA4" w:rsidRPr="00327B3A">
        <w:rPr>
          <w:rFonts w:asciiTheme="majorHAnsi" w:hAnsiTheme="majorHAnsi" w:cstheme="majorHAnsi"/>
          <w:sz w:val="28"/>
          <w:szCs w:val="28"/>
        </w:rPr>
        <w:t xml:space="preserve">ng </w:t>
      </w:r>
      <w:r w:rsidR="003633CB" w:rsidRPr="00327B3A">
        <w:rPr>
          <w:rFonts w:asciiTheme="majorHAnsi" w:hAnsiTheme="majorHAnsi" w:cstheme="majorHAnsi"/>
          <w:sz w:val="28"/>
          <w:szCs w:val="28"/>
        </w:rPr>
        <w:t>practices</w:t>
      </w:r>
      <w:r w:rsidR="00610EA4" w:rsidRPr="00327B3A">
        <w:rPr>
          <w:rFonts w:asciiTheme="majorHAnsi" w:hAnsiTheme="majorHAnsi" w:cstheme="majorHAnsi"/>
          <w:sz w:val="28"/>
          <w:szCs w:val="28"/>
        </w:rPr>
        <w:t xml:space="preserve">’ are </w:t>
      </w:r>
      <w:r w:rsidR="00F55437" w:rsidRPr="00327B3A">
        <w:rPr>
          <w:rFonts w:asciiTheme="majorHAnsi" w:hAnsiTheme="majorHAnsi" w:cstheme="majorHAnsi"/>
          <w:sz w:val="28"/>
          <w:szCs w:val="28"/>
        </w:rPr>
        <w:t>quite problematic</w:t>
      </w:r>
      <w:r w:rsidR="00610EA4" w:rsidRPr="00327B3A">
        <w:rPr>
          <w:rFonts w:asciiTheme="majorHAnsi" w:hAnsiTheme="majorHAnsi" w:cstheme="majorHAnsi"/>
          <w:sz w:val="28"/>
          <w:szCs w:val="28"/>
        </w:rPr>
        <w:t>. A</w:t>
      </w:r>
      <w:r w:rsidR="00654711" w:rsidRPr="00327B3A">
        <w:rPr>
          <w:rFonts w:asciiTheme="majorHAnsi" w:hAnsiTheme="majorHAnsi" w:cstheme="majorHAnsi"/>
          <w:sz w:val="28"/>
          <w:szCs w:val="28"/>
        </w:rPr>
        <w:t xml:space="preserve">nd thirdly, the Report </w:t>
      </w:r>
      <w:r w:rsidR="00F55437" w:rsidRPr="00327B3A">
        <w:rPr>
          <w:rFonts w:asciiTheme="majorHAnsi" w:hAnsiTheme="majorHAnsi" w:cstheme="majorHAnsi"/>
          <w:sz w:val="28"/>
          <w:szCs w:val="28"/>
        </w:rPr>
        <w:t xml:space="preserve">does not adequately </w:t>
      </w:r>
      <w:r w:rsidR="00C7652F" w:rsidRPr="00327B3A">
        <w:rPr>
          <w:rFonts w:asciiTheme="majorHAnsi" w:hAnsiTheme="majorHAnsi" w:cstheme="majorHAnsi"/>
          <w:sz w:val="28"/>
          <w:szCs w:val="28"/>
        </w:rPr>
        <w:t xml:space="preserve">situate </w:t>
      </w:r>
      <w:r w:rsidR="00F55437" w:rsidRPr="00327B3A">
        <w:rPr>
          <w:rFonts w:asciiTheme="majorHAnsi" w:hAnsiTheme="majorHAnsi" w:cstheme="majorHAnsi"/>
          <w:sz w:val="28"/>
          <w:szCs w:val="28"/>
        </w:rPr>
        <w:t xml:space="preserve">its </w:t>
      </w:r>
      <w:r w:rsidR="00C7652F" w:rsidRPr="00327B3A">
        <w:rPr>
          <w:rFonts w:asciiTheme="majorHAnsi" w:hAnsiTheme="majorHAnsi" w:cstheme="majorHAnsi"/>
          <w:sz w:val="28"/>
          <w:szCs w:val="28"/>
        </w:rPr>
        <w:t>USE</w:t>
      </w:r>
      <w:r w:rsidR="00F55437" w:rsidRPr="00327B3A">
        <w:rPr>
          <w:rFonts w:asciiTheme="majorHAnsi" w:hAnsiTheme="majorHAnsi" w:cstheme="majorHAnsi"/>
          <w:sz w:val="28"/>
          <w:szCs w:val="28"/>
        </w:rPr>
        <w:t xml:space="preserve"> strategy</w:t>
      </w:r>
      <w:r w:rsidR="00C7652F" w:rsidRPr="00327B3A">
        <w:rPr>
          <w:rFonts w:asciiTheme="majorHAnsi" w:hAnsiTheme="majorHAnsi" w:cstheme="majorHAnsi"/>
          <w:sz w:val="28"/>
          <w:szCs w:val="28"/>
        </w:rPr>
        <w:t xml:space="preserve"> in the </w:t>
      </w:r>
      <w:r w:rsidR="00F55437" w:rsidRPr="00327B3A">
        <w:rPr>
          <w:rFonts w:asciiTheme="majorHAnsi" w:hAnsiTheme="majorHAnsi" w:cstheme="majorHAnsi"/>
          <w:sz w:val="28"/>
          <w:szCs w:val="28"/>
        </w:rPr>
        <w:t xml:space="preserve">broader </w:t>
      </w:r>
      <w:r w:rsidR="00C7652F" w:rsidRPr="00327B3A">
        <w:rPr>
          <w:rFonts w:asciiTheme="majorHAnsi" w:hAnsiTheme="majorHAnsi" w:cstheme="majorHAnsi"/>
          <w:sz w:val="28"/>
          <w:szCs w:val="28"/>
        </w:rPr>
        <w:t xml:space="preserve">context of </w:t>
      </w:r>
      <w:r w:rsidR="00F55437" w:rsidRPr="00327B3A">
        <w:rPr>
          <w:rFonts w:asciiTheme="majorHAnsi" w:hAnsiTheme="majorHAnsi" w:cstheme="majorHAnsi"/>
          <w:sz w:val="28"/>
          <w:szCs w:val="28"/>
        </w:rPr>
        <w:t xml:space="preserve">other </w:t>
      </w:r>
      <w:r w:rsidR="00C7652F" w:rsidRPr="00327B3A">
        <w:rPr>
          <w:rFonts w:asciiTheme="majorHAnsi" w:hAnsiTheme="majorHAnsi" w:cstheme="majorHAnsi"/>
          <w:sz w:val="28"/>
          <w:szCs w:val="28"/>
        </w:rPr>
        <w:t xml:space="preserve">human resource development </w:t>
      </w:r>
      <w:r w:rsidR="00D37D84" w:rsidRPr="00327B3A">
        <w:rPr>
          <w:rFonts w:asciiTheme="majorHAnsi" w:hAnsiTheme="majorHAnsi" w:cstheme="majorHAnsi"/>
          <w:sz w:val="28"/>
          <w:szCs w:val="28"/>
        </w:rPr>
        <w:t xml:space="preserve">challenges </w:t>
      </w:r>
      <w:r w:rsidR="00F55437" w:rsidRPr="00327B3A">
        <w:rPr>
          <w:rFonts w:asciiTheme="majorHAnsi" w:hAnsiTheme="majorHAnsi" w:cstheme="majorHAnsi"/>
          <w:sz w:val="28"/>
          <w:szCs w:val="28"/>
        </w:rPr>
        <w:t xml:space="preserve">in SSA </w:t>
      </w:r>
      <w:r w:rsidR="00D37D84" w:rsidRPr="00327B3A">
        <w:rPr>
          <w:rFonts w:asciiTheme="majorHAnsi" w:hAnsiTheme="majorHAnsi" w:cstheme="majorHAnsi"/>
          <w:sz w:val="28"/>
          <w:szCs w:val="28"/>
        </w:rPr>
        <w:t xml:space="preserve">that </w:t>
      </w:r>
      <w:r w:rsidR="00F55437" w:rsidRPr="00327B3A">
        <w:rPr>
          <w:rFonts w:asciiTheme="majorHAnsi" w:hAnsiTheme="majorHAnsi" w:cstheme="majorHAnsi"/>
          <w:sz w:val="28"/>
          <w:szCs w:val="28"/>
        </w:rPr>
        <w:t xml:space="preserve">need to be </w:t>
      </w:r>
      <w:r w:rsidR="00D37D84" w:rsidRPr="00327B3A">
        <w:rPr>
          <w:rFonts w:asciiTheme="majorHAnsi" w:hAnsiTheme="majorHAnsi" w:cstheme="majorHAnsi"/>
          <w:sz w:val="28"/>
          <w:szCs w:val="28"/>
        </w:rPr>
        <w:t xml:space="preserve">immediately </w:t>
      </w:r>
      <w:r w:rsidR="00F55437" w:rsidRPr="00327B3A">
        <w:rPr>
          <w:rFonts w:asciiTheme="majorHAnsi" w:hAnsiTheme="majorHAnsi" w:cstheme="majorHAnsi"/>
          <w:sz w:val="28"/>
          <w:szCs w:val="28"/>
        </w:rPr>
        <w:t xml:space="preserve">addressed. </w:t>
      </w:r>
      <w:r w:rsidR="00D37D84" w:rsidRPr="00327B3A">
        <w:rPr>
          <w:rFonts w:asciiTheme="majorHAnsi" w:hAnsiTheme="majorHAnsi" w:cstheme="majorHAnsi"/>
          <w:sz w:val="28"/>
          <w:szCs w:val="28"/>
        </w:rPr>
        <w:t xml:space="preserve"> </w:t>
      </w:r>
      <w:r w:rsidR="009B3B3F" w:rsidRPr="00327B3A">
        <w:rPr>
          <w:rFonts w:asciiTheme="majorHAnsi" w:hAnsiTheme="majorHAnsi" w:cstheme="majorHAnsi"/>
          <w:sz w:val="28"/>
          <w:szCs w:val="28"/>
        </w:rPr>
        <w:t xml:space="preserve"> </w:t>
      </w:r>
    </w:p>
    <w:p w:rsidR="00497138" w:rsidRPr="00327B3A" w:rsidRDefault="00654711" w:rsidP="00497138">
      <w:pPr>
        <w:jc w:val="both"/>
        <w:rPr>
          <w:rFonts w:asciiTheme="majorHAnsi" w:hAnsiTheme="majorHAnsi" w:cstheme="majorHAnsi"/>
          <w:sz w:val="28"/>
          <w:szCs w:val="28"/>
        </w:rPr>
      </w:pPr>
      <w:r w:rsidRPr="00327B3A">
        <w:rPr>
          <w:rFonts w:asciiTheme="majorHAnsi" w:hAnsiTheme="majorHAnsi" w:cstheme="majorHAnsi"/>
          <w:sz w:val="28"/>
          <w:szCs w:val="28"/>
        </w:rPr>
        <w:t>Taken as whole</w:t>
      </w:r>
      <w:r w:rsidR="003633CB" w:rsidRPr="00327B3A">
        <w:rPr>
          <w:rFonts w:asciiTheme="majorHAnsi" w:hAnsiTheme="majorHAnsi" w:cstheme="majorHAnsi"/>
          <w:sz w:val="28"/>
          <w:szCs w:val="28"/>
        </w:rPr>
        <w:t>,</w:t>
      </w:r>
      <w:r w:rsidRPr="00327B3A">
        <w:rPr>
          <w:rFonts w:asciiTheme="majorHAnsi" w:hAnsiTheme="majorHAnsi" w:cstheme="majorHAnsi"/>
          <w:sz w:val="28"/>
          <w:szCs w:val="28"/>
        </w:rPr>
        <w:t xml:space="preserve"> </w:t>
      </w:r>
      <w:r w:rsidR="00243785" w:rsidRPr="00327B3A">
        <w:rPr>
          <w:rFonts w:asciiTheme="majorHAnsi" w:hAnsiTheme="majorHAnsi" w:cstheme="majorHAnsi"/>
          <w:sz w:val="28"/>
          <w:szCs w:val="28"/>
        </w:rPr>
        <w:t xml:space="preserve">the main conclusion of this review is that </w:t>
      </w:r>
      <w:r w:rsidR="00CF3E1A">
        <w:rPr>
          <w:rFonts w:asciiTheme="majorHAnsi" w:hAnsiTheme="majorHAnsi" w:cstheme="majorHAnsi"/>
          <w:sz w:val="28"/>
          <w:szCs w:val="28"/>
        </w:rPr>
        <w:t>t</w:t>
      </w:r>
      <w:r w:rsidRPr="00327B3A">
        <w:rPr>
          <w:rFonts w:asciiTheme="majorHAnsi" w:hAnsiTheme="majorHAnsi" w:cstheme="majorHAnsi"/>
          <w:sz w:val="28"/>
          <w:szCs w:val="28"/>
        </w:rPr>
        <w:t xml:space="preserve">he Report’s </w:t>
      </w:r>
      <w:r w:rsidR="00243785" w:rsidRPr="00327B3A">
        <w:rPr>
          <w:rFonts w:asciiTheme="majorHAnsi" w:hAnsiTheme="majorHAnsi" w:cstheme="majorHAnsi"/>
          <w:sz w:val="28"/>
          <w:szCs w:val="28"/>
        </w:rPr>
        <w:t xml:space="preserve">proposed USE </w:t>
      </w:r>
      <w:r w:rsidRPr="00327B3A">
        <w:rPr>
          <w:rFonts w:asciiTheme="majorHAnsi" w:hAnsiTheme="majorHAnsi" w:cstheme="majorHAnsi"/>
          <w:sz w:val="28"/>
          <w:szCs w:val="28"/>
        </w:rPr>
        <w:t xml:space="preserve">strategy is </w:t>
      </w:r>
      <w:r w:rsidR="00610EA4" w:rsidRPr="00327B3A">
        <w:rPr>
          <w:rFonts w:asciiTheme="majorHAnsi" w:hAnsiTheme="majorHAnsi" w:cstheme="majorHAnsi"/>
          <w:sz w:val="28"/>
          <w:szCs w:val="28"/>
        </w:rPr>
        <w:t xml:space="preserve">overly </w:t>
      </w:r>
      <w:r w:rsidR="003C7168" w:rsidRPr="00327B3A">
        <w:rPr>
          <w:rFonts w:asciiTheme="majorHAnsi" w:hAnsiTheme="majorHAnsi" w:cstheme="majorHAnsi"/>
          <w:sz w:val="28"/>
          <w:szCs w:val="28"/>
        </w:rPr>
        <w:t>ambitious</w:t>
      </w:r>
      <w:r w:rsidRPr="00327B3A">
        <w:rPr>
          <w:rFonts w:asciiTheme="majorHAnsi" w:hAnsiTheme="majorHAnsi" w:cstheme="majorHAnsi"/>
          <w:sz w:val="28"/>
          <w:szCs w:val="28"/>
        </w:rPr>
        <w:t xml:space="preserve">, </w:t>
      </w:r>
      <w:r w:rsidR="00243785" w:rsidRPr="00327B3A">
        <w:rPr>
          <w:rFonts w:asciiTheme="majorHAnsi" w:hAnsiTheme="majorHAnsi" w:cstheme="majorHAnsi"/>
          <w:sz w:val="28"/>
          <w:szCs w:val="28"/>
        </w:rPr>
        <w:t xml:space="preserve">too </w:t>
      </w:r>
      <w:r w:rsidRPr="00327B3A">
        <w:rPr>
          <w:rFonts w:asciiTheme="majorHAnsi" w:hAnsiTheme="majorHAnsi" w:cstheme="majorHAnsi"/>
          <w:sz w:val="28"/>
          <w:szCs w:val="28"/>
        </w:rPr>
        <w:t>simplistic</w:t>
      </w:r>
      <w:r w:rsidR="003C7168" w:rsidRPr="00327B3A">
        <w:rPr>
          <w:rFonts w:asciiTheme="majorHAnsi" w:hAnsiTheme="majorHAnsi" w:cstheme="majorHAnsi"/>
          <w:sz w:val="28"/>
          <w:szCs w:val="28"/>
        </w:rPr>
        <w:t xml:space="preserve"> and</w:t>
      </w:r>
      <w:r w:rsidR="00131968" w:rsidRPr="00327B3A">
        <w:rPr>
          <w:rFonts w:asciiTheme="majorHAnsi" w:hAnsiTheme="majorHAnsi" w:cstheme="majorHAnsi"/>
          <w:sz w:val="28"/>
          <w:szCs w:val="28"/>
        </w:rPr>
        <w:t>, in some key respects,</w:t>
      </w:r>
      <w:r w:rsidR="003C7168" w:rsidRPr="00327B3A">
        <w:rPr>
          <w:rFonts w:asciiTheme="majorHAnsi" w:hAnsiTheme="majorHAnsi" w:cstheme="majorHAnsi"/>
          <w:sz w:val="28"/>
          <w:szCs w:val="28"/>
        </w:rPr>
        <w:t xml:space="preserve"> </w:t>
      </w:r>
      <w:r w:rsidR="00D37D84" w:rsidRPr="00327B3A">
        <w:rPr>
          <w:rFonts w:asciiTheme="majorHAnsi" w:hAnsiTheme="majorHAnsi" w:cstheme="majorHAnsi"/>
          <w:sz w:val="28"/>
          <w:szCs w:val="28"/>
        </w:rPr>
        <w:t xml:space="preserve">substantively </w:t>
      </w:r>
      <w:r w:rsidRPr="00327B3A">
        <w:rPr>
          <w:rFonts w:asciiTheme="majorHAnsi" w:hAnsiTheme="majorHAnsi" w:cstheme="majorHAnsi"/>
          <w:sz w:val="28"/>
          <w:szCs w:val="28"/>
        </w:rPr>
        <w:t>misconceived</w:t>
      </w:r>
      <w:r w:rsidR="00D37D84" w:rsidRPr="00327B3A">
        <w:rPr>
          <w:rFonts w:asciiTheme="majorHAnsi" w:hAnsiTheme="majorHAnsi" w:cstheme="majorHAnsi"/>
          <w:sz w:val="28"/>
          <w:szCs w:val="28"/>
        </w:rPr>
        <w:t xml:space="preserve">. As it stands, it </w:t>
      </w:r>
      <w:r w:rsidRPr="00327B3A">
        <w:rPr>
          <w:rFonts w:asciiTheme="majorHAnsi" w:hAnsiTheme="majorHAnsi" w:cstheme="majorHAnsi"/>
          <w:sz w:val="28"/>
          <w:szCs w:val="28"/>
        </w:rPr>
        <w:t>should not</w:t>
      </w:r>
      <w:r w:rsidR="00D37D84" w:rsidRPr="00327B3A">
        <w:rPr>
          <w:rFonts w:asciiTheme="majorHAnsi" w:hAnsiTheme="majorHAnsi" w:cstheme="majorHAnsi"/>
          <w:sz w:val="28"/>
          <w:szCs w:val="28"/>
        </w:rPr>
        <w:t>,</w:t>
      </w:r>
      <w:r w:rsidRPr="00327B3A">
        <w:rPr>
          <w:rFonts w:asciiTheme="majorHAnsi" w:hAnsiTheme="majorHAnsi" w:cstheme="majorHAnsi"/>
          <w:sz w:val="28"/>
          <w:szCs w:val="28"/>
        </w:rPr>
        <w:t xml:space="preserve"> therefore form the </w:t>
      </w:r>
      <w:r w:rsidR="00D37D84" w:rsidRPr="00327B3A">
        <w:rPr>
          <w:rFonts w:asciiTheme="majorHAnsi" w:hAnsiTheme="majorHAnsi" w:cstheme="majorHAnsi"/>
          <w:sz w:val="28"/>
          <w:szCs w:val="28"/>
        </w:rPr>
        <w:t xml:space="preserve">basis </w:t>
      </w:r>
      <w:r w:rsidRPr="00327B3A">
        <w:rPr>
          <w:rFonts w:asciiTheme="majorHAnsi" w:hAnsiTheme="majorHAnsi" w:cstheme="majorHAnsi"/>
          <w:sz w:val="28"/>
          <w:szCs w:val="28"/>
        </w:rPr>
        <w:t xml:space="preserve">for any </w:t>
      </w:r>
      <w:r w:rsidR="00D37D84" w:rsidRPr="00327B3A">
        <w:rPr>
          <w:rFonts w:asciiTheme="majorHAnsi" w:hAnsiTheme="majorHAnsi" w:cstheme="majorHAnsi"/>
          <w:sz w:val="28"/>
          <w:szCs w:val="28"/>
        </w:rPr>
        <w:t xml:space="preserve">renewed </w:t>
      </w:r>
      <w:r w:rsidRPr="00327B3A">
        <w:rPr>
          <w:rFonts w:asciiTheme="majorHAnsi" w:hAnsiTheme="majorHAnsi" w:cstheme="majorHAnsi"/>
          <w:sz w:val="28"/>
          <w:szCs w:val="28"/>
        </w:rPr>
        <w:t>global effort to reform secondary education in SSA</w:t>
      </w:r>
      <w:r w:rsidR="009B3B3F" w:rsidRPr="00327B3A">
        <w:rPr>
          <w:rFonts w:asciiTheme="majorHAnsi" w:hAnsiTheme="majorHAnsi" w:cstheme="majorHAnsi"/>
          <w:sz w:val="28"/>
          <w:szCs w:val="28"/>
        </w:rPr>
        <w:t>.</w:t>
      </w:r>
      <w:r w:rsidR="00497138" w:rsidRPr="00327B3A">
        <w:rPr>
          <w:rFonts w:asciiTheme="majorHAnsi" w:hAnsiTheme="majorHAnsi" w:cstheme="majorHAnsi"/>
          <w:sz w:val="28"/>
          <w:szCs w:val="28"/>
        </w:rPr>
        <w:t xml:space="preserve"> </w:t>
      </w:r>
    </w:p>
    <w:p w:rsidR="009B3B3F" w:rsidRPr="00327B3A" w:rsidRDefault="00654711" w:rsidP="00577F32">
      <w:pPr>
        <w:jc w:val="both"/>
        <w:rPr>
          <w:rFonts w:asciiTheme="majorHAnsi" w:hAnsiTheme="majorHAnsi" w:cstheme="majorHAnsi"/>
          <w:i/>
          <w:sz w:val="28"/>
          <w:szCs w:val="28"/>
        </w:rPr>
      </w:pPr>
      <w:r w:rsidRPr="00327B3A">
        <w:rPr>
          <w:rFonts w:asciiTheme="majorHAnsi" w:hAnsiTheme="majorHAnsi" w:cstheme="majorHAnsi"/>
          <w:i/>
          <w:sz w:val="28"/>
          <w:szCs w:val="28"/>
        </w:rPr>
        <w:t xml:space="preserve"> </w:t>
      </w:r>
      <w:r w:rsidR="00295DC1" w:rsidRPr="00327B3A">
        <w:rPr>
          <w:rFonts w:asciiTheme="majorHAnsi" w:hAnsiTheme="majorHAnsi" w:cstheme="majorHAnsi"/>
          <w:i/>
          <w:sz w:val="28"/>
          <w:szCs w:val="28"/>
        </w:rPr>
        <w:t>Review organisation</w:t>
      </w:r>
    </w:p>
    <w:p w:rsidR="00CF3E1A" w:rsidRDefault="00CF3E1A" w:rsidP="00577F32">
      <w:pPr>
        <w:jc w:val="both"/>
        <w:rPr>
          <w:rFonts w:asciiTheme="majorHAnsi" w:hAnsiTheme="majorHAnsi" w:cstheme="majorHAnsi"/>
          <w:sz w:val="28"/>
          <w:szCs w:val="28"/>
        </w:rPr>
      </w:pPr>
      <w:r>
        <w:rPr>
          <w:rFonts w:asciiTheme="majorHAnsi" w:hAnsiTheme="majorHAnsi" w:cstheme="majorHAnsi"/>
          <w:sz w:val="28"/>
          <w:szCs w:val="28"/>
        </w:rPr>
        <w:t>S</w:t>
      </w:r>
      <w:r w:rsidR="00131968" w:rsidRPr="00327B3A">
        <w:rPr>
          <w:rFonts w:asciiTheme="majorHAnsi" w:hAnsiTheme="majorHAnsi" w:cstheme="majorHAnsi"/>
          <w:sz w:val="28"/>
          <w:szCs w:val="28"/>
        </w:rPr>
        <w:t>ection</w:t>
      </w:r>
      <w:r>
        <w:rPr>
          <w:rFonts w:asciiTheme="majorHAnsi" w:hAnsiTheme="majorHAnsi" w:cstheme="majorHAnsi"/>
          <w:sz w:val="28"/>
          <w:szCs w:val="28"/>
        </w:rPr>
        <w:t xml:space="preserve"> 2</w:t>
      </w:r>
      <w:r w:rsidR="00131968" w:rsidRPr="00327B3A">
        <w:rPr>
          <w:rFonts w:asciiTheme="majorHAnsi" w:hAnsiTheme="majorHAnsi" w:cstheme="majorHAnsi"/>
          <w:sz w:val="28"/>
          <w:szCs w:val="28"/>
        </w:rPr>
        <w:t xml:space="preserve"> of this</w:t>
      </w:r>
      <w:r w:rsidR="00295DC1" w:rsidRPr="00327B3A">
        <w:rPr>
          <w:rFonts w:asciiTheme="majorHAnsi" w:hAnsiTheme="majorHAnsi" w:cstheme="majorHAnsi"/>
          <w:sz w:val="28"/>
          <w:szCs w:val="28"/>
        </w:rPr>
        <w:t xml:space="preserve"> Review discusses </w:t>
      </w:r>
      <w:r w:rsidR="003633CB" w:rsidRPr="00327B3A">
        <w:rPr>
          <w:rFonts w:asciiTheme="majorHAnsi" w:hAnsiTheme="majorHAnsi" w:cstheme="majorHAnsi"/>
          <w:sz w:val="28"/>
          <w:szCs w:val="28"/>
        </w:rPr>
        <w:t xml:space="preserve">the </w:t>
      </w:r>
      <w:r w:rsidR="00B0343A" w:rsidRPr="00327B3A">
        <w:rPr>
          <w:rFonts w:asciiTheme="majorHAnsi" w:hAnsiTheme="majorHAnsi" w:cstheme="majorHAnsi"/>
          <w:sz w:val="28"/>
          <w:szCs w:val="28"/>
        </w:rPr>
        <w:t xml:space="preserve">three </w:t>
      </w:r>
      <w:r w:rsidR="00243785" w:rsidRPr="00327B3A">
        <w:rPr>
          <w:rFonts w:asciiTheme="majorHAnsi" w:hAnsiTheme="majorHAnsi" w:cstheme="majorHAnsi"/>
          <w:sz w:val="28"/>
          <w:szCs w:val="28"/>
        </w:rPr>
        <w:t xml:space="preserve">above-mentioned sets of </w:t>
      </w:r>
      <w:r w:rsidR="00295DC1" w:rsidRPr="00327B3A">
        <w:rPr>
          <w:rFonts w:asciiTheme="majorHAnsi" w:hAnsiTheme="majorHAnsi" w:cstheme="majorHAnsi"/>
          <w:sz w:val="28"/>
          <w:szCs w:val="28"/>
        </w:rPr>
        <w:t>concerns about the Report’s overall approach</w:t>
      </w:r>
      <w:r w:rsidR="00243785" w:rsidRPr="00327B3A">
        <w:rPr>
          <w:rFonts w:asciiTheme="majorHAnsi" w:hAnsiTheme="majorHAnsi" w:cstheme="majorHAnsi"/>
          <w:sz w:val="28"/>
          <w:szCs w:val="28"/>
        </w:rPr>
        <w:t xml:space="preserve"> and content</w:t>
      </w:r>
      <w:r w:rsidR="00295DC1" w:rsidRPr="00327B3A">
        <w:rPr>
          <w:rFonts w:asciiTheme="majorHAnsi" w:hAnsiTheme="majorHAnsi" w:cstheme="majorHAnsi"/>
          <w:sz w:val="28"/>
          <w:szCs w:val="28"/>
        </w:rPr>
        <w:t xml:space="preserve">. The </w:t>
      </w:r>
      <w:r w:rsidR="00B0343A" w:rsidRPr="00327B3A">
        <w:rPr>
          <w:rFonts w:asciiTheme="majorHAnsi" w:hAnsiTheme="majorHAnsi" w:cstheme="majorHAnsi"/>
          <w:sz w:val="28"/>
          <w:szCs w:val="28"/>
        </w:rPr>
        <w:t xml:space="preserve">third </w:t>
      </w:r>
      <w:r w:rsidR="00295DC1" w:rsidRPr="00327B3A">
        <w:rPr>
          <w:rFonts w:asciiTheme="majorHAnsi" w:hAnsiTheme="majorHAnsi" w:cstheme="majorHAnsi"/>
          <w:sz w:val="28"/>
          <w:szCs w:val="28"/>
        </w:rPr>
        <w:t xml:space="preserve">section then </w:t>
      </w:r>
      <w:r w:rsidR="00327903" w:rsidRPr="00327B3A">
        <w:rPr>
          <w:rFonts w:asciiTheme="majorHAnsi" w:hAnsiTheme="majorHAnsi" w:cstheme="majorHAnsi"/>
          <w:sz w:val="28"/>
          <w:szCs w:val="28"/>
        </w:rPr>
        <w:t xml:space="preserve">assesses the Report’s </w:t>
      </w:r>
      <w:r w:rsidR="001C2AEF" w:rsidRPr="00327B3A">
        <w:rPr>
          <w:rFonts w:asciiTheme="majorHAnsi" w:hAnsiTheme="majorHAnsi" w:cstheme="majorHAnsi"/>
          <w:sz w:val="28"/>
          <w:szCs w:val="28"/>
        </w:rPr>
        <w:t xml:space="preserve">situational </w:t>
      </w:r>
      <w:r w:rsidR="00327903" w:rsidRPr="00327B3A">
        <w:rPr>
          <w:rFonts w:asciiTheme="majorHAnsi" w:hAnsiTheme="majorHAnsi" w:cstheme="majorHAnsi"/>
          <w:sz w:val="28"/>
          <w:szCs w:val="28"/>
        </w:rPr>
        <w:t>analysis of secondary education in SSA</w:t>
      </w:r>
      <w:r w:rsidR="00CC32A5">
        <w:rPr>
          <w:rStyle w:val="FootnoteReference"/>
          <w:rFonts w:asciiTheme="majorHAnsi" w:hAnsiTheme="majorHAnsi" w:cstheme="majorHAnsi"/>
          <w:sz w:val="28"/>
          <w:szCs w:val="28"/>
        </w:rPr>
        <w:footnoteReference w:id="4"/>
      </w:r>
      <w:r w:rsidR="00327903" w:rsidRPr="00327B3A">
        <w:rPr>
          <w:rFonts w:asciiTheme="majorHAnsi" w:hAnsiTheme="majorHAnsi" w:cstheme="majorHAnsi"/>
          <w:sz w:val="28"/>
          <w:szCs w:val="28"/>
        </w:rPr>
        <w:t xml:space="preserve"> particularly with respect t</w:t>
      </w:r>
      <w:r w:rsidR="00B0343A" w:rsidRPr="00327B3A">
        <w:rPr>
          <w:rFonts w:asciiTheme="majorHAnsi" w:hAnsiTheme="majorHAnsi" w:cstheme="majorHAnsi"/>
          <w:sz w:val="28"/>
          <w:szCs w:val="28"/>
        </w:rPr>
        <w:t>o access and equity. S</w:t>
      </w:r>
      <w:r w:rsidR="00327903" w:rsidRPr="00327B3A">
        <w:rPr>
          <w:rFonts w:asciiTheme="majorHAnsi" w:hAnsiTheme="majorHAnsi" w:cstheme="majorHAnsi"/>
          <w:sz w:val="28"/>
          <w:szCs w:val="28"/>
        </w:rPr>
        <w:t xml:space="preserve">ection </w:t>
      </w:r>
      <w:r w:rsidR="00B0343A" w:rsidRPr="00327B3A">
        <w:rPr>
          <w:rFonts w:asciiTheme="majorHAnsi" w:hAnsiTheme="majorHAnsi" w:cstheme="majorHAnsi"/>
          <w:sz w:val="28"/>
          <w:szCs w:val="28"/>
        </w:rPr>
        <w:t xml:space="preserve">4 </w:t>
      </w:r>
      <w:r w:rsidR="00295DC1" w:rsidRPr="00327B3A">
        <w:rPr>
          <w:rFonts w:asciiTheme="majorHAnsi" w:hAnsiTheme="majorHAnsi" w:cstheme="majorHAnsi"/>
          <w:sz w:val="28"/>
          <w:szCs w:val="28"/>
        </w:rPr>
        <w:t>looks</w:t>
      </w:r>
      <w:r w:rsidR="00131968" w:rsidRPr="00327B3A">
        <w:rPr>
          <w:rFonts w:asciiTheme="majorHAnsi" w:hAnsiTheme="majorHAnsi" w:cstheme="majorHAnsi"/>
          <w:sz w:val="28"/>
          <w:szCs w:val="28"/>
        </w:rPr>
        <w:t>,</w:t>
      </w:r>
      <w:r w:rsidR="00295DC1" w:rsidRPr="00327B3A">
        <w:rPr>
          <w:rFonts w:asciiTheme="majorHAnsi" w:hAnsiTheme="majorHAnsi" w:cstheme="majorHAnsi"/>
          <w:sz w:val="28"/>
          <w:szCs w:val="28"/>
        </w:rPr>
        <w:t xml:space="preserve"> in turn</w:t>
      </w:r>
      <w:r w:rsidR="00131968" w:rsidRPr="00327B3A">
        <w:rPr>
          <w:rFonts w:asciiTheme="majorHAnsi" w:hAnsiTheme="majorHAnsi" w:cstheme="majorHAnsi"/>
          <w:sz w:val="28"/>
          <w:szCs w:val="28"/>
        </w:rPr>
        <w:t>,</w:t>
      </w:r>
      <w:r w:rsidR="00295DC1" w:rsidRPr="00327B3A">
        <w:rPr>
          <w:rFonts w:asciiTheme="majorHAnsi" w:hAnsiTheme="majorHAnsi" w:cstheme="majorHAnsi"/>
          <w:sz w:val="28"/>
          <w:szCs w:val="28"/>
        </w:rPr>
        <w:t xml:space="preserve"> at each of the main elements of the prop</w:t>
      </w:r>
      <w:r w:rsidR="00243785" w:rsidRPr="00327B3A">
        <w:rPr>
          <w:rFonts w:asciiTheme="majorHAnsi" w:hAnsiTheme="majorHAnsi" w:cstheme="majorHAnsi"/>
          <w:sz w:val="28"/>
          <w:szCs w:val="28"/>
        </w:rPr>
        <w:t xml:space="preserve">osed USE strategy including </w:t>
      </w:r>
      <w:r w:rsidR="00295DC1" w:rsidRPr="00327B3A">
        <w:rPr>
          <w:rFonts w:asciiTheme="majorHAnsi" w:hAnsiTheme="majorHAnsi" w:cstheme="majorHAnsi"/>
          <w:sz w:val="28"/>
          <w:szCs w:val="28"/>
        </w:rPr>
        <w:t>curriculum content and related pedagogy, teacher competence and commitment, system and school governance</w:t>
      </w:r>
      <w:r w:rsidR="00610EA4" w:rsidRPr="00327B3A">
        <w:rPr>
          <w:rFonts w:asciiTheme="majorHAnsi" w:hAnsiTheme="majorHAnsi" w:cstheme="majorHAnsi"/>
          <w:sz w:val="28"/>
          <w:szCs w:val="28"/>
        </w:rPr>
        <w:t>, and system restructuring</w:t>
      </w:r>
      <w:r w:rsidR="00295DC1" w:rsidRPr="00327B3A">
        <w:rPr>
          <w:rFonts w:asciiTheme="majorHAnsi" w:hAnsiTheme="majorHAnsi" w:cstheme="majorHAnsi"/>
          <w:sz w:val="28"/>
          <w:szCs w:val="28"/>
        </w:rPr>
        <w:t xml:space="preserve">. </w:t>
      </w:r>
      <w:r>
        <w:rPr>
          <w:rFonts w:asciiTheme="majorHAnsi" w:hAnsiTheme="majorHAnsi" w:cstheme="majorHAnsi"/>
          <w:sz w:val="28"/>
          <w:szCs w:val="28"/>
        </w:rPr>
        <w:t>Finally, s</w:t>
      </w:r>
      <w:r w:rsidR="00B0343A" w:rsidRPr="00327B3A">
        <w:rPr>
          <w:rFonts w:asciiTheme="majorHAnsi" w:hAnsiTheme="majorHAnsi" w:cstheme="majorHAnsi"/>
          <w:sz w:val="28"/>
          <w:szCs w:val="28"/>
        </w:rPr>
        <w:t xml:space="preserve">ection 5 discusses the </w:t>
      </w:r>
      <w:r w:rsidR="00131968" w:rsidRPr="00327B3A">
        <w:rPr>
          <w:rFonts w:asciiTheme="majorHAnsi" w:hAnsiTheme="majorHAnsi" w:cstheme="majorHAnsi"/>
          <w:sz w:val="28"/>
          <w:szCs w:val="28"/>
        </w:rPr>
        <w:t xml:space="preserve">importance of </w:t>
      </w:r>
      <w:r w:rsidR="00B0343A" w:rsidRPr="00327B3A">
        <w:rPr>
          <w:rFonts w:asciiTheme="majorHAnsi" w:hAnsiTheme="majorHAnsi" w:cstheme="majorHAnsi"/>
          <w:sz w:val="28"/>
          <w:szCs w:val="28"/>
        </w:rPr>
        <w:t>adopt</w:t>
      </w:r>
      <w:r w:rsidR="00131968" w:rsidRPr="00327B3A">
        <w:rPr>
          <w:rFonts w:asciiTheme="majorHAnsi" w:hAnsiTheme="majorHAnsi" w:cstheme="majorHAnsi"/>
          <w:sz w:val="28"/>
          <w:szCs w:val="28"/>
        </w:rPr>
        <w:t>ing</w:t>
      </w:r>
      <w:r w:rsidR="00B0343A" w:rsidRPr="00327B3A">
        <w:rPr>
          <w:rFonts w:asciiTheme="majorHAnsi" w:hAnsiTheme="majorHAnsi" w:cstheme="majorHAnsi"/>
          <w:sz w:val="28"/>
          <w:szCs w:val="28"/>
        </w:rPr>
        <w:t xml:space="preserve"> a comprehensive national human resources strategy as the overall framework in which specific education and training strategies including USE </w:t>
      </w:r>
      <w:r>
        <w:rPr>
          <w:rFonts w:asciiTheme="majorHAnsi" w:hAnsiTheme="majorHAnsi" w:cstheme="majorHAnsi"/>
          <w:sz w:val="28"/>
          <w:szCs w:val="28"/>
        </w:rPr>
        <w:t xml:space="preserve">must be </w:t>
      </w:r>
      <w:r w:rsidR="00243785" w:rsidRPr="00327B3A">
        <w:rPr>
          <w:rFonts w:asciiTheme="majorHAnsi" w:hAnsiTheme="majorHAnsi" w:cstheme="majorHAnsi"/>
          <w:sz w:val="28"/>
          <w:szCs w:val="28"/>
        </w:rPr>
        <w:t>located</w:t>
      </w:r>
      <w:r w:rsidR="00B0343A" w:rsidRPr="00327B3A">
        <w:rPr>
          <w:rFonts w:asciiTheme="majorHAnsi" w:hAnsiTheme="majorHAnsi" w:cstheme="majorHAnsi"/>
          <w:sz w:val="28"/>
          <w:szCs w:val="28"/>
        </w:rPr>
        <w:t>.</w:t>
      </w:r>
    </w:p>
    <w:p w:rsidR="00CF3E1A" w:rsidRDefault="00CF3E1A">
      <w:pPr>
        <w:rPr>
          <w:rFonts w:asciiTheme="majorHAnsi" w:hAnsiTheme="majorHAnsi" w:cstheme="majorHAnsi"/>
          <w:sz w:val="28"/>
          <w:szCs w:val="28"/>
        </w:rPr>
      </w:pPr>
      <w:r>
        <w:rPr>
          <w:rFonts w:asciiTheme="majorHAnsi" w:hAnsiTheme="majorHAnsi" w:cstheme="majorHAnsi"/>
          <w:sz w:val="28"/>
          <w:szCs w:val="28"/>
        </w:rPr>
        <w:br w:type="page"/>
      </w:r>
    </w:p>
    <w:p w:rsidR="00295DC1" w:rsidRPr="00327B3A" w:rsidRDefault="00B0343A" w:rsidP="00577F32">
      <w:pPr>
        <w:jc w:val="both"/>
        <w:rPr>
          <w:rFonts w:asciiTheme="majorHAnsi" w:hAnsiTheme="majorHAnsi" w:cstheme="majorHAnsi"/>
          <w:sz w:val="28"/>
          <w:szCs w:val="28"/>
        </w:rPr>
      </w:pPr>
      <w:r w:rsidRPr="00327B3A">
        <w:rPr>
          <w:rFonts w:asciiTheme="majorHAnsi" w:hAnsiTheme="majorHAnsi" w:cstheme="majorHAnsi"/>
          <w:sz w:val="28"/>
          <w:szCs w:val="28"/>
        </w:rPr>
        <w:lastRenderedPageBreak/>
        <w:t xml:space="preserve"> </w:t>
      </w:r>
    </w:p>
    <w:p w:rsidR="00290C62" w:rsidRPr="00327B3A" w:rsidRDefault="00327903" w:rsidP="00290C62">
      <w:pPr>
        <w:pStyle w:val="ListParagraph"/>
        <w:numPr>
          <w:ilvl w:val="0"/>
          <w:numId w:val="1"/>
        </w:numPr>
        <w:jc w:val="both"/>
        <w:rPr>
          <w:rFonts w:asciiTheme="majorHAnsi" w:hAnsiTheme="majorHAnsi" w:cstheme="majorHAnsi"/>
          <w:b/>
          <w:sz w:val="28"/>
          <w:szCs w:val="28"/>
        </w:rPr>
      </w:pPr>
      <w:r w:rsidRPr="00327B3A">
        <w:rPr>
          <w:rFonts w:asciiTheme="majorHAnsi" w:hAnsiTheme="majorHAnsi" w:cstheme="majorHAnsi"/>
          <w:b/>
          <w:sz w:val="28"/>
          <w:szCs w:val="28"/>
        </w:rPr>
        <w:t>C</w:t>
      </w:r>
      <w:r w:rsidR="002D4BB8" w:rsidRPr="00327B3A">
        <w:rPr>
          <w:rFonts w:asciiTheme="majorHAnsi" w:hAnsiTheme="majorHAnsi" w:cstheme="majorHAnsi"/>
          <w:b/>
          <w:sz w:val="28"/>
          <w:szCs w:val="28"/>
        </w:rPr>
        <w:t>ross-cutting issues</w:t>
      </w:r>
    </w:p>
    <w:p w:rsidR="00CC32A5" w:rsidRDefault="00B0343A" w:rsidP="00CC32A5">
      <w:pPr>
        <w:jc w:val="both"/>
        <w:rPr>
          <w:rFonts w:asciiTheme="majorHAnsi" w:hAnsiTheme="majorHAnsi" w:cstheme="majorHAnsi"/>
          <w:sz w:val="28"/>
          <w:szCs w:val="28"/>
        </w:rPr>
      </w:pPr>
      <w:r w:rsidRPr="00327B3A">
        <w:rPr>
          <w:rFonts w:asciiTheme="majorHAnsi" w:hAnsiTheme="majorHAnsi" w:cstheme="majorHAnsi"/>
          <w:sz w:val="28"/>
          <w:szCs w:val="28"/>
        </w:rPr>
        <w:t xml:space="preserve">The following discussion focuses on three </w:t>
      </w:r>
      <w:r w:rsidR="007A6956" w:rsidRPr="00327B3A">
        <w:rPr>
          <w:rFonts w:asciiTheme="majorHAnsi" w:hAnsiTheme="majorHAnsi" w:cstheme="majorHAnsi"/>
          <w:sz w:val="28"/>
          <w:szCs w:val="28"/>
        </w:rPr>
        <w:t xml:space="preserve">important </w:t>
      </w:r>
      <w:r w:rsidRPr="00327B3A">
        <w:rPr>
          <w:rFonts w:asciiTheme="majorHAnsi" w:hAnsiTheme="majorHAnsi" w:cstheme="majorHAnsi"/>
          <w:sz w:val="28"/>
          <w:szCs w:val="28"/>
        </w:rPr>
        <w:t xml:space="preserve">shortcomings of the Report namely the </w:t>
      </w:r>
      <w:r w:rsidR="007A6956" w:rsidRPr="00327B3A">
        <w:rPr>
          <w:rFonts w:asciiTheme="majorHAnsi" w:hAnsiTheme="majorHAnsi" w:cstheme="majorHAnsi"/>
          <w:sz w:val="28"/>
          <w:szCs w:val="28"/>
        </w:rPr>
        <w:t xml:space="preserve">narrowness of its conceptual framework, </w:t>
      </w:r>
      <w:r w:rsidRPr="00327B3A">
        <w:rPr>
          <w:rFonts w:asciiTheme="majorHAnsi" w:hAnsiTheme="majorHAnsi" w:cstheme="majorHAnsi"/>
          <w:sz w:val="28"/>
          <w:szCs w:val="28"/>
        </w:rPr>
        <w:t>w</w:t>
      </w:r>
      <w:r w:rsidR="005C4D1D" w:rsidRPr="00327B3A">
        <w:rPr>
          <w:rFonts w:asciiTheme="majorHAnsi" w:hAnsiTheme="majorHAnsi" w:cstheme="majorHAnsi"/>
          <w:sz w:val="28"/>
          <w:szCs w:val="28"/>
        </w:rPr>
        <w:t>eak</w:t>
      </w:r>
      <w:r w:rsidR="007A6956" w:rsidRPr="00327B3A">
        <w:rPr>
          <w:rFonts w:asciiTheme="majorHAnsi" w:hAnsiTheme="majorHAnsi" w:cstheme="majorHAnsi"/>
          <w:sz w:val="28"/>
          <w:szCs w:val="28"/>
        </w:rPr>
        <w:t>nesses in the</w:t>
      </w:r>
      <w:r w:rsidR="005C4D1D" w:rsidRPr="00327B3A">
        <w:rPr>
          <w:rFonts w:asciiTheme="majorHAnsi" w:hAnsiTheme="majorHAnsi" w:cstheme="majorHAnsi"/>
          <w:sz w:val="28"/>
          <w:szCs w:val="28"/>
        </w:rPr>
        <w:t xml:space="preserve"> evidence-base for the Report</w:t>
      </w:r>
      <w:r w:rsidR="00131968" w:rsidRPr="00327B3A">
        <w:rPr>
          <w:rFonts w:asciiTheme="majorHAnsi" w:hAnsiTheme="majorHAnsi" w:cstheme="majorHAnsi"/>
          <w:sz w:val="28"/>
          <w:szCs w:val="28"/>
        </w:rPr>
        <w:t xml:space="preserve">’s USE strategy </w:t>
      </w:r>
      <w:r w:rsidR="00CF3E1A">
        <w:rPr>
          <w:rFonts w:asciiTheme="majorHAnsi" w:hAnsiTheme="majorHAnsi" w:cstheme="majorHAnsi"/>
          <w:sz w:val="28"/>
          <w:szCs w:val="28"/>
        </w:rPr>
        <w:t>(</w:t>
      </w:r>
      <w:r w:rsidR="007A6956" w:rsidRPr="00327B3A">
        <w:rPr>
          <w:rFonts w:asciiTheme="majorHAnsi" w:hAnsiTheme="majorHAnsi" w:cstheme="majorHAnsi"/>
          <w:sz w:val="28"/>
          <w:szCs w:val="28"/>
        </w:rPr>
        <w:t>coupled with insufficient attention devoted to examining the outcomes of previous and on-going policy interventions</w:t>
      </w:r>
      <w:r w:rsidR="00CF3E1A">
        <w:rPr>
          <w:rFonts w:asciiTheme="majorHAnsi" w:hAnsiTheme="majorHAnsi" w:cstheme="majorHAnsi"/>
          <w:sz w:val="28"/>
          <w:szCs w:val="28"/>
        </w:rPr>
        <w:t>)</w:t>
      </w:r>
      <w:r w:rsidR="007A6956" w:rsidRPr="00327B3A">
        <w:rPr>
          <w:rFonts w:asciiTheme="majorHAnsi" w:hAnsiTheme="majorHAnsi" w:cstheme="majorHAnsi"/>
          <w:sz w:val="28"/>
          <w:szCs w:val="28"/>
        </w:rPr>
        <w:t xml:space="preserve"> and </w:t>
      </w:r>
      <w:r w:rsidR="00CF3E1A">
        <w:rPr>
          <w:rFonts w:asciiTheme="majorHAnsi" w:hAnsiTheme="majorHAnsi" w:cstheme="majorHAnsi"/>
          <w:sz w:val="28"/>
          <w:szCs w:val="28"/>
        </w:rPr>
        <w:t xml:space="preserve">its </w:t>
      </w:r>
      <w:r w:rsidR="005C4D1D" w:rsidRPr="00327B3A">
        <w:rPr>
          <w:rFonts w:asciiTheme="majorHAnsi" w:hAnsiTheme="majorHAnsi" w:cstheme="majorHAnsi"/>
          <w:sz w:val="28"/>
          <w:szCs w:val="28"/>
        </w:rPr>
        <w:t xml:space="preserve">under-estimation of the challenges of successfully implementing the proposed </w:t>
      </w:r>
      <w:r w:rsidR="00290C62" w:rsidRPr="00327B3A">
        <w:rPr>
          <w:rFonts w:asciiTheme="majorHAnsi" w:hAnsiTheme="majorHAnsi" w:cstheme="majorHAnsi"/>
          <w:sz w:val="28"/>
          <w:szCs w:val="28"/>
        </w:rPr>
        <w:t xml:space="preserve">reforms </w:t>
      </w:r>
      <w:r w:rsidR="00131968" w:rsidRPr="00327B3A">
        <w:rPr>
          <w:rFonts w:asciiTheme="majorHAnsi" w:hAnsiTheme="majorHAnsi" w:cstheme="majorHAnsi"/>
          <w:sz w:val="28"/>
          <w:szCs w:val="28"/>
        </w:rPr>
        <w:t>for secondary education in SSA.</w:t>
      </w:r>
    </w:p>
    <w:p w:rsidR="003C4C09" w:rsidRPr="00327B3A" w:rsidRDefault="003C4C09" w:rsidP="00CC32A5">
      <w:pPr>
        <w:jc w:val="both"/>
        <w:rPr>
          <w:rFonts w:asciiTheme="majorHAnsi" w:hAnsiTheme="majorHAnsi" w:cstheme="majorHAnsi"/>
          <w:i/>
          <w:sz w:val="28"/>
          <w:szCs w:val="28"/>
        </w:rPr>
      </w:pPr>
      <w:r w:rsidRPr="00327B3A">
        <w:rPr>
          <w:rFonts w:asciiTheme="majorHAnsi" w:hAnsiTheme="majorHAnsi" w:cstheme="majorHAnsi"/>
          <w:i/>
          <w:sz w:val="28"/>
          <w:szCs w:val="28"/>
        </w:rPr>
        <w:t xml:space="preserve">The political economy of secondary education reform </w:t>
      </w:r>
    </w:p>
    <w:p w:rsidR="005C4D1D" w:rsidRPr="00327B3A" w:rsidRDefault="005C4D1D" w:rsidP="005C4D1D">
      <w:pPr>
        <w:jc w:val="both"/>
        <w:rPr>
          <w:rFonts w:asciiTheme="majorHAnsi" w:hAnsiTheme="majorHAnsi" w:cstheme="majorHAnsi"/>
          <w:sz w:val="28"/>
          <w:szCs w:val="28"/>
        </w:rPr>
      </w:pPr>
      <w:r w:rsidRPr="00327B3A">
        <w:rPr>
          <w:rFonts w:asciiTheme="majorHAnsi" w:hAnsiTheme="majorHAnsi" w:cstheme="majorHAnsi"/>
          <w:sz w:val="28"/>
          <w:szCs w:val="28"/>
        </w:rPr>
        <w:t xml:space="preserve">In common with other </w:t>
      </w:r>
      <w:r w:rsidR="00E533EC" w:rsidRPr="00327B3A">
        <w:rPr>
          <w:rFonts w:asciiTheme="majorHAnsi" w:hAnsiTheme="majorHAnsi" w:cstheme="majorHAnsi"/>
          <w:sz w:val="28"/>
          <w:szCs w:val="28"/>
        </w:rPr>
        <w:t xml:space="preserve">overview </w:t>
      </w:r>
      <w:r w:rsidRPr="00327B3A">
        <w:rPr>
          <w:rFonts w:asciiTheme="majorHAnsi" w:hAnsiTheme="majorHAnsi" w:cstheme="majorHAnsi"/>
          <w:sz w:val="28"/>
          <w:szCs w:val="28"/>
        </w:rPr>
        <w:t xml:space="preserve">reports on </w:t>
      </w:r>
      <w:r w:rsidR="00E533EC" w:rsidRPr="00327B3A">
        <w:rPr>
          <w:rFonts w:asciiTheme="majorHAnsi" w:hAnsiTheme="majorHAnsi" w:cstheme="majorHAnsi"/>
          <w:sz w:val="28"/>
          <w:szCs w:val="28"/>
        </w:rPr>
        <w:t xml:space="preserve">the future of </w:t>
      </w:r>
      <w:r w:rsidRPr="00327B3A">
        <w:rPr>
          <w:rFonts w:asciiTheme="majorHAnsi" w:hAnsiTheme="majorHAnsi" w:cstheme="majorHAnsi"/>
          <w:sz w:val="28"/>
          <w:szCs w:val="28"/>
        </w:rPr>
        <w:t>education</w:t>
      </w:r>
      <w:r w:rsidR="00E533EC" w:rsidRPr="00327B3A">
        <w:rPr>
          <w:rFonts w:asciiTheme="majorHAnsi" w:hAnsiTheme="majorHAnsi" w:cstheme="majorHAnsi"/>
          <w:sz w:val="28"/>
          <w:szCs w:val="28"/>
        </w:rPr>
        <w:t xml:space="preserve"> </w:t>
      </w:r>
      <w:r w:rsidR="00131968" w:rsidRPr="00327B3A">
        <w:rPr>
          <w:rFonts w:asciiTheme="majorHAnsi" w:hAnsiTheme="majorHAnsi" w:cstheme="majorHAnsi"/>
          <w:sz w:val="28"/>
          <w:szCs w:val="28"/>
        </w:rPr>
        <w:t xml:space="preserve">and training </w:t>
      </w:r>
      <w:r w:rsidR="00E533EC" w:rsidRPr="00327B3A">
        <w:rPr>
          <w:rFonts w:asciiTheme="majorHAnsi" w:hAnsiTheme="majorHAnsi" w:cstheme="majorHAnsi"/>
          <w:sz w:val="28"/>
          <w:szCs w:val="28"/>
        </w:rPr>
        <w:t xml:space="preserve">in SSA which are periodically produced </w:t>
      </w:r>
      <w:r w:rsidRPr="00327B3A">
        <w:rPr>
          <w:rFonts w:asciiTheme="majorHAnsi" w:hAnsiTheme="majorHAnsi" w:cstheme="majorHAnsi"/>
          <w:sz w:val="28"/>
          <w:szCs w:val="28"/>
        </w:rPr>
        <w:t xml:space="preserve">by </w:t>
      </w:r>
      <w:r w:rsidR="00FB1597" w:rsidRPr="00327B3A">
        <w:rPr>
          <w:rFonts w:asciiTheme="majorHAnsi" w:hAnsiTheme="majorHAnsi" w:cstheme="majorHAnsi"/>
          <w:sz w:val="28"/>
          <w:szCs w:val="28"/>
        </w:rPr>
        <w:t xml:space="preserve">the </w:t>
      </w:r>
      <w:r w:rsidRPr="00327B3A">
        <w:rPr>
          <w:rFonts w:asciiTheme="majorHAnsi" w:hAnsiTheme="majorHAnsi" w:cstheme="majorHAnsi"/>
          <w:sz w:val="28"/>
          <w:szCs w:val="28"/>
        </w:rPr>
        <w:t xml:space="preserve">World Bank and other major international organisations (UNESCO, </w:t>
      </w:r>
      <w:r w:rsidR="00131968" w:rsidRPr="00327B3A">
        <w:rPr>
          <w:rFonts w:asciiTheme="majorHAnsi" w:hAnsiTheme="majorHAnsi" w:cstheme="majorHAnsi"/>
          <w:sz w:val="28"/>
          <w:szCs w:val="28"/>
        </w:rPr>
        <w:t xml:space="preserve">UNICEF, </w:t>
      </w:r>
      <w:r w:rsidRPr="00327B3A">
        <w:rPr>
          <w:rFonts w:asciiTheme="majorHAnsi" w:hAnsiTheme="majorHAnsi" w:cstheme="majorHAnsi"/>
          <w:sz w:val="28"/>
          <w:szCs w:val="28"/>
        </w:rPr>
        <w:t xml:space="preserve">ILO etc.), the </w:t>
      </w:r>
      <w:r w:rsidR="00E533EC" w:rsidRPr="00327B3A">
        <w:rPr>
          <w:rFonts w:asciiTheme="majorHAnsi" w:hAnsiTheme="majorHAnsi" w:cstheme="majorHAnsi"/>
          <w:sz w:val="28"/>
          <w:szCs w:val="28"/>
        </w:rPr>
        <w:t xml:space="preserve">Report’s overall conceptual framework is </w:t>
      </w:r>
      <w:r w:rsidR="00FB1597" w:rsidRPr="00327B3A">
        <w:rPr>
          <w:rFonts w:asciiTheme="majorHAnsi" w:hAnsiTheme="majorHAnsi" w:cstheme="majorHAnsi"/>
          <w:sz w:val="28"/>
          <w:szCs w:val="28"/>
        </w:rPr>
        <w:t xml:space="preserve">too narrowly </w:t>
      </w:r>
      <w:r w:rsidR="00E533EC" w:rsidRPr="00327B3A">
        <w:rPr>
          <w:rFonts w:asciiTheme="majorHAnsi" w:hAnsiTheme="majorHAnsi" w:cstheme="majorHAnsi"/>
          <w:sz w:val="28"/>
          <w:szCs w:val="28"/>
        </w:rPr>
        <w:t>technic</w:t>
      </w:r>
      <w:r w:rsidR="00FB1597" w:rsidRPr="00327B3A">
        <w:rPr>
          <w:rFonts w:asciiTheme="majorHAnsi" w:hAnsiTheme="majorHAnsi" w:cstheme="majorHAnsi"/>
          <w:sz w:val="28"/>
          <w:szCs w:val="28"/>
        </w:rPr>
        <w:t>al</w:t>
      </w:r>
      <w:r w:rsidR="00E533EC" w:rsidRPr="00327B3A">
        <w:rPr>
          <w:rFonts w:asciiTheme="majorHAnsi" w:hAnsiTheme="majorHAnsi" w:cstheme="majorHAnsi"/>
          <w:sz w:val="28"/>
          <w:szCs w:val="28"/>
        </w:rPr>
        <w:t xml:space="preserve"> and ahistorical</w:t>
      </w:r>
      <w:r w:rsidR="00CF3E1A">
        <w:rPr>
          <w:rFonts w:asciiTheme="majorHAnsi" w:hAnsiTheme="majorHAnsi" w:cstheme="majorHAnsi"/>
          <w:sz w:val="28"/>
          <w:szCs w:val="28"/>
        </w:rPr>
        <w:t xml:space="preserve">. As a result, </w:t>
      </w:r>
      <w:r w:rsidR="00E533EC" w:rsidRPr="00327B3A">
        <w:rPr>
          <w:rFonts w:asciiTheme="majorHAnsi" w:hAnsiTheme="majorHAnsi" w:cstheme="majorHAnsi"/>
          <w:sz w:val="28"/>
          <w:szCs w:val="28"/>
        </w:rPr>
        <w:t>its situational</w:t>
      </w:r>
      <w:r w:rsidR="003C4C09" w:rsidRPr="00327B3A">
        <w:rPr>
          <w:rFonts w:asciiTheme="majorHAnsi" w:hAnsiTheme="majorHAnsi" w:cstheme="majorHAnsi"/>
          <w:sz w:val="28"/>
          <w:szCs w:val="28"/>
        </w:rPr>
        <w:t xml:space="preserve"> analysis</w:t>
      </w:r>
      <w:r w:rsidR="00E533EC" w:rsidRPr="00327B3A">
        <w:rPr>
          <w:rFonts w:asciiTheme="majorHAnsi" w:hAnsiTheme="majorHAnsi" w:cstheme="majorHAnsi"/>
          <w:sz w:val="28"/>
          <w:szCs w:val="28"/>
        </w:rPr>
        <w:t xml:space="preserve"> and proposed recommendations </w:t>
      </w:r>
      <w:r w:rsidR="00CF3E1A">
        <w:rPr>
          <w:rFonts w:asciiTheme="majorHAnsi" w:hAnsiTheme="majorHAnsi" w:cstheme="majorHAnsi"/>
          <w:sz w:val="28"/>
          <w:szCs w:val="28"/>
        </w:rPr>
        <w:t xml:space="preserve">do not </w:t>
      </w:r>
      <w:r w:rsidR="00D85FF8">
        <w:rPr>
          <w:rFonts w:asciiTheme="majorHAnsi" w:hAnsiTheme="majorHAnsi" w:cstheme="majorHAnsi"/>
          <w:sz w:val="28"/>
          <w:szCs w:val="28"/>
        </w:rPr>
        <w:t xml:space="preserve">take </w:t>
      </w:r>
      <w:r w:rsidR="00CF3E1A">
        <w:rPr>
          <w:rFonts w:asciiTheme="majorHAnsi" w:hAnsiTheme="majorHAnsi" w:cstheme="majorHAnsi"/>
          <w:sz w:val="28"/>
          <w:szCs w:val="28"/>
        </w:rPr>
        <w:t xml:space="preserve">in consideration </w:t>
      </w:r>
      <w:r w:rsidR="00D85FF8">
        <w:rPr>
          <w:rFonts w:asciiTheme="majorHAnsi" w:hAnsiTheme="majorHAnsi" w:cstheme="majorHAnsi"/>
          <w:sz w:val="28"/>
          <w:szCs w:val="28"/>
        </w:rPr>
        <w:t xml:space="preserve">how </w:t>
      </w:r>
      <w:r w:rsidR="00E533EC" w:rsidRPr="00327B3A">
        <w:rPr>
          <w:rFonts w:asciiTheme="majorHAnsi" w:hAnsiTheme="majorHAnsi" w:cstheme="majorHAnsi"/>
          <w:sz w:val="28"/>
          <w:szCs w:val="28"/>
        </w:rPr>
        <w:t>economic, s</w:t>
      </w:r>
      <w:r w:rsidR="00FB1597" w:rsidRPr="00327B3A">
        <w:rPr>
          <w:rFonts w:asciiTheme="majorHAnsi" w:hAnsiTheme="majorHAnsi" w:cstheme="majorHAnsi"/>
          <w:sz w:val="28"/>
          <w:szCs w:val="28"/>
        </w:rPr>
        <w:t xml:space="preserve">ocial and political structures and </w:t>
      </w:r>
      <w:r w:rsidR="007219FF">
        <w:rPr>
          <w:rFonts w:asciiTheme="majorHAnsi" w:hAnsiTheme="majorHAnsi" w:cstheme="majorHAnsi"/>
          <w:sz w:val="28"/>
          <w:szCs w:val="28"/>
        </w:rPr>
        <w:t xml:space="preserve">power </w:t>
      </w:r>
      <w:r w:rsidR="00E533EC" w:rsidRPr="00327B3A">
        <w:rPr>
          <w:rFonts w:asciiTheme="majorHAnsi" w:hAnsiTheme="majorHAnsi" w:cstheme="majorHAnsi"/>
          <w:sz w:val="28"/>
          <w:szCs w:val="28"/>
        </w:rPr>
        <w:t xml:space="preserve">relations </w:t>
      </w:r>
      <w:r w:rsidR="00131968" w:rsidRPr="00327B3A">
        <w:rPr>
          <w:rFonts w:asciiTheme="majorHAnsi" w:hAnsiTheme="majorHAnsi" w:cstheme="majorHAnsi"/>
          <w:sz w:val="28"/>
          <w:szCs w:val="28"/>
        </w:rPr>
        <w:t xml:space="preserve">collectively </w:t>
      </w:r>
      <w:r w:rsidR="00E533EC" w:rsidRPr="00327B3A">
        <w:rPr>
          <w:rFonts w:asciiTheme="majorHAnsi" w:hAnsiTheme="majorHAnsi" w:cstheme="majorHAnsi"/>
          <w:sz w:val="28"/>
          <w:szCs w:val="28"/>
        </w:rPr>
        <w:t>shape the prospects for education development in SSA.</w:t>
      </w:r>
      <w:r w:rsidR="00131968" w:rsidRPr="00327B3A">
        <w:rPr>
          <w:rFonts w:asciiTheme="majorHAnsi" w:hAnsiTheme="majorHAnsi" w:cstheme="majorHAnsi"/>
          <w:sz w:val="28"/>
          <w:szCs w:val="28"/>
        </w:rPr>
        <w:t xml:space="preserve"> </w:t>
      </w:r>
      <w:r w:rsidR="00FB1597" w:rsidRPr="00327B3A">
        <w:rPr>
          <w:rFonts w:asciiTheme="majorHAnsi" w:hAnsiTheme="majorHAnsi" w:cstheme="majorHAnsi"/>
          <w:sz w:val="28"/>
          <w:szCs w:val="28"/>
        </w:rPr>
        <w:t>T</w:t>
      </w:r>
      <w:r w:rsidR="00131968" w:rsidRPr="00327B3A">
        <w:rPr>
          <w:rFonts w:asciiTheme="majorHAnsi" w:hAnsiTheme="majorHAnsi" w:cstheme="majorHAnsi"/>
          <w:sz w:val="28"/>
          <w:szCs w:val="28"/>
        </w:rPr>
        <w:t xml:space="preserve">he Report </w:t>
      </w:r>
      <w:r w:rsidR="001228BA" w:rsidRPr="00327B3A">
        <w:rPr>
          <w:rFonts w:asciiTheme="majorHAnsi" w:hAnsiTheme="majorHAnsi" w:cstheme="majorHAnsi"/>
          <w:sz w:val="28"/>
          <w:szCs w:val="28"/>
        </w:rPr>
        <w:t xml:space="preserve">does </w:t>
      </w:r>
      <w:r w:rsidR="00FB1597" w:rsidRPr="00327B3A">
        <w:rPr>
          <w:rFonts w:asciiTheme="majorHAnsi" w:hAnsiTheme="majorHAnsi" w:cstheme="majorHAnsi"/>
          <w:sz w:val="28"/>
          <w:szCs w:val="28"/>
        </w:rPr>
        <w:t xml:space="preserve">mention </w:t>
      </w:r>
      <w:r w:rsidR="003C4C09" w:rsidRPr="00327B3A">
        <w:rPr>
          <w:rFonts w:asciiTheme="majorHAnsi" w:hAnsiTheme="majorHAnsi" w:cstheme="majorHAnsi"/>
          <w:sz w:val="28"/>
          <w:szCs w:val="28"/>
        </w:rPr>
        <w:t>the importance of ‘vision and political will’, ‘broad coalitions’</w:t>
      </w:r>
      <w:r w:rsidR="00537DFE" w:rsidRPr="00327B3A">
        <w:rPr>
          <w:rFonts w:asciiTheme="majorHAnsi" w:hAnsiTheme="majorHAnsi" w:cstheme="majorHAnsi"/>
          <w:sz w:val="28"/>
          <w:szCs w:val="28"/>
        </w:rPr>
        <w:t xml:space="preserve">, </w:t>
      </w:r>
      <w:r w:rsidR="003C4C09" w:rsidRPr="00327B3A">
        <w:rPr>
          <w:rFonts w:asciiTheme="majorHAnsi" w:hAnsiTheme="majorHAnsi" w:cstheme="majorHAnsi"/>
          <w:sz w:val="28"/>
          <w:szCs w:val="28"/>
        </w:rPr>
        <w:t>‘partnerships’</w:t>
      </w:r>
      <w:r w:rsidR="00537DFE" w:rsidRPr="00327B3A">
        <w:rPr>
          <w:rFonts w:asciiTheme="majorHAnsi" w:hAnsiTheme="majorHAnsi" w:cstheme="majorHAnsi"/>
          <w:sz w:val="28"/>
          <w:szCs w:val="28"/>
        </w:rPr>
        <w:t>, ‘roles’ and ‘accountability’</w:t>
      </w:r>
      <w:r w:rsidR="003C4C09" w:rsidRPr="00327B3A">
        <w:rPr>
          <w:rFonts w:asciiTheme="majorHAnsi" w:hAnsiTheme="majorHAnsi" w:cstheme="majorHAnsi"/>
          <w:sz w:val="28"/>
          <w:szCs w:val="28"/>
        </w:rPr>
        <w:t xml:space="preserve"> (p.20), </w:t>
      </w:r>
      <w:r w:rsidR="00FB1597" w:rsidRPr="00327B3A">
        <w:rPr>
          <w:rFonts w:asciiTheme="majorHAnsi" w:hAnsiTheme="majorHAnsi" w:cstheme="majorHAnsi"/>
          <w:sz w:val="28"/>
          <w:szCs w:val="28"/>
        </w:rPr>
        <w:t xml:space="preserve">but </w:t>
      </w:r>
      <w:r w:rsidR="00390D0B">
        <w:rPr>
          <w:rFonts w:asciiTheme="majorHAnsi" w:hAnsiTheme="majorHAnsi" w:cstheme="majorHAnsi"/>
          <w:sz w:val="28"/>
          <w:szCs w:val="28"/>
        </w:rPr>
        <w:t xml:space="preserve">does not </w:t>
      </w:r>
      <w:r w:rsidR="00537DFE" w:rsidRPr="00327B3A">
        <w:rPr>
          <w:rFonts w:asciiTheme="majorHAnsi" w:hAnsiTheme="majorHAnsi" w:cstheme="majorHAnsi"/>
          <w:sz w:val="28"/>
          <w:szCs w:val="28"/>
        </w:rPr>
        <w:t>analyse these in a coherent</w:t>
      </w:r>
      <w:r w:rsidR="00FB1597" w:rsidRPr="00327B3A">
        <w:rPr>
          <w:rFonts w:asciiTheme="majorHAnsi" w:hAnsiTheme="majorHAnsi" w:cstheme="majorHAnsi"/>
          <w:sz w:val="28"/>
          <w:szCs w:val="28"/>
        </w:rPr>
        <w:t>, holistic</w:t>
      </w:r>
      <w:r w:rsidR="00537DFE" w:rsidRPr="00327B3A">
        <w:rPr>
          <w:rFonts w:asciiTheme="majorHAnsi" w:hAnsiTheme="majorHAnsi" w:cstheme="majorHAnsi"/>
          <w:sz w:val="28"/>
          <w:szCs w:val="28"/>
        </w:rPr>
        <w:t xml:space="preserve"> and </w:t>
      </w:r>
      <w:r w:rsidR="00131968" w:rsidRPr="00327B3A">
        <w:rPr>
          <w:rFonts w:asciiTheme="majorHAnsi" w:hAnsiTheme="majorHAnsi" w:cstheme="majorHAnsi"/>
          <w:sz w:val="28"/>
          <w:szCs w:val="28"/>
        </w:rPr>
        <w:t xml:space="preserve">sufficiently </w:t>
      </w:r>
      <w:r w:rsidR="00537DFE" w:rsidRPr="00327B3A">
        <w:rPr>
          <w:rFonts w:asciiTheme="majorHAnsi" w:hAnsiTheme="majorHAnsi" w:cstheme="majorHAnsi"/>
          <w:sz w:val="28"/>
          <w:szCs w:val="28"/>
        </w:rPr>
        <w:t xml:space="preserve">detailed manner. </w:t>
      </w:r>
      <w:r w:rsidR="00131968" w:rsidRPr="00327B3A">
        <w:rPr>
          <w:rFonts w:asciiTheme="majorHAnsi" w:hAnsiTheme="majorHAnsi" w:cstheme="majorHAnsi"/>
          <w:sz w:val="28"/>
          <w:szCs w:val="28"/>
        </w:rPr>
        <w:t xml:space="preserve">This requires </w:t>
      </w:r>
      <w:r w:rsidR="00FB1597" w:rsidRPr="00327B3A">
        <w:rPr>
          <w:rFonts w:asciiTheme="majorHAnsi" w:hAnsiTheme="majorHAnsi" w:cstheme="majorHAnsi"/>
          <w:sz w:val="28"/>
          <w:szCs w:val="28"/>
        </w:rPr>
        <w:t xml:space="preserve">a </w:t>
      </w:r>
      <w:r w:rsidRPr="00327B3A">
        <w:rPr>
          <w:rFonts w:asciiTheme="majorHAnsi" w:hAnsiTheme="majorHAnsi" w:cstheme="majorHAnsi"/>
          <w:sz w:val="28"/>
          <w:szCs w:val="28"/>
        </w:rPr>
        <w:t>multi-disciplinary political economy approach which</w:t>
      </w:r>
      <w:r w:rsidR="003C4C09" w:rsidRPr="00327B3A">
        <w:rPr>
          <w:rFonts w:asciiTheme="majorHAnsi" w:hAnsiTheme="majorHAnsi" w:cstheme="majorHAnsi"/>
          <w:sz w:val="28"/>
          <w:szCs w:val="28"/>
        </w:rPr>
        <w:t>,</w:t>
      </w:r>
      <w:r w:rsidRPr="00327B3A">
        <w:rPr>
          <w:rFonts w:asciiTheme="majorHAnsi" w:hAnsiTheme="majorHAnsi" w:cstheme="majorHAnsi"/>
          <w:sz w:val="28"/>
          <w:szCs w:val="28"/>
        </w:rPr>
        <w:t xml:space="preserve"> </w:t>
      </w:r>
      <w:r w:rsidR="003C4C09" w:rsidRPr="00327B3A">
        <w:rPr>
          <w:rFonts w:asciiTheme="majorHAnsi" w:hAnsiTheme="majorHAnsi" w:cstheme="majorHAnsi"/>
          <w:sz w:val="28"/>
          <w:szCs w:val="28"/>
        </w:rPr>
        <w:t xml:space="preserve">in particular, enables realistic assessments to be made of </w:t>
      </w:r>
      <w:r w:rsidR="001228BA" w:rsidRPr="00327B3A">
        <w:rPr>
          <w:rFonts w:asciiTheme="majorHAnsi" w:hAnsiTheme="majorHAnsi" w:cstheme="majorHAnsi"/>
          <w:sz w:val="28"/>
          <w:szCs w:val="28"/>
        </w:rPr>
        <w:t xml:space="preserve">the </w:t>
      </w:r>
      <w:r w:rsidR="003C4C09" w:rsidRPr="00327B3A">
        <w:rPr>
          <w:rFonts w:asciiTheme="majorHAnsi" w:hAnsiTheme="majorHAnsi" w:cstheme="majorHAnsi"/>
          <w:sz w:val="28"/>
          <w:szCs w:val="28"/>
        </w:rPr>
        <w:t>overall levels of p</w:t>
      </w:r>
      <w:r w:rsidRPr="00327B3A">
        <w:rPr>
          <w:rFonts w:asciiTheme="majorHAnsi" w:hAnsiTheme="majorHAnsi" w:cstheme="majorHAnsi"/>
          <w:sz w:val="28"/>
          <w:szCs w:val="28"/>
        </w:rPr>
        <w:t xml:space="preserve">olitical commitment to </w:t>
      </w:r>
      <w:r w:rsidR="003C4C09" w:rsidRPr="00327B3A">
        <w:rPr>
          <w:rFonts w:asciiTheme="majorHAnsi" w:hAnsiTheme="majorHAnsi" w:cstheme="majorHAnsi"/>
          <w:sz w:val="28"/>
          <w:szCs w:val="28"/>
        </w:rPr>
        <w:t>the attainment of USE</w:t>
      </w:r>
      <w:r w:rsidR="001228BA" w:rsidRPr="00327B3A">
        <w:rPr>
          <w:rFonts w:asciiTheme="majorHAnsi" w:hAnsiTheme="majorHAnsi" w:cstheme="majorHAnsi"/>
          <w:sz w:val="28"/>
          <w:szCs w:val="28"/>
        </w:rPr>
        <w:t xml:space="preserve"> by governments and other key stakeholders</w:t>
      </w:r>
      <w:r w:rsidR="00537DFE" w:rsidRPr="00327B3A">
        <w:rPr>
          <w:rFonts w:asciiTheme="majorHAnsi" w:hAnsiTheme="majorHAnsi" w:cstheme="majorHAnsi"/>
          <w:sz w:val="28"/>
          <w:szCs w:val="28"/>
        </w:rPr>
        <w:t>, the underlying economic factors determining the current and future demand for secondary education</w:t>
      </w:r>
      <w:r w:rsidR="007219FF">
        <w:rPr>
          <w:rFonts w:asciiTheme="majorHAnsi" w:hAnsiTheme="majorHAnsi" w:cstheme="majorHAnsi"/>
          <w:sz w:val="28"/>
          <w:szCs w:val="28"/>
        </w:rPr>
        <w:t>,</w:t>
      </w:r>
      <w:r w:rsidR="003C4C09"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and the </w:t>
      </w:r>
      <w:r w:rsidR="003C4C09" w:rsidRPr="00327B3A">
        <w:rPr>
          <w:rFonts w:asciiTheme="majorHAnsi" w:hAnsiTheme="majorHAnsi" w:cstheme="majorHAnsi"/>
          <w:sz w:val="28"/>
          <w:szCs w:val="28"/>
        </w:rPr>
        <w:t xml:space="preserve">challenges </w:t>
      </w:r>
      <w:r w:rsidRPr="00327B3A">
        <w:rPr>
          <w:rFonts w:asciiTheme="majorHAnsi" w:hAnsiTheme="majorHAnsi" w:cstheme="majorHAnsi"/>
          <w:sz w:val="28"/>
          <w:szCs w:val="28"/>
        </w:rPr>
        <w:t>of reform implementation on the ground.</w:t>
      </w:r>
      <w:r w:rsidR="00537DFE" w:rsidRPr="00327B3A">
        <w:rPr>
          <w:rFonts w:asciiTheme="majorHAnsi" w:hAnsiTheme="majorHAnsi" w:cstheme="majorHAnsi"/>
          <w:sz w:val="28"/>
          <w:szCs w:val="28"/>
        </w:rPr>
        <w:t xml:space="preserve"> Without this, the Report’s prescriptions are politically and economically naïve and misguided and ultimately, therefore, quite utopian. </w:t>
      </w:r>
      <w:r w:rsidRPr="00327B3A">
        <w:rPr>
          <w:rFonts w:asciiTheme="majorHAnsi" w:hAnsiTheme="majorHAnsi" w:cstheme="majorHAnsi"/>
          <w:sz w:val="28"/>
          <w:szCs w:val="28"/>
        </w:rPr>
        <w:t xml:space="preserve"> </w:t>
      </w:r>
    </w:p>
    <w:p w:rsidR="00F55E2B" w:rsidRPr="00327B3A" w:rsidRDefault="007219FF" w:rsidP="007513C2">
      <w:pPr>
        <w:jc w:val="both"/>
        <w:rPr>
          <w:rFonts w:asciiTheme="majorHAnsi" w:hAnsiTheme="majorHAnsi" w:cstheme="majorHAnsi"/>
          <w:sz w:val="28"/>
          <w:szCs w:val="28"/>
        </w:rPr>
      </w:pPr>
      <w:r>
        <w:rPr>
          <w:rFonts w:asciiTheme="majorHAnsi" w:hAnsiTheme="majorHAnsi" w:cstheme="majorHAnsi"/>
          <w:sz w:val="28"/>
          <w:szCs w:val="28"/>
        </w:rPr>
        <w:t>T</w:t>
      </w:r>
      <w:r w:rsidR="00914401" w:rsidRPr="00327B3A">
        <w:rPr>
          <w:rFonts w:asciiTheme="majorHAnsi" w:hAnsiTheme="majorHAnsi" w:cstheme="majorHAnsi"/>
          <w:sz w:val="28"/>
          <w:szCs w:val="28"/>
        </w:rPr>
        <w:t xml:space="preserve">he necessary conceptual framework for analysing the attainability of </w:t>
      </w:r>
      <w:r w:rsidR="00D16D55" w:rsidRPr="00327B3A">
        <w:rPr>
          <w:rFonts w:asciiTheme="majorHAnsi" w:hAnsiTheme="majorHAnsi" w:cstheme="majorHAnsi"/>
          <w:sz w:val="28"/>
          <w:szCs w:val="28"/>
        </w:rPr>
        <w:t xml:space="preserve">both and </w:t>
      </w:r>
      <w:r w:rsidR="00914401" w:rsidRPr="00327B3A">
        <w:rPr>
          <w:rFonts w:asciiTheme="majorHAnsi" w:hAnsiTheme="majorHAnsi" w:cstheme="majorHAnsi"/>
          <w:sz w:val="28"/>
          <w:szCs w:val="28"/>
        </w:rPr>
        <w:t xml:space="preserve">UPE </w:t>
      </w:r>
      <w:r w:rsidR="00D16D55" w:rsidRPr="00327B3A">
        <w:rPr>
          <w:rFonts w:asciiTheme="majorHAnsi" w:hAnsiTheme="majorHAnsi" w:cstheme="majorHAnsi"/>
          <w:sz w:val="28"/>
          <w:szCs w:val="28"/>
        </w:rPr>
        <w:t xml:space="preserve">and USE </w:t>
      </w:r>
      <w:r w:rsidR="00914401" w:rsidRPr="00327B3A">
        <w:rPr>
          <w:rFonts w:asciiTheme="majorHAnsi" w:hAnsiTheme="majorHAnsi" w:cstheme="majorHAnsi"/>
          <w:sz w:val="28"/>
          <w:szCs w:val="28"/>
        </w:rPr>
        <w:t xml:space="preserve">in SSA should be based on three inter-related aspects of </w:t>
      </w:r>
      <w:r w:rsidR="00D16D55" w:rsidRPr="00327B3A">
        <w:rPr>
          <w:rFonts w:asciiTheme="majorHAnsi" w:hAnsiTheme="majorHAnsi" w:cstheme="majorHAnsi"/>
          <w:sz w:val="28"/>
          <w:szCs w:val="28"/>
        </w:rPr>
        <w:t xml:space="preserve">economic and social </w:t>
      </w:r>
      <w:r w:rsidR="00914401" w:rsidRPr="00327B3A">
        <w:rPr>
          <w:rFonts w:asciiTheme="majorHAnsi" w:hAnsiTheme="majorHAnsi" w:cstheme="majorHAnsi"/>
          <w:sz w:val="28"/>
          <w:szCs w:val="28"/>
        </w:rPr>
        <w:t xml:space="preserve">competition, namely competition between social </w:t>
      </w:r>
      <w:r w:rsidR="00131968" w:rsidRPr="00327B3A">
        <w:rPr>
          <w:rFonts w:asciiTheme="majorHAnsi" w:hAnsiTheme="majorHAnsi" w:cstheme="majorHAnsi"/>
          <w:sz w:val="28"/>
          <w:szCs w:val="28"/>
        </w:rPr>
        <w:t xml:space="preserve">classes, competition for </w:t>
      </w:r>
      <w:r w:rsidR="00914401" w:rsidRPr="00327B3A">
        <w:rPr>
          <w:rFonts w:asciiTheme="majorHAnsi" w:hAnsiTheme="majorHAnsi" w:cstheme="majorHAnsi"/>
          <w:sz w:val="28"/>
          <w:szCs w:val="28"/>
        </w:rPr>
        <w:t>education at all lev</w:t>
      </w:r>
      <w:r w:rsidR="00131968" w:rsidRPr="00327B3A">
        <w:rPr>
          <w:rFonts w:asciiTheme="majorHAnsi" w:hAnsiTheme="majorHAnsi" w:cstheme="majorHAnsi"/>
          <w:sz w:val="28"/>
          <w:szCs w:val="28"/>
        </w:rPr>
        <w:t xml:space="preserve">els, and competition for </w:t>
      </w:r>
      <w:r w:rsidR="00914401" w:rsidRPr="00327B3A">
        <w:rPr>
          <w:rFonts w:asciiTheme="majorHAnsi" w:hAnsiTheme="majorHAnsi" w:cstheme="majorHAnsi"/>
          <w:sz w:val="28"/>
          <w:szCs w:val="28"/>
        </w:rPr>
        <w:t xml:space="preserve">jobs </w:t>
      </w:r>
      <w:r w:rsidR="00131968" w:rsidRPr="00327B3A">
        <w:rPr>
          <w:rFonts w:asciiTheme="majorHAnsi" w:hAnsiTheme="majorHAnsi" w:cstheme="majorHAnsi"/>
          <w:sz w:val="28"/>
          <w:szCs w:val="28"/>
        </w:rPr>
        <w:t>which</w:t>
      </w:r>
      <w:r>
        <w:rPr>
          <w:rFonts w:asciiTheme="majorHAnsi" w:hAnsiTheme="majorHAnsi" w:cstheme="majorHAnsi"/>
          <w:sz w:val="28"/>
          <w:szCs w:val="28"/>
        </w:rPr>
        <w:t>,</w:t>
      </w:r>
      <w:r w:rsidR="00131968" w:rsidRPr="00327B3A">
        <w:rPr>
          <w:rFonts w:asciiTheme="majorHAnsi" w:hAnsiTheme="majorHAnsi" w:cstheme="majorHAnsi"/>
          <w:sz w:val="28"/>
          <w:szCs w:val="28"/>
        </w:rPr>
        <w:t xml:space="preserve"> </w:t>
      </w:r>
      <w:r w:rsidR="001228BA" w:rsidRPr="00327B3A">
        <w:rPr>
          <w:rFonts w:asciiTheme="majorHAnsi" w:hAnsiTheme="majorHAnsi" w:cstheme="majorHAnsi"/>
          <w:sz w:val="28"/>
          <w:szCs w:val="28"/>
        </w:rPr>
        <w:t xml:space="preserve">in conjunction </w:t>
      </w:r>
      <w:r w:rsidR="00D16D55" w:rsidRPr="00327B3A">
        <w:rPr>
          <w:rFonts w:asciiTheme="majorHAnsi" w:hAnsiTheme="majorHAnsi" w:cstheme="majorHAnsi"/>
          <w:sz w:val="28"/>
          <w:szCs w:val="28"/>
        </w:rPr>
        <w:t>with political settlement theory</w:t>
      </w:r>
      <w:r>
        <w:rPr>
          <w:rFonts w:asciiTheme="majorHAnsi" w:hAnsiTheme="majorHAnsi" w:cstheme="majorHAnsi"/>
          <w:sz w:val="28"/>
          <w:szCs w:val="28"/>
        </w:rPr>
        <w:t>,</w:t>
      </w:r>
      <w:r w:rsidR="00D16D55" w:rsidRPr="00327B3A">
        <w:rPr>
          <w:rFonts w:asciiTheme="majorHAnsi" w:hAnsiTheme="majorHAnsi" w:cstheme="majorHAnsi"/>
          <w:sz w:val="28"/>
          <w:szCs w:val="28"/>
        </w:rPr>
        <w:t xml:space="preserve"> can be used to analyse the wider politics of education </w:t>
      </w:r>
      <w:r>
        <w:rPr>
          <w:rFonts w:asciiTheme="majorHAnsi" w:hAnsiTheme="majorHAnsi" w:cstheme="majorHAnsi"/>
          <w:sz w:val="28"/>
          <w:szCs w:val="28"/>
        </w:rPr>
        <w:t xml:space="preserve">policy </w:t>
      </w:r>
      <w:r w:rsidR="00D16D55" w:rsidRPr="00327B3A">
        <w:rPr>
          <w:rFonts w:asciiTheme="majorHAnsi" w:hAnsiTheme="majorHAnsi" w:cstheme="majorHAnsi"/>
          <w:sz w:val="28"/>
          <w:szCs w:val="28"/>
        </w:rPr>
        <w:t>reform formulation and implementation</w:t>
      </w:r>
      <w:r w:rsidR="00F55E2B" w:rsidRPr="00327B3A">
        <w:rPr>
          <w:rFonts w:asciiTheme="majorHAnsi" w:hAnsiTheme="majorHAnsi" w:cstheme="majorHAnsi"/>
          <w:sz w:val="28"/>
          <w:szCs w:val="28"/>
        </w:rPr>
        <w:t xml:space="preserve"> </w:t>
      </w:r>
      <w:r w:rsidR="00D16D55" w:rsidRPr="00327B3A">
        <w:rPr>
          <w:rFonts w:asciiTheme="majorHAnsi" w:hAnsiTheme="majorHAnsi" w:cstheme="majorHAnsi"/>
          <w:sz w:val="28"/>
          <w:szCs w:val="28"/>
        </w:rPr>
        <w:t>and, in particular, the degree of government commitment to</w:t>
      </w:r>
      <w:r w:rsidR="00914401" w:rsidRPr="00327B3A">
        <w:rPr>
          <w:rFonts w:asciiTheme="majorHAnsi" w:hAnsiTheme="majorHAnsi" w:cstheme="majorHAnsi"/>
          <w:sz w:val="28"/>
          <w:szCs w:val="28"/>
        </w:rPr>
        <w:t xml:space="preserve">  </w:t>
      </w:r>
      <w:r w:rsidR="00D16D55" w:rsidRPr="00327B3A">
        <w:rPr>
          <w:rFonts w:asciiTheme="majorHAnsi" w:hAnsiTheme="majorHAnsi" w:cstheme="majorHAnsi"/>
          <w:sz w:val="28"/>
          <w:szCs w:val="28"/>
        </w:rPr>
        <w:t>the reform process</w:t>
      </w:r>
      <w:r w:rsidR="00131968" w:rsidRPr="00327B3A">
        <w:rPr>
          <w:rFonts w:asciiTheme="majorHAnsi" w:hAnsiTheme="majorHAnsi" w:cstheme="majorHAnsi"/>
          <w:sz w:val="28"/>
          <w:szCs w:val="28"/>
        </w:rPr>
        <w:t xml:space="preserve"> (see Bennell, 2021a and 2021b)</w:t>
      </w:r>
      <w:r w:rsidR="005318B9">
        <w:rPr>
          <w:rFonts w:asciiTheme="majorHAnsi" w:hAnsiTheme="majorHAnsi" w:cstheme="majorHAnsi"/>
          <w:sz w:val="28"/>
          <w:szCs w:val="28"/>
        </w:rPr>
        <w:t>.</w:t>
      </w:r>
    </w:p>
    <w:p w:rsidR="007219FF" w:rsidRDefault="007219FF">
      <w:pPr>
        <w:rPr>
          <w:rFonts w:asciiTheme="majorHAnsi" w:hAnsiTheme="majorHAnsi" w:cstheme="majorHAnsi"/>
          <w:i/>
          <w:sz w:val="28"/>
          <w:szCs w:val="28"/>
        </w:rPr>
      </w:pPr>
      <w:r>
        <w:rPr>
          <w:rFonts w:asciiTheme="majorHAnsi" w:hAnsiTheme="majorHAnsi" w:cstheme="majorHAnsi"/>
          <w:i/>
          <w:sz w:val="28"/>
          <w:szCs w:val="28"/>
        </w:rPr>
        <w:br w:type="page"/>
      </w:r>
    </w:p>
    <w:p w:rsidR="00D16D55" w:rsidRPr="00327B3A" w:rsidRDefault="00D16D55" w:rsidP="00D16D55">
      <w:pPr>
        <w:jc w:val="both"/>
        <w:rPr>
          <w:rFonts w:asciiTheme="majorHAnsi" w:hAnsiTheme="majorHAnsi" w:cstheme="majorHAnsi"/>
          <w:i/>
          <w:sz w:val="28"/>
          <w:szCs w:val="28"/>
        </w:rPr>
      </w:pPr>
      <w:r w:rsidRPr="00327B3A">
        <w:rPr>
          <w:rFonts w:asciiTheme="majorHAnsi" w:hAnsiTheme="majorHAnsi" w:cstheme="majorHAnsi"/>
          <w:i/>
          <w:sz w:val="28"/>
          <w:szCs w:val="28"/>
        </w:rPr>
        <w:lastRenderedPageBreak/>
        <w:t>Class reproduction, education distancing and job competition</w:t>
      </w:r>
    </w:p>
    <w:p w:rsidR="007513C2" w:rsidRPr="00327B3A" w:rsidRDefault="00914401" w:rsidP="007513C2">
      <w:pPr>
        <w:jc w:val="both"/>
        <w:rPr>
          <w:rFonts w:asciiTheme="majorHAnsi" w:hAnsiTheme="majorHAnsi" w:cstheme="majorHAnsi"/>
          <w:sz w:val="28"/>
          <w:szCs w:val="28"/>
        </w:rPr>
      </w:pPr>
      <w:r w:rsidRPr="00327B3A">
        <w:rPr>
          <w:rFonts w:asciiTheme="majorHAnsi" w:hAnsiTheme="majorHAnsi" w:cstheme="majorHAnsi"/>
          <w:sz w:val="28"/>
          <w:szCs w:val="28"/>
        </w:rPr>
        <w:t>The role of education in the reproduction of class systems and</w:t>
      </w:r>
      <w:r w:rsidR="001228BA" w:rsidRPr="00327B3A">
        <w:rPr>
          <w:rFonts w:asciiTheme="majorHAnsi" w:hAnsiTheme="majorHAnsi" w:cstheme="majorHAnsi"/>
          <w:sz w:val="28"/>
          <w:szCs w:val="28"/>
        </w:rPr>
        <w:t>, in particular,</w:t>
      </w:r>
      <w:r w:rsidRPr="00327B3A">
        <w:rPr>
          <w:rFonts w:asciiTheme="majorHAnsi" w:hAnsiTheme="majorHAnsi" w:cstheme="majorHAnsi"/>
          <w:sz w:val="28"/>
          <w:szCs w:val="28"/>
        </w:rPr>
        <w:t xml:space="preserve"> the privileged positions of </w:t>
      </w:r>
      <w:r w:rsidR="001228BA" w:rsidRPr="00327B3A">
        <w:rPr>
          <w:rFonts w:asciiTheme="majorHAnsi" w:hAnsiTheme="majorHAnsi" w:cstheme="majorHAnsi"/>
          <w:sz w:val="28"/>
          <w:szCs w:val="28"/>
        </w:rPr>
        <w:t xml:space="preserve">national </w:t>
      </w:r>
      <w:r w:rsidRPr="00327B3A">
        <w:rPr>
          <w:rFonts w:asciiTheme="majorHAnsi" w:hAnsiTheme="majorHAnsi" w:cstheme="majorHAnsi"/>
          <w:sz w:val="28"/>
          <w:szCs w:val="28"/>
        </w:rPr>
        <w:t xml:space="preserve">elites, which has been extensively researched </w:t>
      </w:r>
      <w:r w:rsidR="001228BA" w:rsidRPr="00327B3A">
        <w:rPr>
          <w:rFonts w:asciiTheme="majorHAnsi" w:hAnsiTheme="majorHAnsi" w:cstheme="majorHAnsi"/>
          <w:sz w:val="28"/>
          <w:szCs w:val="28"/>
        </w:rPr>
        <w:t xml:space="preserve">by sociologists and political scientists </w:t>
      </w:r>
      <w:r w:rsidRPr="00327B3A">
        <w:rPr>
          <w:rFonts w:asciiTheme="majorHAnsi" w:hAnsiTheme="majorHAnsi" w:cstheme="majorHAnsi"/>
          <w:sz w:val="28"/>
          <w:szCs w:val="28"/>
        </w:rPr>
        <w:t xml:space="preserve">in Europe and North America is </w:t>
      </w:r>
      <w:r w:rsidR="001D694B" w:rsidRPr="00327B3A">
        <w:rPr>
          <w:rFonts w:asciiTheme="majorHAnsi" w:hAnsiTheme="majorHAnsi" w:cstheme="majorHAnsi"/>
          <w:sz w:val="28"/>
          <w:szCs w:val="28"/>
        </w:rPr>
        <w:t xml:space="preserve">equally salient </w:t>
      </w:r>
      <w:r w:rsidRPr="00327B3A">
        <w:rPr>
          <w:rFonts w:asciiTheme="majorHAnsi" w:hAnsiTheme="majorHAnsi" w:cstheme="majorHAnsi"/>
          <w:sz w:val="28"/>
          <w:szCs w:val="28"/>
        </w:rPr>
        <w:t>in SSA</w:t>
      </w:r>
      <w:r w:rsidR="001D694B" w:rsidRPr="00327B3A">
        <w:rPr>
          <w:rFonts w:asciiTheme="majorHAnsi" w:hAnsiTheme="majorHAnsi" w:cstheme="majorHAnsi"/>
          <w:sz w:val="28"/>
          <w:szCs w:val="28"/>
        </w:rPr>
        <w:t xml:space="preserve"> (see</w:t>
      </w:r>
      <w:r w:rsidR="001228BA" w:rsidRPr="00327B3A">
        <w:rPr>
          <w:rFonts w:asciiTheme="majorHAnsi" w:hAnsiTheme="majorHAnsi" w:cstheme="majorHAnsi"/>
          <w:sz w:val="28"/>
          <w:szCs w:val="28"/>
        </w:rPr>
        <w:t>, for example,</w:t>
      </w:r>
      <w:r w:rsidR="001D694B" w:rsidRPr="00327B3A">
        <w:rPr>
          <w:rFonts w:asciiTheme="majorHAnsi" w:hAnsiTheme="majorHAnsi" w:cstheme="majorHAnsi"/>
          <w:sz w:val="28"/>
          <w:szCs w:val="28"/>
        </w:rPr>
        <w:t xml:space="preserve"> Bourdieu and Passeron, 1978; Gintis and Bowles, 1976)</w:t>
      </w:r>
      <w:r w:rsidRPr="00327B3A">
        <w:rPr>
          <w:rFonts w:asciiTheme="majorHAnsi" w:hAnsiTheme="majorHAnsi" w:cstheme="majorHAnsi"/>
          <w:sz w:val="28"/>
          <w:szCs w:val="28"/>
        </w:rPr>
        <w:t>. The job competition model is an extension of internal labour market theory which highlights the role of education in determining an individual’s place in employment queues for job vacancies (see Doeringer and Priore, 19</w:t>
      </w:r>
      <w:r w:rsidR="00C867E9">
        <w:rPr>
          <w:rFonts w:asciiTheme="majorHAnsi" w:hAnsiTheme="majorHAnsi" w:cstheme="majorHAnsi"/>
          <w:sz w:val="28"/>
          <w:szCs w:val="28"/>
        </w:rPr>
        <w:t>71</w:t>
      </w:r>
      <w:r w:rsidRPr="00327B3A">
        <w:rPr>
          <w:rFonts w:asciiTheme="majorHAnsi" w:hAnsiTheme="majorHAnsi" w:cstheme="majorHAnsi"/>
          <w:sz w:val="28"/>
          <w:szCs w:val="28"/>
        </w:rPr>
        <w:t>; Thurow, 1975). And, with regard to education competition</w:t>
      </w:r>
      <w:r w:rsidR="00C96D96" w:rsidRPr="00327B3A">
        <w:rPr>
          <w:rFonts w:asciiTheme="majorHAnsi" w:hAnsiTheme="majorHAnsi" w:cstheme="majorHAnsi"/>
          <w:sz w:val="28"/>
          <w:szCs w:val="28"/>
        </w:rPr>
        <w:t xml:space="preserve">, since educational qualifications are widely used by employers as proxies for ability and trainability, individuals seek to gain competitive advantage by acquiring the best education and thus highest qualifications as </w:t>
      </w:r>
      <w:r w:rsidR="009B2A69" w:rsidRPr="00327B3A">
        <w:rPr>
          <w:rFonts w:asciiTheme="majorHAnsi" w:hAnsiTheme="majorHAnsi" w:cstheme="majorHAnsi"/>
          <w:sz w:val="28"/>
          <w:szCs w:val="28"/>
        </w:rPr>
        <w:t>they can</w:t>
      </w:r>
      <w:r w:rsidR="005318B9">
        <w:rPr>
          <w:rFonts w:asciiTheme="majorHAnsi" w:hAnsiTheme="majorHAnsi" w:cstheme="majorHAnsi"/>
          <w:sz w:val="28"/>
          <w:szCs w:val="28"/>
        </w:rPr>
        <w:t xml:space="preserve"> (see Dore, 1976)</w:t>
      </w:r>
      <w:r w:rsidR="00C96D96" w:rsidRPr="00327B3A">
        <w:rPr>
          <w:rFonts w:asciiTheme="majorHAnsi" w:hAnsiTheme="majorHAnsi" w:cstheme="majorHAnsi"/>
          <w:sz w:val="28"/>
          <w:szCs w:val="28"/>
        </w:rPr>
        <w:t>.</w:t>
      </w:r>
      <w:r w:rsidR="007513C2" w:rsidRPr="00327B3A">
        <w:rPr>
          <w:rFonts w:asciiTheme="majorHAnsi" w:hAnsiTheme="majorHAnsi" w:cstheme="majorHAnsi"/>
          <w:sz w:val="28"/>
          <w:szCs w:val="28"/>
        </w:rPr>
        <w:t xml:space="preserve"> </w:t>
      </w:r>
      <w:r w:rsidR="009B2A69" w:rsidRPr="00327B3A">
        <w:rPr>
          <w:rFonts w:asciiTheme="majorHAnsi" w:hAnsiTheme="majorHAnsi" w:cstheme="majorHAnsi"/>
          <w:sz w:val="28"/>
          <w:szCs w:val="28"/>
        </w:rPr>
        <w:t>As will be discussed below, fo</w:t>
      </w:r>
      <w:r w:rsidR="007513C2" w:rsidRPr="00327B3A">
        <w:rPr>
          <w:rFonts w:asciiTheme="majorHAnsi" w:hAnsiTheme="majorHAnsi" w:cstheme="majorHAnsi"/>
          <w:sz w:val="28"/>
          <w:szCs w:val="28"/>
        </w:rPr>
        <w:t>r a number of reasons</w:t>
      </w:r>
      <w:r w:rsidR="001D694B" w:rsidRPr="00327B3A">
        <w:rPr>
          <w:rFonts w:asciiTheme="majorHAnsi" w:hAnsiTheme="majorHAnsi" w:cstheme="majorHAnsi"/>
          <w:sz w:val="28"/>
          <w:szCs w:val="28"/>
        </w:rPr>
        <w:t>,</w:t>
      </w:r>
      <w:r w:rsidR="007513C2" w:rsidRPr="00327B3A">
        <w:rPr>
          <w:rFonts w:asciiTheme="majorHAnsi" w:hAnsiTheme="majorHAnsi" w:cstheme="majorHAnsi"/>
          <w:sz w:val="28"/>
          <w:szCs w:val="28"/>
        </w:rPr>
        <w:t xml:space="preserve"> this conceptual framework is </w:t>
      </w:r>
      <w:r w:rsidR="001D694B" w:rsidRPr="00327B3A">
        <w:rPr>
          <w:rFonts w:asciiTheme="majorHAnsi" w:hAnsiTheme="majorHAnsi" w:cstheme="majorHAnsi"/>
          <w:sz w:val="28"/>
          <w:szCs w:val="28"/>
        </w:rPr>
        <w:t xml:space="preserve">particularly </w:t>
      </w:r>
      <w:r w:rsidR="007513C2" w:rsidRPr="00327B3A">
        <w:rPr>
          <w:rFonts w:asciiTheme="majorHAnsi" w:hAnsiTheme="majorHAnsi" w:cstheme="majorHAnsi"/>
          <w:sz w:val="28"/>
          <w:szCs w:val="28"/>
        </w:rPr>
        <w:t xml:space="preserve">relevant in analysing the attainability of </w:t>
      </w:r>
      <w:r w:rsidR="009B2A69" w:rsidRPr="00327B3A">
        <w:rPr>
          <w:rFonts w:asciiTheme="majorHAnsi" w:hAnsiTheme="majorHAnsi" w:cstheme="majorHAnsi"/>
          <w:sz w:val="28"/>
          <w:szCs w:val="28"/>
        </w:rPr>
        <w:t xml:space="preserve">both UPE and </w:t>
      </w:r>
      <w:r w:rsidR="007513C2" w:rsidRPr="00327B3A">
        <w:rPr>
          <w:rFonts w:asciiTheme="majorHAnsi" w:hAnsiTheme="majorHAnsi" w:cstheme="majorHAnsi"/>
          <w:sz w:val="28"/>
          <w:szCs w:val="28"/>
        </w:rPr>
        <w:t xml:space="preserve">USE in SSA.      </w:t>
      </w:r>
    </w:p>
    <w:p w:rsidR="006D33E7" w:rsidRPr="00327B3A" w:rsidRDefault="006D33E7" w:rsidP="005C4D1D">
      <w:pPr>
        <w:jc w:val="both"/>
        <w:rPr>
          <w:rFonts w:asciiTheme="majorHAnsi" w:hAnsiTheme="majorHAnsi" w:cstheme="majorHAnsi"/>
          <w:sz w:val="28"/>
          <w:szCs w:val="28"/>
        </w:rPr>
      </w:pPr>
      <w:r w:rsidRPr="00327B3A">
        <w:rPr>
          <w:rFonts w:asciiTheme="majorHAnsi" w:hAnsiTheme="majorHAnsi" w:cstheme="majorHAnsi"/>
          <w:sz w:val="28"/>
          <w:szCs w:val="28"/>
        </w:rPr>
        <w:t>USE, like UPE before it, is being implemented at the same time as far reaching economic and political transformation</w:t>
      </w:r>
      <w:r w:rsidR="001D694B" w:rsidRPr="00327B3A">
        <w:rPr>
          <w:rFonts w:asciiTheme="majorHAnsi" w:hAnsiTheme="majorHAnsi" w:cstheme="majorHAnsi"/>
          <w:sz w:val="28"/>
          <w:szCs w:val="28"/>
        </w:rPr>
        <w:t xml:space="preserve"> in SSA</w:t>
      </w:r>
      <w:r w:rsidRPr="00327B3A">
        <w:rPr>
          <w:rFonts w:asciiTheme="majorHAnsi" w:hAnsiTheme="majorHAnsi" w:cstheme="majorHAnsi"/>
          <w:sz w:val="28"/>
          <w:szCs w:val="28"/>
        </w:rPr>
        <w:t xml:space="preserve">.  The dominant political economy in most of SSA is </w:t>
      </w:r>
      <w:r w:rsidR="009B2A69" w:rsidRPr="00327B3A">
        <w:rPr>
          <w:rFonts w:asciiTheme="majorHAnsi" w:hAnsiTheme="majorHAnsi" w:cstheme="majorHAnsi"/>
          <w:sz w:val="28"/>
          <w:szCs w:val="28"/>
        </w:rPr>
        <w:t xml:space="preserve">being </w:t>
      </w:r>
      <w:r w:rsidRPr="00327B3A">
        <w:rPr>
          <w:rFonts w:asciiTheme="majorHAnsi" w:hAnsiTheme="majorHAnsi" w:cstheme="majorHAnsi"/>
          <w:sz w:val="28"/>
          <w:szCs w:val="28"/>
        </w:rPr>
        <w:t>increasingly shaped by pervasive</w:t>
      </w:r>
      <w:r w:rsidR="009B2A69" w:rsidRPr="00327B3A">
        <w:rPr>
          <w:rFonts w:asciiTheme="majorHAnsi" w:hAnsiTheme="majorHAnsi" w:cstheme="majorHAnsi"/>
          <w:sz w:val="28"/>
          <w:szCs w:val="28"/>
        </w:rPr>
        <w:t xml:space="preserve"> national programmes of </w:t>
      </w:r>
      <w:r w:rsidRPr="00327B3A">
        <w:rPr>
          <w:rFonts w:asciiTheme="majorHAnsi" w:hAnsiTheme="majorHAnsi" w:cstheme="majorHAnsi"/>
          <w:sz w:val="28"/>
          <w:szCs w:val="28"/>
        </w:rPr>
        <w:t xml:space="preserve">economic and political liberalisation. The superordinate economic reform goal is to replace the previous model of quasi-socialist state development with a neo-liberal, market-driven development strategy with the private sector taking the leading role. Promoting private sector development hinges critically on creating the enabling environment for the emergence of </w:t>
      </w:r>
      <w:r w:rsidR="001D694B" w:rsidRPr="00327B3A">
        <w:rPr>
          <w:rFonts w:asciiTheme="majorHAnsi" w:hAnsiTheme="majorHAnsi" w:cstheme="majorHAnsi"/>
          <w:sz w:val="28"/>
          <w:szCs w:val="28"/>
        </w:rPr>
        <w:t xml:space="preserve">a </w:t>
      </w:r>
      <w:r w:rsidR="009B2A69" w:rsidRPr="00327B3A">
        <w:rPr>
          <w:rFonts w:asciiTheme="majorHAnsi" w:hAnsiTheme="majorHAnsi" w:cstheme="majorHAnsi"/>
          <w:sz w:val="28"/>
          <w:szCs w:val="28"/>
        </w:rPr>
        <w:t xml:space="preserve">strong national </w:t>
      </w:r>
      <w:r w:rsidR="007219FF">
        <w:rPr>
          <w:rFonts w:asciiTheme="majorHAnsi" w:hAnsiTheme="majorHAnsi" w:cstheme="majorHAnsi"/>
          <w:sz w:val="28"/>
          <w:szCs w:val="28"/>
        </w:rPr>
        <w:t xml:space="preserve">class of </w:t>
      </w:r>
      <w:r w:rsidR="00EC0E59">
        <w:rPr>
          <w:rFonts w:asciiTheme="majorHAnsi" w:hAnsiTheme="majorHAnsi" w:cstheme="majorHAnsi"/>
          <w:sz w:val="28"/>
          <w:szCs w:val="28"/>
        </w:rPr>
        <w:t>capitalist</w:t>
      </w:r>
      <w:r w:rsidR="007219FF">
        <w:rPr>
          <w:rFonts w:asciiTheme="majorHAnsi" w:hAnsiTheme="majorHAnsi" w:cstheme="majorHAnsi"/>
          <w:sz w:val="28"/>
          <w:szCs w:val="28"/>
        </w:rPr>
        <w:t>s/</w:t>
      </w:r>
      <w:r w:rsidRPr="00327B3A">
        <w:rPr>
          <w:rFonts w:asciiTheme="majorHAnsi" w:hAnsiTheme="majorHAnsi" w:cstheme="majorHAnsi"/>
          <w:sz w:val="28"/>
          <w:szCs w:val="28"/>
        </w:rPr>
        <w:t>entrepreneurs coupled with si</w:t>
      </w:r>
      <w:r w:rsidR="001D694B" w:rsidRPr="00327B3A">
        <w:rPr>
          <w:rFonts w:asciiTheme="majorHAnsi" w:hAnsiTheme="majorHAnsi" w:cstheme="majorHAnsi"/>
          <w:sz w:val="28"/>
          <w:szCs w:val="28"/>
        </w:rPr>
        <w:t xml:space="preserve">zeable </w:t>
      </w:r>
      <w:r w:rsidRPr="00327B3A">
        <w:rPr>
          <w:rFonts w:asciiTheme="majorHAnsi" w:hAnsiTheme="majorHAnsi" w:cstheme="majorHAnsi"/>
          <w:sz w:val="28"/>
          <w:szCs w:val="28"/>
        </w:rPr>
        <w:t xml:space="preserve">foreign </w:t>
      </w:r>
      <w:r w:rsidR="001D694B" w:rsidRPr="00327B3A">
        <w:rPr>
          <w:rFonts w:asciiTheme="majorHAnsi" w:hAnsiTheme="majorHAnsi" w:cstheme="majorHAnsi"/>
          <w:sz w:val="28"/>
          <w:szCs w:val="28"/>
        </w:rPr>
        <w:t xml:space="preserve">direct </w:t>
      </w:r>
      <w:r w:rsidRPr="00327B3A">
        <w:rPr>
          <w:rFonts w:asciiTheme="majorHAnsi" w:hAnsiTheme="majorHAnsi" w:cstheme="majorHAnsi"/>
          <w:sz w:val="28"/>
          <w:szCs w:val="28"/>
        </w:rPr>
        <w:t xml:space="preserve">investment. </w:t>
      </w:r>
      <w:r w:rsidR="007513C2" w:rsidRPr="00327B3A">
        <w:rPr>
          <w:rFonts w:asciiTheme="majorHAnsi" w:hAnsiTheme="majorHAnsi" w:cstheme="majorHAnsi"/>
          <w:sz w:val="28"/>
          <w:szCs w:val="28"/>
        </w:rPr>
        <w:t xml:space="preserve">This amounts to a major restructuring of the national </w:t>
      </w:r>
      <w:r w:rsidR="001D694B" w:rsidRPr="00327B3A">
        <w:rPr>
          <w:rFonts w:asciiTheme="majorHAnsi" w:hAnsiTheme="majorHAnsi" w:cstheme="majorHAnsi"/>
          <w:sz w:val="28"/>
          <w:szCs w:val="28"/>
        </w:rPr>
        <w:t xml:space="preserve">social </w:t>
      </w:r>
      <w:r w:rsidR="007513C2" w:rsidRPr="00327B3A">
        <w:rPr>
          <w:rFonts w:asciiTheme="majorHAnsi" w:hAnsiTheme="majorHAnsi" w:cstheme="majorHAnsi"/>
          <w:sz w:val="28"/>
          <w:szCs w:val="28"/>
        </w:rPr>
        <w:t>class system with economic and political power shifting decisively away from the previously dominant bureaucratic middle class which</w:t>
      </w:r>
      <w:r w:rsidR="001D694B" w:rsidRPr="00327B3A">
        <w:rPr>
          <w:rFonts w:asciiTheme="majorHAnsi" w:hAnsiTheme="majorHAnsi" w:cstheme="majorHAnsi"/>
          <w:sz w:val="28"/>
          <w:szCs w:val="28"/>
        </w:rPr>
        <w:t>,</w:t>
      </w:r>
      <w:r w:rsidR="007513C2" w:rsidRPr="00327B3A">
        <w:rPr>
          <w:rFonts w:asciiTheme="majorHAnsi" w:hAnsiTheme="majorHAnsi" w:cstheme="majorHAnsi"/>
          <w:sz w:val="28"/>
          <w:szCs w:val="28"/>
        </w:rPr>
        <w:t xml:space="preserve"> since independence controlled the state apparatus and the public sector as a whole (which usually included large swathes of the formal economy)</w:t>
      </w:r>
      <w:r w:rsidR="001D694B" w:rsidRPr="00327B3A">
        <w:rPr>
          <w:rFonts w:asciiTheme="majorHAnsi" w:hAnsiTheme="majorHAnsi" w:cstheme="majorHAnsi"/>
          <w:sz w:val="28"/>
          <w:szCs w:val="28"/>
        </w:rPr>
        <w:t>,</w:t>
      </w:r>
      <w:r w:rsidR="007513C2" w:rsidRPr="00327B3A">
        <w:rPr>
          <w:rFonts w:asciiTheme="majorHAnsi" w:hAnsiTheme="majorHAnsi" w:cstheme="majorHAnsi"/>
          <w:sz w:val="28"/>
          <w:szCs w:val="28"/>
        </w:rPr>
        <w:t xml:space="preserve"> towards a newly empowered b</w:t>
      </w:r>
      <w:r w:rsidR="007219FF">
        <w:rPr>
          <w:rFonts w:asciiTheme="majorHAnsi" w:hAnsiTheme="majorHAnsi" w:cstheme="majorHAnsi"/>
          <w:sz w:val="28"/>
          <w:szCs w:val="28"/>
        </w:rPr>
        <w:t>usiness/private sector-</w:t>
      </w:r>
      <w:r w:rsidR="007513C2" w:rsidRPr="00327B3A">
        <w:rPr>
          <w:rFonts w:asciiTheme="majorHAnsi" w:hAnsiTheme="majorHAnsi" w:cstheme="majorHAnsi"/>
          <w:sz w:val="28"/>
          <w:szCs w:val="28"/>
        </w:rPr>
        <w:t xml:space="preserve">based middle class spearheading a process of </w:t>
      </w:r>
      <w:r w:rsidR="009B2A69" w:rsidRPr="00327B3A">
        <w:rPr>
          <w:rFonts w:asciiTheme="majorHAnsi" w:hAnsiTheme="majorHAnsi" w:cstheme="majorHAnsi"/>
          <w:sz w:val="28"/>
          <w:szCs w:val="28"/>
        </w:rPr>
        <w:t xml:space="preserve">successful </w:t>
      </w:r>
      <w:r w:rsidR="007513C2" w:rsidRPr="00327B3A">
        <w:rPr>
          <w:rFonts w:asciiTheme="majorHAnsi" w:hAnsiTheme="majorHAnsi" w:cstheme="majorHAnsi"/>
          <w:sz w:val="28"/>
          <w:szCs w:val="28"/>
        </w:rPr>
        <w:t>capitalist development. In those countries where economic liberalisation is most advanced, the growing economic, political and social power of this reconstituted middle class</w:t>
      </w:r>
      <w:r w:rsidR="006C5706" w:rsidRPr="00327B3A">
        <w:rPr>
          <w:rFonts w:asciiTheme="majorHAnsi" w:hAnsiTheme="majorHAnsi" w:cstheme="majorHAnsi"/>
          <w:sz w:val="28"/>
          <w:szCs w:val="28"/>
        </w:rPr>
        <w:t xml:space="preserve"> </w:t>
      </w:r>
      <w:r w:rsidR="007513C2" w:rsidRPr="00327B3A">
        <w:rPr>
          <w:rFonts w:asciiTheme="majorHAnsi" w:hAnsiTheme="majorHAnsi" w:cstheme="majorHAnsi"/>
          <w:sz w:val="28"/>
          <w:szCs w:val="28"/>
        </w:rPr>
        <w:t xml:space="preserve">has </w:t>
      </w:r>
      <w:r w:rsidR="001D694B" w:rsidRPr="00327B3A">
        <w:rPr>
          <w:rFonts w:asciiTheme="majorHAnsi" w:hAnsiTheme="majorHAnsi" w:cstheme="majorHAnsi"/>
          <w:sz w:val="28"/>
          <w:szCs w:val="28"/>
        </w:rPr>
        <w:t xml:space="preserve">already </w:t>
      </w:r>
      <w:r w:rsidR="007513C2" w:rsidRPr="00327B3A">
        <w:rPr>
          <w:rFonts w:asciiTheme="majorHAnsi" w:hAnsiTheme="majorHAnsi" w:cstheme="majorHAnsi"/>
          <w:sz w:val="28"/>
          <w:szCs w:val="28"/>
        </w:rPr>
        <w:t xml:space="preserve">resulted in a reconfiguration of </w:t>
      </w:r>
      <w:r w:rsidR="009B2A69" w:rsidRPr="00327B3A">
        <w:rPr>
          <w:rFonts w:asciiTheme="majorHAnsi" w:hAnsiTheme="majorHAnsi" w:cstheme="majorHAnsi"/>
          <w:sz w:val="28"/>
          <w:szCs w:val="28"/>
        </w:rPr>
        <w:t xml:space="preserve">national </w:t>
      </w:r>
      <w:r w:rsidR="007513C2" w:rsidRPr="00327B3A">
        <w:rPr>
          <w:rFonts w:asciiTheme="majorHAnsi" w:hAnsiTheme="majorHAnsi" w:cstheme="majorHAnsi"/>
          <w:sz w:val="28"/>
          <w:szCs w:val="28"/>
        </w:rPr>
        <w:t>education system in ways which has facilitated the</w:t>
      </w:r>
      <w:r w:rsidR="009B2A69" w:rsidRPr="00327B3A">
        <w:rPr>
          <w:rFonts w:asciiTheme="majorHAnsi" w:hAnsiTheme="majorHAnsi" w:cstheme="majorHAnsi"/>
          <w:sz w:val="28"/>
          <w:szCs w:val="28"/>
        </w:rPr>
        <w:t xml:space="preserve"> continued consolidation of the</w:t>
      </w:r>
      <w:r w:rsidR="007513C2" w:rsidRPr="00327B3A">
        <w:rPr>
          <w:rFonts w:asciiTheme="majorHAnsi" w:hAnsiTheme="majorHAnsi" w:cstheme="majorHAnsi"/>
          <w:sz w:val="28"/>
          <w:szCs w:val="28"/>
        </w:rPr>
        <w:t xml:space="preserve">ir increasingly </w:t>
      </w:r>
      <w:r w:rsidR="009B2A69" w:rsidRPr="00327B3A">
        <w:rPr>
          <w:rFonts w:asciiTheme="majorHAnsi" w:hAnsiTheme="majorHAnsi" w:cstheme="majorHAnsi"/>
          <w:sz w:val="28"/>
          <w:szCs w:val="28"/>
        </w:rPr>
        <w:t>powerful social c</w:t>
      </w:r>
      <w:r w:rsidR="007513C2" w:rsidRPr="00327B3A">
        <w:rPr>
          <w:rFonts w:asciiTheme="majorHAnsi" w:hAnsiTheme="majorHAnsi" w:cstheme="majorHAnsi"/>
          <w:sz w:val="28"/>
          <w:szCs w:val="28"/>
        </w:rPr>
        <w:t xml:space="preserve">lass position.   </w:t>
      </w:r>
      <w:r w:rsidRPr="00327B3A">
        <w:rPr>
          <w:rFonts w:asciiTheme="majorHAnsi" w:hAnsiTheme="majorHAnsi" w:cstheme="majorHAnsi"/>
          <w:sz w:val="28"/>
          <w:szCs w:val="28"/>
        </w:rPr>
        <w:t xml:space="preserve">  </w:t>
      </w:r>
    </w:p>
    <w:p w:rsidR="00AA3C5B" w:rsidRPr="00327B3A" w:rsidRDefault="00636861" w:rsidP="005C4D1D">
      <w:pPr>
        <w:jc w:val="both"/>
        <w:rPr>
          <w:rFonts w:asciiTheme="majorHAnsi" w:hAnsiTheme="majorHAnsi" w:cstheme="majorHAnsi"/>
          <w:sz w:val="28"/>
          <w:szCs w:val="28"/>
        </w:rPr>
      </w:pPr>
      <w:r w:rsidRPr="00327B3A">
        <w:rPr>
          <w:rFonts w:asciiTheme="majorHAnsi" w:hAnsiTheme="majorHAnsi" w:cstheme="majorHAnsi"/>
          <w:sz w:val="28"/>
          <w:szCs w:val="28"/>
        </w:rPr>
        <w:t>The social class-education-</w:t>
      </w:r>
      <w:r w:rsidR="006C5706" w:rsidRPr="00327B3A">
        <w:rPr>
          <w:rFonts w:asciiTheme="majorHAnsi" w:hAnsiTheme="majorHAnsi" w:cstheme="majorHAnsi"/>
          <w:sz w:val="28"/>
          <w:szCs w:val="28"/>
        </w:rPr>
        <w:t xml:space="preserve">job competition </w:t>
      </w:r>
      <w:r w:rsidR="00FE0CD1" w:rsidRPr="00327B3A">
        <w:rPr>
          <w:rFonts w:asciiTheme="majorHAnsi" w:hAnsiTheme="majorHAnsi" w:cstheme="majorHAnsi"/>
          <w:sz w:val="28"/>
          <w:szCs w:val="28"/>
        </w:rPr>
        <w:t xml:space="preserve">model </w:t>
      </w:r>
      <w:r w:rsidR="006C5706" w:rsidRPr="00327B3A">
        <w:rPr>
          <w:rFonts w:asciiTheme="majorHAnsi" w:hAnsiTheme="majorHAnsi" w:cstheme="majorHAnsi"/>
          <w:sz w:val="28"/>
          <w:szCs w:val="28"/>
        </w:rPr>
        <w:t xml:space="preserve">hypothesises </w:t>
      </w:r>
      <w:r w:rsidR="00925141" w:rsidRPr="00327B3A">
        <w:rPr>
          <w:rFonts w:asciiTheme="majorHAnsi" w:hAnsiTheme="majorHAnsi" w:cstheme="majorHAnsi"/>
          <w:sz w:val="28"/>
          <w:szCs w:val="28"/>
        </w:rPr>
        <w:t xml:space="preserve">that secondary </w:t>
      </w:r>
      <w:r w:rsidR="009B2A69" w:rsidRPr="00327B3A">
        <w:rPr>
          <w:rFonts w:asciiTheme="majorHAnsi" w:hAnsiTheme="majorHAnsi" w:cstheme="majorHAnsi"/>
          <w:sz w:val="28"/>
          <w:szCs w:val="28"/>
        </w:rPr>
        <w:t xml:space="preserve">and post-secondary </w:t>
      </w:r>
      <w:r w:rsidR="00925141" w:rsidRPr="00327B3A">
        <w:rPr>
          <w:rFonts w:asciiTheme="majorHAnsi" w:hAnsiTheme="majorHAnsi" w:cstheme="majorHAnsi"/>
          <w:sz w:val="28"/>
          <w:szCs w:val="28"/>
        </w:rPr>
        <w:t xml:space="preserve">education </w:t>
      </w:r>
      <w:r w:rsidR="009B2A69" w:rsidRPr="00327B3A">
        <w:rPr>
          <w:rFonts w:asciiTheme="majorHAnsi" w:hAnsiTheme="majorHAnsi" w:cstheme="majorHAnsi"/>
          <w:sz w:val="28"/>
          <w:szCs w:val="28"/>
        </w:rPr>
        <w:t>are</w:t>
      </w:r>
      <w:r w:rsidR="00925141" w:rsidRPr="00327B3A">
        <w:rPr>
          <w:rFonts w:asciiTheme="majorHAnsi" w:hAnsiTheme="majorHAnsi" w:cstheme="majorHAnsi"/>
          <w:sz w:val="28"/>
          <w:szCs w:val="28"/>
        </w:rPr>
        <w:t xml:space="preserve"> </w:t>
      </w:r>
      <w:r w:rsidR="006C5706" w:rsidRPr="00327B3A">
        <w:rPr>
          <w:rFonts w:asciiTheme="majorHAnsi" w:hAnsiTheme="majorHAnsi" w:cstheme="majorHAnsi"/>
          <w:sz w:val="28"/>
          <w:szCs w:val="28"/>
        </w:rPr>
        <w:t xml:space="preserve">increasingly the main </w:t>
      </w:r>
      <w:r w:rsidR="009B2A69" w:rsidRPr="00327B3A">
        <w:rPr>
          <w:rFonts w:asciiTheme="majorHAnsi" w:hAnsiTheme="majorHAnsi" w:cstheme="majorHAnsi"/>
          <w:sz w:val="28"/>
          <w:szCs w:val="28"/>
        </w:rPr>
        <w:t xml:space="preserve">sorting </w:t>
      </w:r>
      <w:r w:rsidR="006C5706" w:rsidRPr="00327B3A">
        <w:rPr>
          <w:rFonts w:asciiTheme="majorHAnsi" w:hAnsiTheme="majorHAnsi" w:cstheme="majorHAnsi"/>
          <w:sz w:val="28"/>
          <w:szCs w:val="28"/>
        </w:rPr>
        <w:t>mechanism</w:t>
      </w:r>
      <w:r w:rsidR="009B2A69" w:rsidRPr="00327B3A">
        <w:rPr>
          <w:rFonts w:asciiTheme="majorHAnsi" w:hAnsiTheme="majorHAnsi" w:cstheme="majorHAnsi"/>
          <w:sz w:val="28"/>
          <w:szCs w:val="28"/>
        </w:rPr>
        <w:t>s</w:t>
      </w:r>
      <w:r w:rsidR="006C5706" w:rsidRPr="00327B3A">
        <w:rPr>
          <w:rFonts w:asciiTheme="majorHAnsi" w:hAnsiTheme="majorHAnsi" w:cstheme="majorHAnsi"/>
          <w:sz w:val="28"/>
          <w:szCs w:val="28"/>
        </w:rPr>
        <w:t xml:space="preserve"> </w:t>
      </w:r>
      <w:r w:rsidR="00351D1D" w:rsidRPr="00327B3A">
        <w:rPr>
          <w:rFonts w:asciiTheme="majorHAnsi" w:hAnsiTheme="majorHAnsi" w:cstheme="majorHAnsi"/>
          <w:sz w:val="28"/>
          <w:szCs w:val="28"/>
        </w:rPr>
        <w:t xml:space="preserve">for </w:t>
      </w:r>
      <w:r w:rsidR="006C5706" w:rsidRPr="00327B3A">
        <w:rPr>
          <w:rFonts w:asciiTheme="majorHAnsi" w:hAnsiTheme="majorHAnsi" w:cstheme="majorHAnsi"/>
          <w:sz w:val="28"/>
          <w:szCs w:val="28"/>
        </w:rPr>
        <w:lastRenderedPageBreak/>
        <w:t>access</w:t>
      </w:r>
      <w:r w:rsidR="00351D1D" w:rsidRPr="00327B3A">
        <w:rPr>
          <w:rFonts w:asciiTheme="majorHAnsi" w:hAnsiTheme="majorHAnsi" w:cstheme="majorHAnsi"/>
          <w:sz w:val="28"/>
          <w:szCs w:val="28"/>
        </w:rPr>
        <w:t>ing</w:t>
      </w:r>
      <w:r w:rsidR="006C5706" w:rsidRPr="00327B3A">
        <w:rPr>
          <w:rFonts w:asciiTheme="majorHAnsi" w:hAnsiTheme="majorHAnsi" w:cstheme="majorHAnsi"/>
          <w:sz w:val="28"/>
          <w:szCs w:val="28"/>
        </w:rPr>
        <w:t xml:space="preserve"> </w:t>
      </w:r>
      <w:r w:rsidR="00351D1D" w:rsidRPr="00327B3A">
        <w:rPr>
          <w:rFonts w:asciiTheme="majorHAnsi" w:hAnsiTheme="majorHAnsi" w:cstheme="majorHAnsi"/>
          <w:sz w:val="28"/>
          <w:szCs w:val="28"/>
        </w:rPr>
        <w:t xml:space="preserve">usually very </w:t>
      </w:r>
      <w:r w:rsidR="001D694B" w:rsidRPr="00327B3A">
        <w:rPr>
          <w:rFonts w:asciiTheme="majorHAnsi" w:hAnsiTheme="majorHAnsi" w:cstheme="majorHAnsi"/>
          <w:sz w:val="28"/>
          <w:szCs w:val="28"/>
        </w:rPr>
        <w:t>scarce</w:t>
      </w:r>
      <w:r w:rsidR="006C5706" w:rsidRPr="00327B3A">
        <w:rPr>
          <w:rFonts w:asciiTheme="majorHAnsi" w:hAnsiTheme="majorHAnsi" w:cstheme="majorHAnsi"/>
          <w:sz w:val="28"/>
          <w:szCs w:val="28"/>
        </w:rPr>
        <w:t xml:space="preserve"> ‘good jobs’ in the formal sector. </w:t>
      </w:r>
      <w:r w:rsidR="00720680" w:rsidRPr="00327B3A">
        <w:rPr>
          <w:rFonts w:asciiTheme="majorHAnsi" w:hAnsiTheme="majorHAnsi" w:cstheme="majorHAnsi"/>
          <w:sz w:val="28"/>
          <w:szCs w:val="28"/>
        </w:rPr>
        <w:t>Further</w:t>
      </w:r>
      <w:r w:rsidR="007219FF">
        <w:rPr>
          <w:rFonts w:asciiTheme="majorHAnsi" w:hAnsiTheme="majorHAnsi" w:cstheme="majorHAnsi"/>
          <w:sz w:val="28"/>
          <w:szCs w:val="28"/>
        </w:rPr>
        <w:t>more</w:t>
      </w:r>
      <w:r w:rsidR="00720680" w:rsidRPr="00327B3A">
        <w:rPr>
          <w:rFonts w:asciiTheme="majorHAnsi" w:hAnsiTheme="majorHAnsi" w:cstheme="majorHAnsi"/>
          <w:sz w:val="28"/>
          <w:szCs w:val="28"/>
        </w:rPr>
        <w:t>, s</w:t>
      </w:r>
      <w:r w:rsidR="001D694B" w:rsidRPr="00327B3A">
        <w:rPr>
          <w:rFonts w:asciiTheme="majorHAnsi" w:hAnsiTheme="majorHAnsi" w:cstheme="majorHAnsi"/>
          <w:sz w:val="28"/>
          <w:szCs w:val="28"/>
        </w:rPr>
        <w:t>econdary</w:t>
      </w:r>
      <w:r w:rsidR="00351D1D" w:rsidRPr="00327B3A">
        <w:rPr>
          <w:rFonts w:asciiTheme="majorHAnsi" w:hAnsiTheme="majorHAnsi" w:cstheme="majorHAnsi"/>
          <w:sz w:val="28"/>
          <w:szCs w:val="28"/>
        </w:rPr>
        <w:t xml:space="preserve"> and post-secondary </w:t>
      </w:r>
      <w:r w:rsidR="001D694B" w:rsidRPr="00327B3A">
        <w:rPr>
          <w:rFonts w:asciiTheme="majorHAnsi" w:hAnsiTheme="majorHAnsi" w:cstheme="majorHAnsi"/>
          <w:sz w:val="28"/>
          <w:szCs w:val="28"/>
        </w:rPr>
        <w:t xml:space="preserve">education </w:t>
      </w:r>
      <w:r w:rsidR="00720680" w:rsidRPr="00327B3A">
        <w:rPr>
          <w:rFonts w:asciiTheme="majorHAnsi" w:hAnsiTheme="majorHAnsi" w:cstheme="majorHAnsi"/>
          <w:sz w:val="28"/>
          <w:szCs w:val="28"/>
        </w:rPr>
        <w:t xml:space="preserve">powerfully </w:t>
      </w:r>
      <w:r w:rsidR="00AA3C5B" w:rsidRPr="00327B3A">
        <w:rPr>
          <w:rFonts w:asciiTheme="majorHAnsi" w:hAnsiTheme="majorHAnsi" w:cstheme="majorHAnsi"/>
          <w:sz w:val="28"/>
          <w:szCs w:val="28"/>
        </w:rPr>
        <w:t xml:space="preserve">serve the interests of the middle class </w:t>
      </w:r>
      <w:r w:rsidR="00720680" w:rsidRPr="00327B3A">
        <w:rPr>
          <w:rFonts w:asciiTheme="majorHAnsi" w:hAnsiTheme="majorHAnsi" w:cstheme="majorHAnsi"/>
          <w:sz w:val="28"/>
          <w:szCs w:val="28"/>
        </w:rPr>
        <w:t xml:space="preserve">by </w:t>
      </w:r>
      <w:r w:rsidR="00AA3C5B" w:rsidRPr="00327B3A">
        <w:rPr>
          <w:rFonts w:asciiTheme="majorHAnsi" w:hAnsiTheme="majorHAnsi" w:cstheme="majorHAnsi"/>
          <w:sz w:val="28"/>
          <w:szCs w:val="28"/>
        </w:rPr>
        <w:t>ensuring that their children are well p</w:t>
      </w:r>
      <w:r w:rsidR="00351D1D" w:rsidRPr="00327B3A">
        <w:rPr>
          <w:rFonts w:asciiTheme="majorHAnsi" w:hAnsiTheme="majorHAnsi" w:cstheme="majorHAnsi"/>
          <w:sz w:val="28"/>
          <w:szCs w:val="28"/>
        </w:rPr>
        <w:t xml:space="preserve">ositioned </w:t>
      </w:r>
      <w:r w:rsidR="000C3CB6" w:rsidRPr="00327B3A">
        <w:rPr>
          <w:rFonts w:asciiTheme="majorHAnsi" w:hAnsiTheme="majorHAnsi" w:cstheme="majorHAnsi"/>
          <w:sz w:val="28"/>
          <w:szCs w:val="28"/>
        </w:rPr>
        <w:t>with regard to</w:t>
      </w:r>
      <w:r w:rsidR="00AA3C5B" w:rsidRPr="00327B3A">
        <w:rPr>
          <w:rFonts w:asciiTheme="majorHAnsi" w:hAnsiTheme="majorHAnsi" w:cstheme="majorHAnsi"/>
          <w:sz w:val="28"/>
          <w:szCs w:val="28"/>
        </w:rPr>
        <w:t xml:space="preserve"> the intense educational competition for these jobs. As such, secondary education in mo</w:t>
      </w:r>
      <w:r w:rsidR="00351D1D" w:rsidRPr="00327B3A">
        <w:rPr>
          <w:rFonts w:asciiTheme="majorHAnsi" w:hAnsiTheme="majorHAnsi" w:cstheme="majorHAnsi"/>
          <w:sz w:val="28"/>
          <w:szCs w:val="28"/>
        </w:rPr>
        <w:t xml:space="preserve">st </w:t>
      </w:r>
      <w:r w:rsidR="00AA3C5B" w:rsidRPr="00327B3A">
        <w:rPr>
          <w:rFonts w:asciiTheme="majorHAnsi" w:hAnsiTheme="majorHAnsi" w:cstheme="majorHAnsi"/>
          <w:sz w:val="28"/>
          <w:szCs w:val="28"/>
        </w:rPr>
        <w:t>co</w:t>
      </w:r>
      <w:r w:rsidR="00351D1D" w:rsidRPr="00327B3A">
        <w:rPr>
          <w:rFonts w:asciiTheme="majorHAnsi" w:hAnsiTheme="majorHAnsi" w:cstheme="majorHAnsi"/>
          <w:sz w:val="28"/>
          <w:szCs w:val="28"/>
        </w:rPr>
        <w:t>untries</w:t>
      </w:r>
      <w:r w:rsidR="00AA3C5B" w:rsidRPr="00327B3A">
        <w:rPr>
          <w:rFonts w:asciiTheme="majorHAnsi" w:hAnsiTheme="majorHAnsi" w:cstheme="majorHAnsi"/>
          <w:sz w:val="28"/>
          <w:szCs w:val="28"/>
        </w:rPr>
        <w:t xml:space="preserve"> </w:t>
      </w:r>
      <w:r w:rsidR="00351D1D" w:rsidRPr="00327B3A">
        <w:rPr>
          <w:rFonts w:asciiTheme="majorHAnsi" w:hAnsiTheme="majorHAnsi" w:cstheme="majorHAnsi"/>
          <w:sz w:val="28"/>
          <w:szCs w:val="28"/>
        </w:rPr>
        <w:t xml:space="preserve">in SSA continues </w:t>
      </w:r>
      <w:r w:rsidR="00AA3C5B" w:rsidRPr="00327B3A">
        <w:rPr>
          <w:rFonts w:asciiTheme="majorHAnsi" w:hAnsiTheme="majorHAnsi" w:cstheme="majorHAnsi"/>
          <w:sz w:val="28"/>
          <w:szCs w:val="28"/>
        </w:rPr>
        <w:t>to b</w:t>
      </w:r>
      <w:r w:rsidR="00720680" w:rsidRPr="00327B3A">
        <w:rPr>
          <w:rFonts w:asciiTheme="majorHAnsi" w:hAnsiTheme="majorHAnsi" w:cstheme="majorHAnsi"/>
          <w:sz w:val="28"/>
          <w:szCs w:val="28"/>
        </w:rPr>
        <w:t xml:space="preserve">e a very efficient but </w:t>
      </w:r>
      <w:r w:rsidR="00AA3C5B" w:rsidRPr="00327B3A">
        <w:rPr>
          <w:rFonts w:asciiTheme="majorHAnsi" w:hAnsiTheme="majorHAnsi" w:cstheme="majorHAnsi"/>
          <w:sz w:val="28"/>
          <w:szCs w:val="28"/>
        </w:rPr>
        <w:t xml:space="preserve">brutally inequitable and socially wasteful sorting mechanism where only a small elite of students </w:t>
      </w:r>
      <w:r w:rsidR="00720680" w:rsidRPr="00327B3A">
        <w:rPr>
          <w:rFonts w:asciiTheme="majorHAnsi" w:hAnsiTheme="majorHAnsi" w:cstheme="majorHAnsi"/>
          <w:sz w:val="28"/>
          <w:szCs w:val="28"/>
        </w:rPr>
        <w:t xml:space="preserve">can be </w:t>
      </w:r>
      <w:r w:rsidR="007219FF">
        <w:rPr>
          <w:rFonts w:asciiTheme="majorHAnsi" w:hAnsiTheme="majorHAnsi" w:cstheme="majorHAnsi"/>
          <w:sz w:val="28"/>
          <w:szCs w:val="28"/>
        </w:rPr>
        <w:t>‘</w:t>
      </w:r>
      <w:r w:rsidR="00AA3C5B" w:rsidRPr="00327B3A">
        <w:rPr>
          <w:rFonts w:asciiTheme="majorHAnsi" w:hAnsiTheme="majorHAnsi" w:cstheme="majorHAnsi"/>
          <w:sz w:val="28"/>
          <w:szCs w:val="28"/>
        </w:rPr>
        <w:t>successful</w:t>
      </w:r>
      <w:r w:rsidR="007219FF">
        <w:rPr>
          <w:rFonts w:asciiTheme="majorHAnsi" w:hAnsiTheme="majorHAnsi" w:cstheme="majorHAnsi"/>
          <w:sz w:val="28"/>
          <w:szCs w:val="28"/>
        </w:rPr>
        <w:t>’</w:t>
      </w:r>
      <w:r w:rsidR="00AA3C5B" w:rsidRPr="00327B3A">
        <w:rPr>
          <w:rFonts w:asciiTheme="majorHAnsi" w:hAnsiTheme="majorHAnsi" w:cstheme="majorHAnsi"/>
          <w:sz w:val="28"/>
          <w:szCs w:val="28"/>
        </w:rPr>
        <w:t xml:space="preserve"> </w:t>
      </w:r>
      <w:r w:rsidR="007219FF">
        <w:rPr>
          <w:rFonts w:asciiTheme="majorHAnsi" w:hAnsiTheme="majorHAnsi" w:cstheme="majorHAnsi"/>
          <w:sz w:val="28"/>
          <w:szCs w:val="28"/>
        </w:rPr>
        <w:t xml:space="preserve">while </w:t>
      </w:r>
      <w:r w:rsidR="00AA3C5B" w:rsidRPr="00327B3A">
        <w:rPr>
          <w:rFonts w:asciiTheme="majorHAnsi" w:hAnsiTheme="majorHAnsi" w:cstheme="majorHAnsi"/>
          <w:sz w:val="28"/>
          <w:szCs w:val="28"/>
        </w:rPr>
        <w:t xml:space="preserve">the large majority are destined to </w:t>
      </w:r>
      <w:r w:rsidR="007219FF">
        <w:rPr>
          <w:rFonts w:asciiTheme="majorHAnsi" w:hAnsiTheme="majorHAnsi" w:cstheme="majorHAnsi"/>
          <w:sz w:val="28"/>
          <w:szCs w:val="28"/>
        </w:rPr>
        <w:t>be ‘</w:t>
      </w:r>
      <w:r w:rsidR="00AA3C5B" w:rsidRPr="00327B3A">
        <w:rPr>
          <w:rFonts w:asciiTheme="majorHAnsi" w:hAnsiTheme="majorHAnsi" w:cstheme="majorHAnsi"/>
          <w:sz w:val="28"/>
          <w:szCs w:val="28"/>
        </w:rPr>
        <w:t>fail</w:t>
      </w:r>
      <w:r w:rsidR="007219FF">
        <w:rPr>
          <w:rFonts w:asciiTheme="majorHAnsi" w:hAnsiTheme="majorHAnsi" w:cstheme="majorHAnsi"/>
          <w:sz w:val="28"/>
          <w:szCs w:val="28"/>
        </w:rPr>
        <w:t>ures’</w:t>
      </w:r>
      <w:r w:rsidR="00AA3C5B" w:rsidRPr="00327B3A">
        <w:rPr>
          <w:rFonts w:asciiTheme="majorHAnsi" w:hAnsiTheme="majorHAnsi" w:cstheme="majorHAnsi"/>
          <w:sz w:val="28"/>
          <w:szCs w:val="28"/>
        </w:rPr>
        <w:t>.</w:t>
      </w:r>
      <w:r w:rsidR="00351D1D" w:rsidRPr="00327B3A">
        <w:rPr>
          <w:rFonts w:asciiTheme="majorHAnsi" w:hAnsiTheme="majorHAnsi" w:cstheme="majorHAnsi"/>
          <w:sz w:val="28"/>
          <w:szCs w:val="28"/>
        </w:rPr>
        <w:t xml:space="preserve"> The Report recognises this ‘winnowing’ function of the education</w:t>
      </w:r>
      <w:r w:rsidR="00AA3C5B" w:rsidRPr="00327B3A">
        <w:rPr>
          <w:rFonts w:asciiTheme="majorHAnsi" w:hAnsiTheme="majorHAnsi" w:cstheme="majorHAnsi"/>
          <w:sz w:val="28"/>
          <w:szCs w:val="28"/>
        </w:rPr>
        <w:t xml:space="preserve"> </w:t>
      </w:r>
      <w:r w:rsidR="00351D1D" w:rsidRPr="00327B3A">
        <w:rPr>
          <w:rFonts w:asciiTheme="majorHAnsi" w:hAnsiTheme="majorHAnsi" w:cstheme="majorHAnsi"/>
          <w:sz w:val="28"/>
          <w:szCs w:val="28"/>
        </w:rPr>
        <w:t xml:space="preserve">system but does not take on the board the political and social implications this has for the </w:t>
      </w:r>
      <w:r w:rsidR="007219FF">
        <w:rPr>
          <w:rFonts w:asciiTheme="majorHAnsi" w:hAnsiTheme="majorHAnsi" w:cstheme="majorHAnsi"/>
          <w:sz w:val="28"/>
          <w:szCs w:val="28"/>
        </w:rPr>
        <w:t xml:space="preserve">overall </w:t>
      </w:r>
      <w:r w:rsidR="00351D1D" w:rsidRPr="00327B3A">
        <w:rPr>
          <w:rFonts w:asciiTheme="majorHAnsi" w:hAnsiTheme="majorHAnsi" w:cstheme="majorHAnsi"/>
          <w:sz w:val="28"/>
          <w:szCs w:val="28"/>
        </w:rPr>
        <w:t>feasibility for educational reform at least for the foreseeable future.</w:t>
      </w:r>
    </w:p>
    <w:p w:rsidR="00EE7926" w:rsidRPr="00327B3A" w:rsidRDefault="00EE7926" w:rsidP="005C4D1D">
      <w:pPr>
        <w:jc w:val="both"/>
        <w:rPr>
          <w:rFonts w:asciiTheme="majorHAnsi" w:hAnsiTheme="majorHAnsi" w:cstheme="majorHAnsi"/>
          <w:i/>
          <w:sz w:val="28"/>
          <w:szCs w:val="28"/>
        </w:rPr>
      </w:pPr>
      <w:r w:rsidRPr="00327B3A">
        <w:rPr>
          <w:rFonts w:asciiTheme="majorHAnsi" w:hAnsiTheme="majorHAnsi" w:cstheme="majorHAnsi"/>
          <w:i/>
          <w:sz w:val="28"/>
          <w:szCs w:val="28"/>
        </w:rPr>
        <w:t>The politics of USE in SSA</w:t>
      </w:r>
    </w:p>
    <w:p w:rsidR="00C27870" w:rsidRPr="00327B3A" w:rsidRDefault="00691E86" w:rsidP="005C4D1D">
      <w:pPr>
        <w:jc w:val="both"/>
        <w:rPr>
          <w:rFonts w:asciiTheme="majorHAnsi" w:hAnsiTheme="majorHAnsi" w:cstheme="majorHAnsi"/>
          <w:sz w:val="28"/>
          <w:szCs w:val="28"/>
        </w:rPr>
      </w:pPr>
      <w:r w:rsidRPr="00327B3A">
        <w:rPr>
          <w:rFonts w:asciiTheme="majorHAnsi" w:hAnsiTheme="majorHAnsi" w:cstheme="majorHAnsi"/>
          <w:sz w:val="28"/>
          <w:szCs w:val="28"/>
        </w:rPr>
        <w:t xml:space="preserve">Given this emerging political economy, </w:t>
      </w:r>
      <w:r w:rsidR="00771CB2" w:rsidRPr="00327B3A">
        <w:rPr>
          <w:rFonts w:asciiTheme="majorHAnsi" w:hAnsiTheme="majorHAnsi" w:cstheme="majorHAnsi"/>
          <w:sz w:val="28"/>
          <w:szCs w:val="28"/>
        </w:rPr>
        <w:t xml:space="preserve">the key question is </w:t>
      </w:r>
      <w:r w:rsidRPr="00327B3A">
        <w:rPr>
          <w:rFonts w:asciiTheme="majorHAnsi" w:hAnsiTheme="majorHAnsi" w:cstheme="majorHAnsi"/>
          <w:sz w:val="28"/>
          <w:szCs w:val="28"/>
        </w:rPr>
        <w:t>how politically committed are governments likely to be the rapid expansion of secondary education?</w:t>
      </w:r>
      <w:r w:rsidR="00720680" w:rsidRPr="00327B3A">
        <w:rPr>
          <w:rFonts w:asciiTheme="majorHAnsi" w:hAnsiTheme="majorHAnsi" w:cstheme="majorHAnsi"/>
          <w:sz w:val="28"/>
          <w:szCs w:val="28"/>
        </w:rPr>
        <w:t xml:space="preserve"> </w:t>
      </w:r>
      <w:r w:rsidR="00913F8D" w:rsidRPr="00327B3A">
        <w:rPr>
          <w:rFonts w:asciiTheme="majorHAnsi" w:hAnsiTheme="majorHAnsi" w:cstheme="majorHAnsi"/>
          <w:sz w:val="28"/>
          <w:szCs w:val="28"/>
        </w:rPr>
        <w:t xml:space="preserve">The </w:t>
      </w:r>
      <w:r w:rsidR="00351D1D" w:rsidRPr="00327B3A">
        <w:rPr>
          <w:rFonts w:asciiTheme="majorHAnsi" w:hAnsiTheme="majorHAnsi" w:cstheme="majorHAnsi"/>
          <w:sz w:val="28"/>
          <w:szCs w:val="28"/>
        </w:rPr>
        <w:t xml:space="preserve">educational </w:t>
      </w:r>
      <w:r w:rsidR="00913F8D" w:rsidRPr="00327B3A">
        <w:rPr>
          <w:rFonts w:asciiTheme="majorHAnsi" w:hAnsiTheme="majorHAnsi" w:cstheme="majorHAnsi"/>
          <w:sz w:val="28"/>
          <w:szCs w:val="28"/>
        </w:rPr>
        <w:t xml:space="preserve">conservatism of </w:t>
      </w:r>
      <w:r w:rsidR="00351D1D" w:rsidRPr="00327B3A">
        <w:rPr>
          <w:rFonts w:asciiTheme="majorHAnsi" w:hAnsiTheme="majorHAnsi" w:cstheme="majorHAnsi"/>
          <w:sz w:val="28"/>
          <w:szCs w:val="28"/>
        </w:rPr>
        <w:t xml:space="preserve">social </w:t>
      </w:r>
      <w:r w:rsidR="00913F8D" w:rsidRPr="00327B3A">
        <w:rPr>
          <w:rFonts w:asciiTheme="majorHAnsi" w:hAnsiTheme="majorHAnsi" w:cstheme="majorHAnsi"/>
          <w:sz w:val="28"/>
          <w:szCs w:val="28"/>
        </w:rPr>
        <w:t>elite</w:t>
      </w:r>
      <w:r w:rsidR="00351D1D" w:rsidRPr="00327B3A">
        <w:rPr>
          <w:rFonts w:asciiTheme="majorHAnsi" w:hAnsiTheme="majorHAnsi" w:cstheme="majorHAnsi"/>
          <w:sz w:val="28"/>
          <w:szCs w:val="28"/>
        </w:rPr>
        <w:t>s</w:t>
      </w:r>
      <w:r w:rsidR="00913F8D" w:rsidRPr="00327B3A">
        <w:rPr>
          <w:rFonts w:asciiTheme="majorHAnsi" w:hAnsiTheme="majorHAnsi" w:cstheme="majorHAnsi"/>
          <w:sz w:val="28"/>
          <w:szCs w:val="28"/>
        </w:rPr>
        <w:t xml:space="preserve"> in SSA </w:t>
      </w:r>
      <w:r w:rsidR="00771CB2" w:rsidRPr="00327B3A">
        <w:rPr>
          <w:rFonts w:asciiTheme="majorHAnsi" w:hAnsiTheme="majorHAnsi" w:cstheme="majorHAnsi"/>
          <w:sz w:val="28"/>
          <w:szCs w:val="28"/>
        </w:rPr>
        <w:t xml:space="preserve">will </w:t>
      </w:r>
      <w:r w:rsidR="00913F8D" w:rsidRPr="00327B3A">
        <w:rPr>
          <w:rFonts w:asciiTheme="majorHAnsi" w:hAnsiTheme="majorHAnsi" w:cstheme="majorHAnsi"/>
          <w:sz w:val="28"/>
          <w:szCs w:val="28"/>
        </w:rPr>
        <w:t>profoundly affect both the formulation and implementation of USE-related reforms</w:t>
      </w:r>
      <w:r w:rsidR="00771CB2" w:rsidRPr="00327B3A">
        <w:rPr>
          <w:rFonts w:asciiTheme="majorHAnsi" w:hAnsiTheme="majorHAnsi" w:cstheme="majorHAnsi"/>
          <w:sz w:val="28"/>
          <w:szCs w:val="28"/>
        </w:rPr>
        <w:t xml:space="preserve"> throughout the continent</w:t>
      </w:r>
      <w:r w:rsidR="00913F8D" w:rsidRPr="00327B3A">
        <w:rPr>
          <w:rFonts w:asciiTheme="majorHAnsi" w:hAnsiTheme="majorHAnsi" w:cstheme="majorHAnsi"/>
          <w:sz w:val="28"/>
          <w:szCs w:val="28"/>
        </w:rPr>
        <w:t xml:space="preserve">. </w:t>
      </w:r>
      <w:r w:rsidRPr="00327B3A">
        <w:rPr>
          <w:rFonts w:asciiTheme="majorHAnsi" w:hAnsiTheme="majorHAnsi" w:cstheme="majorHAnsi"/>
          <w:sz w:val="28"/>
          <w:szCs w:val="28"/>
        </w:rPr>
        <w:t>T</w:t>
      </w:r>
      <w:r w:rsidR="00AA3C5B" w:rsidRPr="00327B3A">
        <w:rPr>
          <w:rFonts w:asciiTheme="majorHAnsi" w:hAnsiTheme="majorHAnsi" w:cstheme="majorHAnsi"/>
          <w:sz w:val="28"/>
          <w:szCs w:val="28"/>
        </w:rPr>
        <w:t xml:space="preserve">he </w:t>
      </w:r>
      <w:r w:rsidRPr="00327B3A">
        <w:rPr>
          <w:rFonts w:asciiTheme="majorHAnsi" w:hAnsiTheme="majorHAnsi" w:cstheme="majorHAnsi"/>
          <w:sz w:val="28"/>
          <w:szCs w:val="28"/>
        </w:rPr>
        <w:t xml:space="preserve">increasingly economically and politically </w:t>
      </w:r>
      <w:r w:rsidR="00351D1D" w:rsidRPr="00327B3A">
        <w:rPr>
          <w:rFonts w:asciiTheme="majorHAnsi" w:hAnsiTheme="majorHAnsi" w:cstheme="majorHAnsi"/>
          <w:sz w:val="28"/>
          <w:szCs w:val="28"/>
        </w:rPr>
        <w:t xml:space="preserve">powerful </w:t>
      </w:r>
      <w:r w:rsidR="00913F8D" w:rsidRPr="00327B3A">
        <w:rPr>
          <w:rFonts w:asciiTheme="majorHAnsi" w:hAnsiTheme="majorHAnsi" w:cstheme="majorHAnsi"/>
          <w:sz w:val="28"/>
          <w:szCs w:val="28"/>
        </w:rPr>
        <w:t>(reconstituted) middle class will continue to be highly</w:t>
      </w:r>
      <w:r w:rsidR="005C4D1D" w:rsidRPr="00327B3A">
        <w:rPr>
          <w:rFonts w:asciiTheme="majorHAnsi" w:hAnsiTheme="majorHAnsi" w:cstheme="majorHAnsi"/>
          <w:sz w:val="28"/>
          <w:szCs w:val="28"/>
        </w:rPr>
        <w:t xml:space="preserve"> protective of </w:t>
      </w:r>
      <w:r w:rsidR="00AA3C5B" w:rsidRPr="00327B3A">
        <w:rPr>
          <w:rFonts w:asciiTheme="majorHAnsi" w:hAnsiTheme="majorHAnsi" w:cstheme="majorHAnsi"/>
          <w:sz w:val="28"/>
          <w:szCs w:val="28"/>
        </w:rPr>
        <w:t xml:space="preserve">the </w:t>
      </w:r>
      <w:r w:rsidR="00771CB2" w:rsidRPr="00327B3A">
        <w:rPr>
          <w:rFonts w:asciiTheme="majorHAnsi" w:hAnsiTheme="majorHAnsi" w:cstheme="majorHAnsi"/>
          <w:sz w:val="28"/>
          <w:szCs w:val="28"/>
        </w:rPr>
        <w:t>u</w:t>
      </w:r>
      <w:r w:rsidR="00A52747" w:rsidRPr="00327B3A">
        <w:rPr>
          <w:rFonts w:asciiTheme="majorHAnsi" w:hAnsiTheme="majorHAnsi" w:cstheme="majorHAnsi"/>
          <w:sz w:val="28"/>
          <w:szCs w:val="28"/>
        </w:rPr>
        <w:t>nderlying rationale</w:t>
      </w:r>
      <w:r w:rsidR="00913F8D" w:rsidRPr="00327B3A">
        <w:rPr>
          <w:rFonts w:asciiTheme="majorHAnsi" w:hAnsiTheme="majorHAnsi" w:cstheme="majorHAnsi"/>
          <w:sz w:val="28"/>
          <w:szCs w:val="28"/>
        </w:rPr>
        <w:t xml:space="preserve"> and structure/organisation</w:t>
      </w:r>
      <w:r w:rsidR="00A52747" w:rsidRPr="00327B3A">
        <w:rPr>
          <w:rFonts w:asciiTheme="majorHAnsi" w:hAnsiTheme="majorHAnsi" w:cstheme="majorHAnsi"/>
          <w:sz w:val="28"/>
          <w:szCs w:val="28"/>
        </w:rPr>
        <w:t xml:space="preserve"> </w:t>
      </w:r>
      <w:r w:rsidR="005C4D1D" w:rsidRPr="00327B3A">
        <w:rPr>
          <w:rFonts w:asciiTheme="majorHAnsi" w:hAnsiTheme="majorHAnsi" w:cstheme="majorHAnsi"/>
          <w:sz w:val="28"/>
          <w:szCs w:val="28"/>
        </w:rPr>
        <w:t xml:space="preserve">of </w:t>
      </w:r>
      <w:r w:rsidR="00A52747" w:rsidRPr="00327B3A">
        <w:rPr>
          <w:rFonts w:asciiTheme="majorHAnsi" w:hAnsiTheme="majorHAnsi" w:cstheme="majorHAnsi"/>
          <w:sz w:val="28"/>
          <w:szCs w:val="28"/>
        </w:rPr>
        <w:t xml:space="preserve">secondary </w:t>
      </w:r>
      <w:r w:rsidR="00771CB2" w:rsidRPr="00327B3A">
        <w:rPr>
          <w:rFonts w:asciiTheme="majorHAnsi" w:hAnsiTheme="majorHAnsi" w:cstheme="majorHAnsi"/>
          <w:sz w:val="28"/>
          <w:szCs w:val="28"/>
        </w:rPr>
        <w:t xml:space="preserve">schooling </w:t>
      </w:r>
      <w:r w:rsidR="00AA3C5B" w:rsidRPr="00327B3A">
        <w:rPr>
          <w:rFonts w:asciiTheme="majorHAnsi" w:hAnsiTheme="majorHAnsi" w:cstheme="majorHAnsi"/>
          <w:sz w:val="28"/>
          <w:szCs w:val="28"/>
        </w:rPr>
        <w:t xml:space="preserve">which </w:t>
      </w:r>
      <w:r w:rsidR="00771CB2" w:rsidRPr="00327B3A">
        <w:rPr>
          <w:rFonts w:asciiTheme="majorHAnsi" w:hAnsiTheme="majorHAnsi" w:cstheme="majorHAnsi"/>
          <w:sz w:val="28"/>
          <w:szCs w:val="28"/>
        </w:rPr>
        <w:t xml:space="preserve">so effectively </w:t>
      </w:r>
      <w:r w:rsidR="00AA3C5B" w:rsidRPr="00327B3A">
        <w:rPr>
          <w:rFonts w:asciiTheme="majorHAnsi" w:hAnsiTheme="majorHAnsi" w:cstheme="majorHAnsi"/>
          <w:sz w:val="28"/>
          <w:szCs w:val="28"/>
        </w:rPr>
        <w:t xml:space="preserve">serves its </w:t>
      </w:r>
      <w:r w:rsidR="005C4D1D" w:rsidRPr="00327B3A">
        <w:rPr>
          <w:rFonts w:asciiTheme="majorHAnsi" w:hAnsiTheme="majorHAnsi" w:cstheme="majorHAnsi"/>
          <w:sz w:val="28"/>
          <w:szCs w:val="28"/>
        </w:rPr>
        <w:t xml:space="preserve">social and economic </w:t>
      </w:r>
      <w:r w:rsidR="00771CB2" w:rsidRPr="00327B3A">
        <w:rPr>
          <w:rFonts w:asciiTheme="majorHAnsi" w:hAnsiTheme="majorHAnsi" w:cstheme="majorHAnsi"/>
          <w:sz w:val="28"/>
          <w:szCs w:val="28"/>
        </w:rPr>
        <w:t>interests</w:t>
      </w:r>
      <w:r w:rsidR="005C4D1D" w:rsidRPr="00327B3A">
        <w:rPr>
          <w:rFonts w:asciiTheme="majorHAnsi" w:hAnsiTheme="majorHAnsi" w:cstheme="majorHAnsi"/>
          <w:sz w:val="28"/>
          <w:szCs w:val="28"/>
        </w:rPr>
        <w:t xml:space="preserve">. Consequently, </w:t>
      </w:r>
      <w:r w:rsidR="00A52747" w:rsidRPr="00327B3A">
        <w:rPr>
          <w:rFonts w:asciiTheme="majorHAnsi" w:hAnsiTheme="majorHAnsi" w:cstheme="majorHAnsi"/>
          <w:sz w:val="28"/>
          <w:szCs w:val="28"/>
        </w:rPr>
        <w:t>any</w:t>
      </w:r>
      <w:r w:rsidR="005C4D1D" w:rsidRPr="00327B3A">
        <w:rPr>
          <w:rFonts w:asciiTheme="majorHAnsi" w:hAnsiTheme="majorHAnsi" w:cstheme="majorHAnsi"/>
          <w:sz w:val="28"/>
          <w:szCs w:val="28"/>
        </w:rPr>
        <w:t xml:space="preserve"> reforms which undermine </w:t>
      </w:r>
      <w:r w:rsidR="00A52747" w:rsidRPr="00327B3A">
        <w:rPr>
          <w:rFonts w:asciiTheme="majorHAnsi" w:hAnsiTheme="majorHAnsi" w:cstheme="majorHAnsi"/>
          <w:sz w:val="28"/>
          <w:szCs w:val="28"/>
        </w:rPr>
        <w:t xml:space="preserve">key features of </w:t>
      </w:r>
      <w:r w:rsidR="00771CB2" w:rsidRPr="00327B3A">
        <w:rPr>
          <w:rFonts w:asciiTheme="majorHAnsi" w:hAnsiTheme="majorHAnsi" w:cstheme="majorHAnsi"/>
          <w:sz w:val="28"/>
          <w:szCs w:val="28"/>
        </w:rPr>
        <w:t xml:space="preserve">current </w:t>
      </w:r>
      <w:r w:rsidR="00A52747" w:rsidRPr="00327B3A">
        <w:rPr>
          <w:rFonts w:asciiTheme="majorHAnsi" w:hAnsiTheme="majorHAnsi" w:cstheme="majorHAnsi"/>
          <w:sz w:val="28"/>
          <w:szCs w:val="28"/>
        </w:rPr>
        <w:t xml:space="preserve">schooling </w:t>
      </w:r>
      <w:r w:rsidR="005C4D1D" w:rsidRPr="00327B3A">
        <w:rPr>
          <w:rFonts w:asciiTheme="majorHAnsi" w:hAnsiTheme="majorHAnsi" w:cstheme="majorHAnsi"/>
          <w:sz w:val="28"/>
          <w:szCs w:val="28"/>
        </w:rPr>
        <w:t>provision</w:t>
      </w:r>
      <w:r w:rsidR="00A52747" w:rsidRPr="00327B3A">
        <w:rPr>
          <w:rFonts w:asciiTheme="majorHAnsi" w:hAnsiTheme="majorHAnsi" w:cstheme="majorHAnsi"/>
          <w:sz w:val="28"/>
          <w:szCs w:val="28"/>
        </w:rPr>
        <w:t xml:space="preserve"> (including exclusionary tuition fee and oth</w:t>
      </w:r>
      <w:r w:rsidR="007219FF">
        <w:rPr>
          <w:rFonts w:asciiTheme="majorHAnsi" w:hAnsiTheme="majorHAnsi" w:cstheme="majorHAnsi"/>
          <w:sz w:val="28"/>
          <w:szCs w:val="28"/>
        </w:rPr>
        <w:t>er parental contributions, high-</w:t>
      </w:r>
      <w:r w:rsidR="00A52747" w:rsidRPr="00327B3A">
        <w:rPr>
          <w:rFonts w:asciiTheme="majorHAnsi" w:hAnsiTheme="majorHAnsi" w:cstheme="majorHAnsi"/>
          <w:sz w:val="28"/>
          <w:szCs w:val="28"/>
        </w:rPr>
        <w:t>stake</w:t>
      </w:r>
      <w:r w:rsidR="007219FF">
        <w:rPr>
          <w:rFonts w:asciiTheme="majorHAnsi" w:hAnsiTheme="majorHAnsi" w:cstheme="majorHAnsi"/>
          <w:sz w:val="28"/>
          <w:szCs w:val="28"/>
        </w:rPr>
        <w:t>s</w:t>
      </w:r>
      <w:r w:rsidR="00A52747" w:rsidRPr="00327B3A">
        <w:rPr>
          <w:rFonts w:asciiTheme="majorHAnsi" w:hAnsiTheme="majorHAnsi" w:cstheme="majorHAnsi"/>
          <w:sz w:val="28"/>
          <w:szCs w:val="28"/>
        </w:rPr>
        <w:t xml:space="preserve"> entrance and terminal examinations, and a</w:t>
      </w:r>
      <w:r w:rsidR="00B34EF1">
        <w:rPr>
          <w:rFonts w:asciiTheme="majorHAnsi" w:hAnsiTheme="majorHAnsi" w:cstheme="majorHAnsi"/>
          <w:sz w:val="28"/>
          <w:szCs w:val="28"/>
        </w:rPr>
        <w:t xml:space="preserve"> very </w:t>
      </w:r>
      <w:r w:rsidR="00A52747" w:rsidRPr="00327B3A">
        <w:rPr>
          <w:rFonts w:asciiTheme="majorHAnsi" w:hAnsiTheme="majorHAnsi" w:cstheme="majorHAnsi"/>
          <w:sz w:val="28"/>
          <w:szCs w:val="28"/>
        </w:rPr>
        <w:t>academic</w:t>
      </w:r>
      <w:r w:rsidR="00925141" w:rsidRPr="00327B3A">
        <w:rPr>
          <w:rFonts w:asciiTheme="majorHAnsi" w:hAnsiTheme="majorHAnsi" w:cstheme="majorHAnsi"/>
          <w:sz w:val="28"/>
          <w:szCs w:val="28"/>
        </w:rPr>
        <w:t>, subject and content heavy</w:t>
      </w:r>
      <w:r w:rsidR="00A52747" w:rsidRPr="00327B3A">
        <w:rPr>
          <w:rFonts w:asciiTheme="majorHAnsi" w:hAnsiTheme="majorHAnsi" w:cstheme="majorHAnsi"/>
          <w:sz w:val="28"/>
          <w:szCs w:val="28"/>
        </w:rPr>
        <w:t xml:space="preserve"> curricula</w:t>
      </w:r>
      <w:r w:rsidR="00720680" w:rsidRPr="00327B3A">
        <w:rPr>
          <w:rFonts w:asciiTheme="majorHAnsi" w:hAnsiTheme="majorHAnsi" w:cstheme="majorHAnsi"/>
          <w:sz w:val="28"/>
          <w:szCs w:val="28"/>
        </w:rPr>
        <w:t>)</w:t>
      </w:r>
      <w:r w:rsidR="00A52747" w:rsidRPr="00327B3A">
        <w:rPr>
          <w:rFonts w:asciiTheme="majorHAnsi" w:hAnsiTheme="majorHAnsi" w:cstheme="majorHAnsi"/>
          <w:sz w:val="28"/>
          <w:szCs w:val="28"/>
        </w:rPr>
        <w:t xml:space="preserve"> will </w:t>
      </w:r>
      <w:r w:rsidR="00925141" w:rsidRPr="00327B3A">
        <w:rPr>
          <w:rFonts w:asciiTheme="majorHAnsi" w:hAnsiTheme="majorHAnsi" w:cstheme="majorHAnsi"/>
          <w:sz w:val="28"/>
          <w:szCs w:val="28"/>
        </w:rPr>
        <w:t>face strong social and political opposition from the</w:t>
      </w:r>
      <w:r w:rsidR="00C01D81" w:rsidRPr="00327B3A">
        <w:rPr>
          <w:rFonts w:asciiTheme="majorHAnsi" w:hAnsiTheme="majorHAnsi" w:cstheme="majorHAnsi"/>
          <w:sz w:val="28"/>
          <w:szCs w:val="28"/>
        </w:rPr>
        <w:t xml:space="preserve"> </w:t>
      </w:r>
      <w:r w:rsidR="00913F8D" w:rsidRPr="00327B3A">
        <w:rPr>
          <w:rFonts w:asciiTheme="majorHAnsi" w:hAnsiTheme="majorHAnsi" w:cstheme="majorHAnsi"/>
          <w:sz w:val="28"/>
          <w:szCs w:val="28"/>
        </w:rPr>
        <w:t xml:space="preserve">middle class </w:t>
      </w:r>
      <w:r w:rsidR="00C01D81" w:rsidRPr="00327B3A">
        <w:rPr>
          <w:rFonts w:asciiTheme="majorHAnsi" w:hAnsiTheme="majorHAnsi" w:cstheme="majorHAnsi"/>
          <w:sz w:val="28"/>
          <w:szCs w:val="28"/>
        </w:rPr>
        <w:t xml:space="preserve">and other </w:t>
      </w:r>
      <w:r w:rsidR="00A52747" w:rsidRPr="00327B3A">
        <w:rPr>
          <w:rFonts w:asciiTheme="majorHAnsi" w:hAnsiTheme="majorHAnsi" w:cstheme="majorHAnsi"/>
          <w:sz w:val="28"/>
          <w:szCs w:val="28"/>
        </w:rPr>
        <w:t>elite</w:t>
      </w:r>
      <w:r w:rsidR="00C01D81" w:rsidRPr="00327B3A">
        <w:rPr>
          <w:rFonts w:asciiTheme="majorHAnsi" w:hAnsiTheme="majorHAnsi" w:cstheme="majorHAnsi"/>
          <w:sz w:val="28"/>
          <w:szCs w:val="28"/>
        </w:rPr>
        <w:t>s</w:t>
      </w:r>
      <w:r w:rsidR="005C4D1D" w:rsidRPr="00327B3A">
        <w:rPr>
          <w:rFonts w:asciiTheme="majorHAnsi" w:hAnsiTheme="majorHAnsi" w:cstheme="majorHAnsi"/>
          <w:sz w:val="28"/>
          <w:szCs w:val="28"/>
        </w:rPr>
        <w:t xml:space="preserve">. </w:t>
      </w:r>
    </w:p>
    <w:p w:rsidR="00A52747" w:rsidRPr="00327B3A" w:rsidRDefault="00720680" w:rsidP="005C4D1D">
      <w:pPr>
        <w:jc w:val="both"/>
        <w:rPr>
          <w:rFonts w:asciiTheme="majorHAnsi" w:hAnsiTheme="majorHAnsi" w:cstheme="majorHAnsi"/>
          <w:sz w:val="28"/>
          <w:szCs w:val="28"/>
        </w:rPr>
      </w:pPr>
      <w:r w:rsidRPr="00327B3A">
        <w:rPr>
          <w:rFonts w:asciiTheme="majorHAnsi" w:hAnsiTheme="majorHAnsi" w:cstheme="majorHAnsi"/>
          <w:sz w:val="28"/>
          <w:szCs w:val="28"/>
        </w:rPr>
        <w:t xml:space="preserve">In addition, </w:t>
      </w:r>
      <w:r w:rsidR="00C27870" w:rsidRPr="00327B3A">
        <w:rPr>
          <w:rFonts w:asciiTheme="majorHAnsi" w:hAnsiTheme="majorHAnsi" w:cstheme="majorHAnsi"/>
          <w:sz w:val="28"/>
          <w:szCs w:val="28"/>
        </w:rPr>
        <w:t xml:space="preserve">there are </w:t>
      </w:r>
      <w:r w:rsidR="00EE7926" w:rsidRPr="00327B3A">
        <w:rPr>
          <w:rFonts w:asciiTheme="majorHAnsi" w:hAnsiTheme="majorHAnsi" w:cstheme="majorHAnsi"/>
          <w:sz w:val="28"/>
          <w:szCs w:val="28"/>
        </w:rPr>
        <w:t xml:space="preserve">other </w:t>
      </w:r>
      <w:r w:rsidR="00C27870" w:rsidRPr="00327B3A">
        <w:rPr>
          <w:rFonts w:asciiTheme="majorHAnsi" w:hAnsiTheme="majorHAnsi" w:cstheme="majorHAnsi"/>
          <w:sz w:val="28"/>
          <w:szCs w:val="28"/>
        </w:rPr>
        <w:t xml:space="preserve">key factors which </w:t>
      </w:r>
      <w:r w:rsidR="00913F8D" w:rsidRPr="00327B3A">
        <w:rPr>
          <w:rFonts w:asciiTheme="majorHAnsi" w:hAnsiTheme="majorHAnsi" w:cstheme="majorHAnsi"/>
          <w:sz w:val="28"/>
          <w:szCs w:val="28"/>
        </w:rPr>
        <w:t xml:space="preserve">influence </w:t>
      </w:r>
      <w:r w:rsidR="00C27870" w:rsidRPr="00327B3A">
        <w:rPr>
          <w:rFonts w:asciiTheme="majorHAnsi" w:hAnsiTheme="majorHAnsi" w:cstheme="majorHAnsi"/>
          <w:sz w:val="28"/>
          <w:szCs w:val="28"/>
        </w:rPr>
        <w:t>the overall commitment of governments to USE. A basic tenet of political settlement theory is that the degree to which political elites are committed to specific reforms such as USE is very strongly influenced by the extent to which this helps them stay in power. This, in turn, leads onto two related questions namely, which groups are seeking these reforms and, under what circumstances, will governments need the support of these groups in order to stay in power</w:t>
      </w:r>
      <w:r w:rsidR="00EC0E59">
        <w:rPr>
          <w:rFonts w:asciiTheme="majorHAnsi" w:hAnsiTheme="majorHAnsi" w:cstheme="majorHAnsi"/>
          <w:sz w:val="28"/>
          <w:szCs w:val="28"/>
        </w:rPr>
        <w:t xml:space="preserve"> (see Hickey and Hoss</w:t>
      </w:r>
      <w:r w:rsidR="005318B9">
        <w:rPr>
          <w:rFonts w:asciiTheme="majorHAnsi" w:hAnsiTheme="majorHAnsi" w:cstheme="majorHAnsi"/>
          <w:sz w:val="28"/>
          <w:szCs w:val="28"/>
        </w:rPr>
        <w:t xml:space="preserve">ain, 2019, Kosack, 2012, and Di </w:t>
      </w:r>
      <w:r w:rsidR="00EC0E59">
        <w:rPr>
          <w:rFonts w:asciiTheme="majorHAnsi" w:hAnsiTheme="majorHAnsi" w:cstheme="majorHAnsi"/>
          <w:sz w:val="28"/>
          <w:szCs w:val="28"/>
        </w:rPr>
        <w:t>and Putzel, 200</w:t>
      </w:r>
      <w:r w:rsidR="005318B9">
        <w:rPr>
          <w:rFonts w:asciiTheme="majorHAnsi" w:hAnsiTheme="majorHAnsi" w:cstheme="majorHAnsi"/>
          <w:sz w:val="28"/>
          <w:szCs w:val="28"/>
        </w:rPr>
        <w:t>9</w:t>
      </w:r>
      <w:r w:rsidR="00EC0E59">
        <w:rPr>
          <w:rFonts w:asciiTheme="majorHAnsi" w:hAnsiTheme="majorHAnsi" w:cstheme="majorHAnsi"/>
          <w:sz w:val="28"/>
          <w:szCs w:val="28"/>
        </w:rPr>
        <w:t>)</w:t>
      </w:r>
      <w:r w:rsidR="00C27870" w:rsidRPr="00327B3A">
        <w:rPr>
          <w:rFonts w:asciiTheme="majorHAnsi" w:hAnsiTheme="majorHAnsi" w:cstheme="majorHAnsi"/>
          <w:sz w:val="28"/>
          <w:szCs w:val="28"/>
        </w:rPr>
        <w:t xml:space="preserve">. </w:t>
      </w:r>
      <w:r w:rsidR="00EE7926" w:rsidRPr="00327B3A">
        <w:rPr>
          <w:rFonts w:asciiTheme="majorHAnsi" w:hAnsiTheme="majorHAnsi" w:cstheme="majorHAnsi"/>
          <w:sz w:val="28"/>
          <w:szCs w:val="28"/>
        </w:rPr>
        <w:t>In the large majority of countries in SSA, t</w:t>
      </w:r>
      <w:r w:rsidR="00C27870" w:rsidRPr="00327B3A">
        <w:rPr>
          <w:rFonts w:asciiTheme="majorHAnsi" w:hAnsiTheme="majorHAnsi" w:cstheme="majorHAnsi"/>
          <w:sz w:val="28"/>
          <w:szCs w:val="28"/>
        </w:rPr>
        <w:t>hese political</w:t>
      </w:r>
      <w:r w:rsidR="00EE7926" w:rsidRPr="00327B3A">
        <w:rPr>
          <w:rFonts w:asciiTheme="majorHAnsi" w:hAnsiTheme="majorHAnsi" w:cstheme="majorHAnsi"/>
          <w:sz w:val="28"/>
          <w:szCs w:val="28"/>
        </w:rPr>
        <w:t xml:space="preserve"> settlements continue to be based on high levels of patrimonialism and rent-seeking clientelism which makes government commitment to reforms that much more fragile and difficult to sustain (see Bennell, 2021b).  </w:t>
      </w:r>
      <w:r w:rsidR="00C27870" w:rsidRPr="00327B3A">
        <w:rPr>
          <w:rFonts w:asciiTheme="majorHAnsi" w:hAnsiTheme="majorHAnsi" w:cstheme="majorHAnsi"/>
          <w:sz w:val="28"/>
          <w:szCs w:val="28"/>
        </w:rPr>
        <w:t xml:space="preserve"> </w:t>
      </w:r>
    </w:p>
    <w:p w:rsidR="00636861" w:rsidRPr="00327B3A" w:rsidRDefault="0085196A" w:rsidP="005C4D1D">
      <w:pPr>
        <w:jc w:val="both"/>
        <w:rPr>
          <w:rFonts w:asciiTheme="majorHAnsi" w:hAnsiTheme="majorHAnsi" w:cstheme="majorHAnsi"/>
          <w:sz w:val="28"/>
          <w:szCs w:val="28"/>
        </w:rPr>
      </w:pPr>
      <w:r w:rsidRPr="00327B3A">
        <w:rPr>
          <w:rFonts w:asciiTheme="majorHAnsi" w:hAnsiTheme="majorHAnsi" w:cstheme="majorHAnsi"/>
          <w:sz w:val="28"/>
          <w:szCs w:val="28"/>
        </w:rPr>
        <w:lastRenderedPageBreak/>
        <w:t>With the rapid increase in primary school enrolments as a result of UPE, governments are under increasing political pressure to increase secondary education</w:t>
      </w:r>
      <w:r w:rsidR="00771CB2" w:rsidRPr="00327B3A">
        <w:rPr>
          <w:rFonts w:asciiTheme="majorHAnsi" w:hAnsiTheme="majorHAnsi" w:cstheme="majorHAnsi"/>
          <w:sz w:val="28"/>
          <w:szCs w:val="28"/>
        </w:rPr>
        <w:t xml:space="preserve"> provision</w:t>
      </w:r>
      <w:r w:rsidRPr="00327B3A">
        <w:rPr>
          <w:rFonts w:asciiTheme="majorHAnsi" w:hAnsiTheme="majorHAnsi" w:cstheme="majorHAnsi"/>
          <w:sz w:val="28"/>
          <w:szCs w:val="28"/>
        </w:rPr>
        <w:t xml:space="preserve">. While USE is a </w:t>
      </w:r>
      <w:r w:rsidR="00913F8D" w:rsidRPr="00327B3A">
        <w:rPr>
          <w:rFonts w:asciiTheme="majorHAnsi" w:hAnsiTheme="majorHAnsi" w:cstheme="majorHAnsi"/>
          <w:sz w:val="28"/>
          <w:szCs w:val="28"/>
        </w:rPr>
        <w:t xml:space="preserve">potentially </w:t>
      </w:r>
      <w:r w:rsidR="00771CB2" w:rsidRPr="00327B3A">
        <w:rPr>
          <w:rFonts w:asciiTheme="majorHAnsi" w:hAnsiTheme="majorHAnsi" w:cstheme="majorHAnsi"/>
          <w:sz w:val="28"/>
          <w:szCs w:val="28"/>
        </w:rPr>
        <w:t xml:space="preserve">very </w:t>
      </w:r>
      <w:r w:rsidRPr="00327B3A">
        <w:rPr>
          <w:rFonts w:asciiTheme="majorHAnsi" w:hAnsiTheme="majorHAnsi" w:cstheme="majorHAnsi"/>
          <w:sz w:val="28"/>
          <w:szCs w:val="28"/>
        </w:rPr>
        <w:t xml:space="preserve">popular reform which helps political elites remain in power, </w:t>
      </w:r>
      <w:r w:rsidR="00720680" w:rsidRPr="00327B3A">
        <w:rPr>
          <w:rFonts w:asciiTheme="majorHAnsi" w:hAnsiTheme="majorHAnsi" w:cstheme="majorHAnsi"/>
          <w:sz w:val="28"/>
          <w:szCs w:val="28"/>
        </w:rPr>
        <w:t xml:space="preserve">there is strong evidence to suggest that </w:t>
      </w:r>
      <w:r w:rsidRPr="00327B3A">
        <w:rPr>
          <w:rFonts w:asciiTheme="majorHAnsi" w:hAnsiTheme="majorHAnsi" w:cstheme="majorHAnsi"/>
          <w:sz w:val="28"/>
          <w:szCs w:val="28"/>
        </w:rPr>
        <w:t xml:space="preserve">the </w:t>
      </w:r>
      <w:r w:rsidR="00D16D55" w:rsidRPr="00327B3A">
        <w:rPr>
          <w:rFonts w:asciiTheme="majorHAnsi" w:hAnsiTheme="majorHAnsi" w:cstheme="majorHAnsi"/>
          <w:sz w:val="28"/>
          <w:szCs w:val="28"/>
        </w:rPr>
        <w:t xml:space="preserve">overall </w:t>
      </w:r>
      <w:r w:rsidRPr="00327B3A">
        <w:rPr>
          <w:rFonts w:asciiTheme="majorHAnsi" w:hAnsiTheme="majorHAnsi" w:cstheme="majorHAnsi"/>
          <w:sz w:val="28"/>
          <w:szCs w:val="28"/>
        </w:rPr>
        <w:t xml:space="preserve">level of </w:t>
      </w:r>
      <w:r w:rsidR="00720680" w:rsidRPr="00327B3A">
        <w:rPr>
          <w:rFonts w:asciiTheme="majorHAnsi" w:hAnsiTheme="majorHAnsi" w:cstheme="majorHAnsi"/>
          <w:sz w:val="28"/>
          <w:szCs w:val="28"/>
        </w:rPr>
        <w:t xml:space="preserve">government </w:t>
      </w:r>
      <w:r w:rsidRPr="00327B3A">
        <w:rPr>
          <w:rFonts w:asciiTheme="majorHAnsi" w:hAnsiTheme="majorHAnsi" w:cstheme="majorHAnsi"/>
          <w:sz w:val="28"/>
          <w:szCs w:val="28"/>
        </w:rPr>
        <w:t xml:space="preserve">commitment to USE remains generally low in SSA. </w:t>
      </w:r>
      <w:r w:rsidR="00D16D55" w:rsidRPr="00327B3A">
        <w:rPr>
          <w:rFonts w:asciiTheme="majorHAnsi" w:hAnsiTheme="majorHAnsi" w:cstheme="majorHAnsi"/>
          <w:sz w:val="28"/>
          <w:szCs w:val="28"/>
        </w:rPr>
        <w:t xml:space="preserve">As will be discussed in more detail below, to date, fewer </w:t>
      </w:r>
      <w:r w:rsidRPr="00327B3A">
        <w:rPr>
          <w:rFonts w:asciiTheme="majorHAnsi" w:hAnsiTheme="majorHAnsi" w:cstheme="majorHAnsi"/>
          <w:sz w:val="28"/>
          <w:szCs w:val="28"/>
        </w:rPr>
        <w:t xml:space="preserve">than 15 countries </w:t>
      </w:r>
      <w:r w:rsidR="00720680" w:rsidRPr="00327B3A">
        <w:rPr>
          <w:rFonts w:asciiTheme="majorHAnsi" w:hAnsiTheme="majorHAnsi" w:cstheme="majorHAnsi"/>
          <w:sz w:val="28"/>
          <w:szCs w:val="28"/>
        </w:rPr>
        <w:t xml:space="preserve">in SSA </w:t>
      </w:r>
      <w:r w:rsidRPr="00327B3A">
        <w:rPr>
          <w:rFonts w:asciiTheme="majorHAnsi" w:hAnsiTheme="majorHAnsi" w:cstheme="majorHAnsi"/>
          <w:sz w:val="28"/>
          <w:szCs w:val="28"/>
        </w:rPr>
        <w:t xml:space="preserve">have formally adopted national USE strategies </w:t>
      </w:r>
      <w:r w:rsidR="00771CB2" w:rsidRPr="00327B3A">
        <w:rPr>
          <w:rFonts w:asciiTheme="majorHAnsi" w:hAnsiTheme="majorHAnsi" w:cstheme="majorHAnsi"/>
          <w:sz w:val="28"/>
          <w:szCs w:val="28"/>
        </w:rPr>
        <w:t xml:space="preserve">and </w:t>
      </w:r>
      <w:r w:rsidRPr="00327B3A">
        <w:rPr>
          <w:rFonts w:asciiTheme="majorHAnsi" w:hAnsiTheme="majorHAnsi" w:cstheme="majorHAnsi"/>
          <w:sz w:val="28"/>
          <w:szCs w:val="28"/>
        </w:rPr>
        <w:t xml:space="preserve">only a handful </w:t>
      </w:r>
      <w:r w:rsidR="00771CB2" w:rsidRPr="00327B3A">
        <w:rPr>
          <w:rFonts w:asciiTheme="majorHAnsi" w:hAnsiTheme="majorHAnsi" w:cstheme="majorHAnsi"/>
          <w:sz w:val="28"/>
          <w:szCs w:val="28"/>
        </w:rPr>
        <w:t xml:space="preserve">of these countries </w:t>
      </w:r>
      <w:r w:rsidRPr="00327B3A">
        <w:rPr>
          <w:rFonts w:asciiTheme="majorHAnsi" w:hAnsiTheme="majorHAnsi" w:cstheme="majorHAnsi"/>
          <w:sz w:val="28"/>
          <w:szCs w:val="28"/>
        </w:rPr>
        <w:t>have shown any serious intent to a</w:t>
      </w:r>
      <w:r w:rsidR="00771CB2" w:rsidRPr="00327B3A">
        <w:rPr>
          <w:rFonts w:asciiTheme="majorHAnsi" w:hAnsiTheme="majorHAnsi" w:cstheme="majorHAnsi"/>
          <w:sz w:val="28"/>
          <w:szCs w:val="28"/>
        </w:rPr>
        <w:t>chieve</w:t>
      </w:r>
      <w:r w:rsidRPr="00327B3A">
        <w:rPr>
          <w:rFonts w:asciiTheme="majorHAnsi" w:hAnsiTheme="majorHAnsi" w:cstheme="majorHAnsi"/>
          <w:sz w:val="28"/>
          <w:szCs w:val="28"/>
        </w:rPr>
        <w:t xml:space="preserve"> USE over the next decade or so.</w:t>
      </w:r>
      <w:r w:rsidR="00E9151A" w:rsidRPr="00327B3A">
        <w:rPr>
          <w:rFonts w:asciiTheme="majorHAnsi" w:hAnsiTheme="majorHAnsi" w:cstheme="majorHAnsi"/>
          <w:sz w:val="28"/>
          <w:szCs w:val="28"/>
        </w:rPr>
        <w:t xml:space="preserve"> </w:t>
      </w:r>
    </w:p>
    <w:p w:rsidR="0085196A" w:rsidRPr="00327B3A" w:rsidRDefault="00E9151A" w:rsidP="005C4D1D">
      <w:pPr>
        <w:jc w:val="both"/>
        <w:rPr>
          <w:rFonts w:asciiTheme="majorHAnsi" w:hAnsiTheme="majorHAnsi" w:cstheme="majorHAnsi"/>
          <w:sz w:val="28"/>
          <w:szCs w:val="28"/>
        </w:rPr>
      </w:pPr>
      <w:r w:rsidRPr="00327B3A">
        <w:rPr>
          <w:rFonts w:asciiTheme="majorHAnsi" w:hAnsiTheme="majorHAnsi" w:cstheme="majorHAnsi"/>
          <w:sz w:val="28"/>
          <w:szCs w:val="28"/>
        </w:rPr>
        <w:t>A key indicator of government commitment to USE is the share of secondary education in total public</w:t>
      </w:r>
      <w:r w:rsidR="00720680" w:rsidRPr="00327B3A">
        <w:rPr>
          <w:rFonts w:asciiTheme="majorHAnsi" w:hAnsiTheme="majorHAnsi" w:cstheme="majorHAnsi"/>
          <w:sz w:val="28"/>
          <w:szCs w:val="28"/>
        </w:rPr>
        <w:t xml:space="preserve"> education expenditure. </w:t>
      </w:r>
      <w:r w:rsidR="00EC0E59">
        <w:rPr>
          <w:rFonts w:asciiTheme="majorHAnsi" w:hAnsiTheme="majorHAnsi" w:cstheme="majorHAnsi"/>
          <w:sz w:val="28"/>
          <w:szCs w:val="28"/>
        </w:rPr>
        <w:t>A</w:t>
      </w:r>
      <w:r w:rsidR="00C75047" w:rsidRPr="00327B3A">
        <w:rPr>
          <w:rFonts w:asciiTheme="majorHAnsi" w:hAnsiTheme="majorHAnsi" w:cstheme="majorHAnsi"/>
          <w:sz w:val="28"/>
          <w:szCs w:val="28"/>
        </w:rPr>
        <w:t xml:space="preserve">mong the 33 countries for which data are available, </w:t>
      </w:r>
      <w:r w:rsidR="00D54D97" w:rsidRPr="00327B3A">
        <w:rPr>
          <w:rFonts w:asciiTheme="majorHAnsi" w:hAnsiTheme="majorHAnsi" w:cstheme="majorHAnsi"/>
          <w:sz w:val="28"/>
          <w:szCs w:val="28"/>
        </w:rPr>
        <w:t xml:space="preserve">two-thirds of </w:t>
      </w:r>
      <w:r w:rsidR="00C75047" w:rsidRPr="00327B3A">
        <w:rPr>
          <w:rFonts w:asciiTheme="majorHAnsi" w:hAnsiTheme="majorHAnsi" w:cstheme="majorHAnsi"/>
          <w:sz w:val="28"/>
          <w:szCs w:val="28"/>
        </w:rPr>
        <w:t xml:space="preserve">governments </w:t>
      </w:r>
      <w:r w:rsidR="00720680" w:rsidRPr="00327B3A">
        <w:rPr>
          <w:rFonts w:asciiTheme="majorHAnsi" w:hAnsiTheme="majorHAnsi" w:cstheme="majorHAnsi"/>
          <w:sz w:val="28"/>
          <w:szCs w:val="28"/>
        </w:rPr>
        <w:t xml:space="preserve">in SSA </w:t>
      </w:r>
      <w:r w:rsidR="00C75047" w:rsidRPr="00327B3A">
        <w:rPr>
          <w:rFonts w:asciiTheme="majorHAnsi" w:hAnsiTheme="majorHAnsi" w:cstheme="majorHAnsi"/>
          <w:sz w:val="28"/>
          <w:szCs w:val="28"/>
        </w:rPr>
        <w:t>allocate less than one-</w:t>
      </w:r>
      <w:r w:rsidR="00720680" w:rsidRPr="00327B3A">
        <w:rPr>
          <w:rFonts w:asciiTheme="majorHAnsi" w:hAnsiTheme="majorHAnsi" w:cstheme="majorHAnsi"/>
          <w:sz w:val="28"/>
          <w:szCs w:val="28"/>
        </w:rPr>
        <w:t xml:space="preserve">third </w:t>
      </w:r>
      <w:r w:rsidR="00C75047" w:rsidRPr="00327B3A">
        <w:rPr>
          <w:rFonts w:asciiTheme="majorHAnsi" w:hAnsiTheme="majorHAnsi" w:cstheme="majorHAnsi"/>
          <w:sz w:val="28"/>
          <w:szCs w:val="28"/>
        </w:rPr>
        <w:t xml:space="preserve">of the total education budget to secondary education. Furthermore, since the early 2000s, this share has declined in almost half of the 28 countries for which time-series data are available. </w:t>
      </w:r>
      <w:r w:rsidR="00691E86" w:rsidRPr="00327B3A">
        <w:rPr>
          <w:rFonts w:asciiTheme="majorHAnsi" w:hAnsiTheme="majorHAnsi" w:cstheme="majorHAnsi"/>
          <w:sz w:val="28"/>
          <w:szCs w:val="28"/>
        </w:rPr>
        <w:t>It is a</w:t>
      </w:r>
      <w:r w:rsidR="00563774" w:rsidRPr="00327B3A">
        <w:rPr>
          <w:rFonts w:asciiTheme="majorHAnsi" w:hAnsiTheme="majorHAnsi" w:cstheme="majorHAnsi"/>
          <w:sz w:val="28"/>
          <w:szCs w:val="28"/>
        </w:rPr>
        <w:t>lso noticeable that the cu</w:t>
      </w:r>
      <w:r w:rsidR="00EC0E59">
        <w:rPr>
          <w:rFonts w:asciiTheme="majorHAnsi" w:hAnsiTheme="majorHAnsi" w:cstheme="majorHAnsi"/>
          <w:sz w:val="28"/>
          <w:szCs w:val="28"/>
        </w:rPr>
        <w:t>r</w:t>
      </w:r>
      <w:r w:rsidR="00563774" w:rsidRPr="00327B3A">
        <w:rPr>
          <w:rFonts w:asciiTheme="majorHAnsi" w:hAnsiTheme="majorHAnsi" w:cstheme="majorHAnsi"/>
          <w:sz w:val="28"/>
          <w:szCs w:val="28"/>
        </w:rPr>
        <w:t xml:space="preserve">rent </w:t>
      </w:r>
      <w:r w:rsidR="00691E86" w:rsidRPr="00327B3A">
        <w:rPr>
          <w:rFonts w:asciiTheme="majorHAnsi" w:hAnsiTheme="majorHAnsi" w:cstheme="majorHAnsi"/>
          <w:sz w:val="28"/>
          <w:szCs w:val="28"/>
        </w:rPr>
        <w:t xml:space="preserve">commitment of governments to education as a whole, as </w:t>
      </w:r>
      <w:r w:rsidR="00FB3CB8" w:rsidRPr="00327B3A">
        <w:rPr>
          <w:rFonts w:asciiTheme="majorHAnsi" w:hAnsiTheme="majorHAnsi" w:cstheme="majorHAnsi"/>
          <w:sz w:val="28"/>
          <w:szCs w:val="28"/>
        </w:rPr>
        <w:t xml:space="preserve">proxied </w:t>
      </w:r>
      <w:r w:rsidR="00691E86" w:rsidRPr="00327B3A">
        <w:rPr>
          <w:rFonts w:asciiTheme="majorHAnsi" w:hAnsiTheme="majorHAnsi" w:cstheme="majorHAnsi"/>
          <w:sz w:val="28"/>
          <w:szCs w:val="28"/>
        </w:rPr>
        <w:t xml:space="preserve">by </w:t>
      </w:r>
      <w:r w:rsidR="00563774" w:rsidRPr="00327B3A">
        <w:rPr>
          <w:rFonts w:asciiTheme="majorHAnsi" w:hAnsiTheme="majorHAnsi" w:cstheme="majorHAnsi"/>
          <w:sz w:val="28"/>
          <w:szCs w:val="28"/>
        </w:rPr>
        <w:t xml:space="preserve">total </w:t>
      </w:r>
      <w:r w:rsidR="00FB3CB8" w:rsidRPr="00327B3A">
        <w:rPr>
          <w:rFonts w:asciiTheme="majorHAnsi" w:hAnsiTheme="majorHAnsi" w:cstheme="majorHAnsi"/>
          <w:sz w:val="28"/>
          <w:szCs w:val="28"/>
        </w:rPr>
        <w:t xml:space="preserve">expenditure on public </w:t>
      </w:r>
      <w:r w:rsidR="00691E86" w:rsidRPr="00327B3A">
        <w:rPr>
          <w:rFonts w:asciiTheme="majorHAnsi" w:hAnsiTheme="majorHAnsi" w:cstheme="majorHAnsi"/>
          <w:sz w:val="28"/>
          <w:szCs w:val="28"/>
        </w:rPr>
        <w:t xml:space="preserve">education expenditure </w:t>
      </w:r>
      <w:r w:rsidR="00FB3CB8" w:rsidRPr="00327B3A">
        <w:rPr>
          <w:rFonts w:asciiTheme="majorHAnsi" w:hAnsiTheme="majorHAnsi" w:cstheme="majorHAnsi"/>
          <w:sz w:val="28"/>
          <w:szCs w:val="28"/>
        </w:rPr>
        <w:t xml:space="preserve">as a percentage of </w:t>
      </w:r>
      <w:r w:rsidR="00691E86" w:rsidRPr="00327B3A">
        <w:rPr>
          <w:rFonts w:asciiTheme="majorHAnsi" w:hAnsiTheme="majorHAnsi" w:cstheme="majorHAnsi"/>
          <w:sz w:val="28"/>
          <w:szCs w:val="28"/>
        </w:rPr>
        <w:t xml:space="preserve">GDP, </w:t>
      </w:r>
      <w:r w:rsidR="00D54D97" w:rsidRPr="00327B3A">
        <w:rPr>
          <w:rFonts w:asciiTheme="majorHAnsi" w:hAnsiTheme="majorHAnsi" w:cstheme="majorHAnsi"/>
          <w:sz w:val="28"/>
          <w:szCs w:val="28"/>
        </w:rPr>
        <w:t xml:space="preserve">is not only relatively low by international standards (i.e. under 4%) </w:t>
      </w:r>
      <w:r w:rsidR="00563774" w:rsidRPr="00327B3A">
        <w:rPr>
          <w:rFonts w:asciiTheme="majorHAnsi" w:hAnsiTheme="majorHAnsi" w:cstheme="majorHAnsi"/>
          <w:sz w:val="28"/>
          <w:szCs w:val="28"/>
        </w:rPr>
        <w:t xml:space="preserve">in over half of all countries for which data are available </w:t>
      </w:r>
      <w:r w:rsidR="00D54D97" w:rsidRPr="00327B3A">
        <w:rPr>
          <w:rFonts w:asciiTheme="majorHAnsi" w:hAnsiTheme="majorHAnsi" w:cstheme="majorHAnsi"/>
          <w:sz w:val="28"/>
          <w:szCs w:val="28"/>
        </w:rPr>
        <w:t xml:space="preserve">but </w:t>
      </w:r>
      <w:r w:rsidR="00563774" w:rsidRPr="00327B3A">
        <w:rPr>
          <w:rFonts w:asciiTheme="majorHAnsi" w:hAnsiTheme="majorHAnsi" w:cstheme="majorHAnsi"/>
          <w:sz w:val="28"/>
          <w:szCs w:val="28"/>
        </w:rPr>
        <w:t xml:space="preserve">this </w:t>
      </w:r>
      <w:r w:rsidR="00D54D97" w:rsidRPr="00327B3A">
        <w:rPr>
          <w:rFonts w:asciiTheme="majorHAnsi" w:hAnsiTheme="majorHAnsi" w:cstheme="majorHAnsi"/>
          <w:sz w:val="28"/>
          <w:szCs w:val="28"/>
        </w:rPr>
        <w:t xml:space="preserve">share </w:t>
      </w:r>
      <w:r w:rsidR="00691E86" w:rsidRPr="00327B3A">
        <w:rPr>
          <w:rFonts w:asciiTheme="majorHAnsi" w:hAnsiTheme="majorHAnsi" w:cstheme="majorHAnsi"/>
          <w:sz w:val="28"/>
          <w:szCs w:val="28"/>
        </w:rPr>
        <w:t xml:space="preserve">has </w:t>
      </w:r>
      <w:r w:rsidR="00D54D97" w:rsidRPr="00327B3A">
        <w:rPr>
          <w:rFonts w:asciiTheme="majorHAnsi" w:hAnsiTheme="majorHAnsi" w:cstheme="majorHAnsi"/>
          <w:sz w:val="28"/>
          <w:szCs w:val="28"/>
        </w:rPr>
        <w:t>decreased in nearly 40%</w:t>
      </w:r>
      <w:r w:rsidR="00691E86" w:rsidRPr="00327B3A">
        <w:rPr>
          <w:rFonts w:asciiTheme="majorHAnsi" w:hAnsiTheme="majorHAnsi" w:cstheme="majorHAnsi"/>
          <w:sz w:val="28"/>
          <w:szCs w:val="28"/>
        </w:rPr>
        <w:t xml:space="preserve"> of countries </w:t>
      </w:r>
      <w:r w:rsidR="00563774" w:rsidRPr="00327B3A">
        <w:rPr>
          <w:rFonts w:asciiTheme="majorHAnsi" w:hAnsiTheme="majorHAnsi" w:cstheme="majorHAnsi"/>
          <w:sz w:val="28"/>
          <w:szCs w:val="28"/>
        </w:rPr>
        <w:t xml:space="preserve">in SSA </w:t>
      </w:r>
      <w:r w:rsidR="00691E86" w:rsidRPr="00327B3A">
        <w:rPr>
          <w:rFonts w:asciiTheme="majorHAnsi" w:hAnsiTheme="majorHAnsi" w:cstheme="majorHAnsi"/>
          <w:sz w:val="28"/>
          <w:szCs w:val="28"/>
        </w:rPr>
        <w:t>during the last 15 years or so</w:t>
      </w:r>
      <w:r w:rsidR="00FB3CB8" w:rsidRPr="00327B3A">
        <w:rPr>
          <w:rFonts w:asciiTheme="majorHAnsi" w:hAnsiTheme="majorHAnsi" w:cstheme="majorHAnsi"/>
          <w:sz w:val="28"/>
          <w:szCs w:val="28"/>
        </w:rPr>
        <w:t xml:space="preserve"> (see annex table</w:t>
      </w:r>
      <w:r w:rsidR="00EC0E59">
        <w:rPr>
          <w:rFonts w:asciiTheme="majorHAnsi" w:hAnsiTheme="majorHAnsi" w:cstheme="majorHAnsi"/>
          <w:sz w:val="28"/>
          <w:szCs w:val="28"/>
        </w:rPr>
        <w:t>s</w:t>
      </w:r>
      <w:r w:rsidR="00FB3CB8" w:rsidRPr="00327B3A">
        <w:rPr>
          <w:rFonts w:asciiTheme="majorHAnsi" w:hAnsiTheme="majorHAnsi" w:cstheme="majorHAnsi"/>
          <w:sz w:val="28"/>
          <w:szCs w:val="28"/>
        </w:rPr>
        <w:t xml:space="preserve"> </w:t>
      </w:r>
      <w:r w:rsidR="00563774" w:rsidRPr="00327B3A">
        <w:rPr>
          <w:rFonts w:asciiTheme="majorHAnsi" w:hAnsiTheme="majorHAnsi" w:cstheme="majorHAnsi"/>
          <w:sz w:val="28"/>
          <w:szCs w:val="28"/>
        </w:rPr>
        <w:t>1</w:t>
      </w:r>
      <w:r w:rsidR="00EC0E59">
        <w:rPr>
          <w:rFonts w:asciiTheme="majorHAnsi" w:hAnsiTheme="majorHAnsi" w:cstheme="majorHAnsi"/>
          <w:sz w:val="28"/>
          <w:szCs w:val="28"/>
        </w:rPr>
        <w:t xml:space="preserve"> and 2</w:t>
      </w:r>
      <w:r w:rsidR="00FB3CB8" w:rsidRPr="00327B3A">
        <w:rPr>
          <w:rFonts w:asciiTheme="majorHAnsi" w:hAnsiTheme="majorHAnsi" w:cstheme="majorHAnsi"/>
          <w:sz w:val="28"/>
          <w:szCs w:val="28"/>
        </w:rPr>
        <w:t>)</w:t>
      </w:r>
      <w:r w:rsidR="00691E86" w:rsidRPr="00327B3A">
        <w:rPr>
          <w:rFonts w:asciiTheme="majorHAnsi" w:hAnsiTheme="majorHAnsi" w:cstheme="majorHAnsi"/>
          <w:sz w:val="28"/>
          <w:szCs w:val="28"/>
        </w:rPr>
        <w:t>.</w:t>
      </w:r>
      <w:r w:rsidRPr="00327B3A">
        <w:rPr>
          <w:rFonts w:asciiTheme="majorHAnsi" w:hAnsiTheme="majorHAnsi" w:cstheme="majorHAnsi"/>
          <w:sz w:val="28"/>
          <w:szCs w:val="28"/>
        </w:rPr>
        <w:t xml:space="preserve">  </w:t>
      </w:r>
      <w:r w:rsidR="00D16D55" w:rsidRPr="00327B3A">
        <w:rPr>
          <w:rFonts w:asciiTheme="majorHAnsi" w:hAnsiTheme="majorHAnsi" w:cstheme="majorHAnsi"/>
          <w:sz w:val="28"/>
          <w:szCs w:val="28"/>
        </w:rPr>
        <w:t xml:space="preserve"> </w:t>
      </w:r>
      <w:r w:rsidR="0085196A" w:rsidRPr="00327B3A">
        <w:rPr>
          <w:rFonts w:asciiTheme="majorHAnsi" w:hAnsiTheme="majorHAnsi" w:cstheme="majorHAnsi"/>
          <w:sz w:val="28"/>
          <w:szCs w:val="28"/>
        </w:rPr>
        <w:t xml:space="preserve">   </w:t>
      </w:r>
    </w:p>
    <w:p w:rsidR="009A2989" w:rsidRPr="00327B3A" w:rsidRDefault="005C4D1D" w:rsidP="00B34EF1">
      <w:pPr>
        <w:jc w:val="both"/>
        <w:rPr>
          <w:rFonts w:asciiTheme="majorHAnsi" w:hAnsiTheme="majorHAnsi" w:cstheme="majorHAnsi"/>
          <w:i/>
          <w:sz w:val="28"/>
          <w:szCs w:val="28"/>
        </w:rPr>
      </w:pPr>
      <w:r w:rsidRPr="00327B3A">
        <w:rPr>
          <w:rFonts w:asciiTheme="majorHAnsi" w:hAnsiTheme="majorHAnsi" w:cstheme="majorHAnsi"/>
          <w:sz w:val="28"/>
          <w:szCs w:val="28"/>
        </w:rPr>
        <w:t xml:space="preserve">It is not only </w:t>
      </w:r>
      <w:r w:rsidR="00913F8D" w:rsidRPr="00327B3A">
        <w:rPr>
          <w:rFonts w:asciiTheme="majorHAnsi" w:hAnsiTheme="majorHAnsi" w:cstheme="majorHAnsi"/>
          <w:sz w:val="28"/>
          <w:szCs w:val="28"/>
        </w:rPr>
        <w:t xml:space="preserve">dominant </w:t>
      </w:r>
      <w:r w:rsidRPr="00327B3A">
        <w:rPr>
          <w:rFonts w:asciiTheme="majorHAnsi" w:hAnsiTheme="majorHAnsi" w:cstheme="majorHAnsi"/>
          <w:sz w:val="28"/>
          <w:szCs w:val="28"/>
        </w:rPr>
        <w:t xml:space="preserve">social class pressures which are </w:t>
      </w:r>
      <w:r w:rsidR="00FB3CB8" w:rsidRPr="00327B3A">
        <w:rPr>
          <w:rFonts w:asciiTheme="majorHAnsi" w:hAnsiTheme="majorHAnsi" w:cstheme="majorHAnsi"/>
          <w:sz w:val="28"/>
          <w:szCs w:val="28"/>
        </w:rPr>
        <w:t xml:space="preserve">tempering government commitment to </w:t>
      </w:r>
      <w:r w:rsidR="00913F8D" w:rsidRPr="00327B3A">
        <w:rPr>
          <w:rFonts w:asciiTheme="majorHAnsi" w:hAnsiTheme="majorHAnsi" w:cstheme="majorHAnsi"/>
          <w:sz w:val="28"/>
          <w:szCs w:val="28"/>
        </w:rPr>
        <w:t>U</w:t>
      </w:r>
      <w:r w:rsidRPr="00327B3A">
        <w:rPr>
          <w:rFonts w:asciiTheme="majorHAnsi" w:hAnsiTheme="majorHAnsi" w:cstheme="majorHAnsi"/>
          <w:sz w:val="28"/>
          <w:szCs w:val="28"/>
        </w:rPr>
        <w:t>SE</w:t>
      </w:r>
      <w:r w:rsidR="00913F8D" w:rsidRPr="00327B3A">
        <w:rPr>
          <w:rFonts w:asciiTheme="majorHAnsi" w:hAnsiTheme="majorHAnsi" w:cstheme="majorHAnsi"/>
          <w:sz w:val="28"/>
          <w:szCs w:val="28"/>
        </w:rPr>
        <w:t xml:space="preserve">. </w:t>
      </w:r>
      <w:r w:rsidR="00FB3CB8" w:rsidRPr="00327B3A">
        <w:rPr>
          <w:rFonts w:asciiTheme="majorHAnsi" w:hAnsiTheme="majorHAnsi" w:cstheme="majorHAnsi"/>
          <w:sz w:val="28"/>
          <w:szCs w:val="28"/>
        </w:rPr>
        <w:t>Firstly</w:t>
      </w:r>
      <w:r w:rsidR="005F2148" w:rsidRPr="00327B3A">
        <w:rPr>
          <w:rFonts w:asciiTheme="majorHAnsi" w:hAnsiTheme="majorHAnsi" w:cstheme="majorHAnsi"/>
          <w:sz w:val="28"/>
          <w:szCs w:val="28"/>
        </w:rPr>
        <w:t>, t</w:t>
      </w:r>
      <w:r w:rsidRPr="00327B3A">
        <w:rPr>
          <w:rFonts w:asciiTheme="majorHAnsi" w:hAnsiTheme="majorHAnsi" w:cstheme="majorHAnsi"/>
          <w:sz w:val="28"/>
          <w:szCs w:val="28"/>
        </w:rPr>
        <w:t xml:space="preserve">he </w:t>
      </w:r>
      <w:r w:rsidR="00563774" w:rsidRPr="00327B3A">
        <w:rPr>
          <w:rFonts w:asciiTheme="majorHAnsi" w:hAnsiTheme="majorHAnsi" w:cstheme="majorHAnsi"/>
          <w:sz w:val="28"/>
          <w:szCs w:val="28"/>
        </w:rPr>
        <w:t xml:space="preserve">very </w:t>
      </w:r>
      <w:r w:rsidRPr="00327B3A">
        <w:rPr>
          <w:rFonts w:asciiTheme="majorHAnsi" w:hAnsiTheme="majorHAnsi" w:cstheme="majorHAnsi"/>
          <w:sz w:val="28"/>
          <w:szCs w:val="28"/>
        </w:rPr>
        <w:t xml:space="preserve">high costs of </w:t>
      </w:r>
      <w:r w:rsidR="00FB3CB8" w:rsidRPr="00327B3A">
        <w:rPr>
          <w:rFonts w:asciiTheme="majorHAnsi" w:hAnsiTheme="majorHAnsi" w:cstheme="majorHAnsi"/>
          <w:sz w:val="28"/>
          <w:szCs w:val="28"/>
        </w:rPr>
        <w:t xml:space="preserve">providing </w:t>
      </w:r>
      <w:r w:rsidR="005F2148" w:rsidRPr="00327B3A">
        <w:rPr>
          <w:rFonts w:asciiTheme="majorHAnsi" w:hAnsiTheme="majorHAnsi" w:cstheme="majorHAnsi"/>
          <w:sz w:val="28"/>
          <w:szCs w:val="28"/>
        </w:rPr>
        <w:t xml:space="preserve">free secondary education </w:t>
      </w:r>
      <w:r w:rsidR="00FB3CB8" w:rsidRPr="00327B3A">
        <w:rPr>
          <w:rFonts w:asciiTheme="majorHAnsi" w:hAnsiTheme="majorHAnsi" w:cstheme="majorHAnsi"/>
          <w:sz w:val="28"/>
          <w:szCs w:val="28"/>
        </w:rPr>
        <w:t xml:space="preserve">to all children </w:t>
      </w:r>
      <w:r w:rsidRPr="00327B3A">
        <w:rPr>
          <w:rFonts w:asciiTheme="majorHAnsi" w:hAnsiTheme="majorHAnsi" w:cstheme="majorHAnsi"/>
          <w:sz w:val="28"/>
          <w:szCs w:val="28"/>
        </w:rPr>
        <w:t>is itself a major factor reducing the level of government commitment to USE.</w:t>
      </w:r>
      <w:r w:rsidR="005F2148" w:rsidRPr="00327B3A">
        <w:rPr>
          <w:rFonts w:asciiTheme="majorHAnsi" w:hAnsiTheme="majorHAnsi" w:cstheme="majorHAnsi"/>
          <w:sz w:val="28"/>
          <w:szCs w:val="28"/>
        </w:rPr>
        <w:t xml:space="preserve"> </w:t>
      </w:r>
      <w:r w:rsidR="00682211" w:rsidRPr="00327B3A">
        <w:rPr>
          <w:rFonts w:asciiTheme="majorHAnsi" w:hAnsiTheme="majorHAnsi" w:cstheme="majorHAnsi"/>
          <w:sz w:val="28"/>
          <w:szCs w:val="28"/>
        </w:rPr>
        <w:t>Secondly, p</w:t>
      </w:r>
      <w:r w:rsidR="00C25F1D" w:rsidRPr="00327B3A">
        <w:rPr>
          <w:rFonts w:asciiTheme="majorHAnsi" w:hAnsiTheme="majorHAnsi" w:cstheme="majorHAnsi"/>
          <w:sz w:val="28"/>
          <w:szCs w:val="28"/>
        </w:rPr>
        <w:t>olitical elites are also aware that</w:t>
      </w:r>
      <w:r w:rsidR="00FB3CB8" w:rsidRPr="00327B3A">
        <w:rPr>
          <w:rFonts w:asciiTheme="majorHAnsi" w:hAnsiTheme="majorHAnsi" w:cstheme="majorHAnsi"/>
          <w:sz w:val="28"/>
          <w:szCs w:val="28"/>
        </w:rPr>
        <w:t>,</w:t>
      </w:r>
      <w:r w:rsidR="00C25F1D" w:rsidRPr="00327B3A">
        <w:rPr>
          <w:rFonts w:asciiTheme="majorHAnsi" w:hAnsiTheme="majorHAnsi" w:cstheme="majorHAnsi"/>
          <w:sz w:val="28"/>
          <w:szCs w:val="28"/>
        </w:rPr>
        <w:t xml:space="preserve"> by raising expectations that secondary education will be freely available to all</w:t>
      </w:r>
      <w:r w:rsidR="00563774" w:rsidRPr="00327B3A">
        <w:rPr>
          <w:rFonts w:asciiTheme="majorHAnsi" w:hAnsiTheme="majorHAnsi" w:cstheme="majorHAnsi"/>
          <w:sz w:val="28"/>
          <w:szCs w:val="28"/>
        </w:rPr>
        <w:t xml:space="preserve"> eligible children</w:t>
      </w:r>
      <w:r w:rsidR="00FB3CB8" w:rsidRPr="00327B3A">
        <w:rPr>
          <w:rFonts w:asciiTheme="majorHAnsi" w:hAnsiTheme="majorHAnsi" w:cstheme="majorHAnsi"/>
          <w:sz w:val="28"/>
          <w:szCs w:val="28"/>
        </w:rPr>
        <w:t xml:space="preserve">, for these to be then </w:t>
      </w:r>
      <w:r w:rsidR="00C25F1D" w:rsidRPr="00327B3A">
        <w:rPr>
          <w:rFonts w:asciiTheme="majorHAnsi" w:hAnsiTheme="majorHAnsi" w:cstheme="majorHAnsi"/>
          <w:sz w:val="28"/>
          <w:szCs w:val="28"/>
        </w:rPr>
        <w:t xml:space="preserve">dashed as a result of limited implementation on the ground </w:t>
      </w:r>
      <w:r w:rsidR="00563774" w:rsidRPr="00327B3A">
        <w:rPr>
          <w:rFonts w:asciiTheme="majorHAnsi" w:hAnsiTheme="majorHAnsi" w:cstheme="majorHAnsi"/>
          <w:sz w:val="28"/>
          <w:szCs w:val="28"/>
        </w:rPr>
        <w:t xml:space="preserve">(both in terms of enrolment growth and educational quality) </w:t>
      </w:r>
      <w:r w:rsidR="00C25F1D" w:rsidRPr="00327B3A">
        <w:rPr>
          <w:rFonts w:asciiTheme="majorHAnsi" w:hAnsiTheme="majorHAnsi" w:cstheme="majorHAnsi"/>
          <w:sz w:val="28"/>
          <w:szCs w:val="28"/>
        </w:rPr>
        <w:t xml:space="preserve">can </w:t>
      </w:r>
      <w:r w:rsidR="00FB3CB8" w:rsidRPr="00327B3A">
        <w:rPr>
          <w:rFonts w:asciiTheme="majorHAnsi" w:hAnsiTheme="majorHAnsi" w:cstheme="majorHAnsi"/>
          <w:sz w:val="28"/>
          <w:szCs w:val="28"/>
        </w:rPr>
        <w:t xml:space="preserve">have </w:t>
      </w:r>
      <w:r w:rsidR="00C25F1D" w:rsidRPr="00327B3A">
        <w:rPr>
          <w:rFonts w:asciiTheme="majorHAnsi" w:hAnsiTheme="majorHAnsi" w:cstheme="majorHAnsi"/>
          <w:sz w:val="28"/>
          <w:szCs w:val="28"/>
        </w:rPr>
        <w:t xml:space="preserve">serious political consequences. </w:t>
      </w:r>
      <w:r w:rsidR="00563774" w:rsidRPr="00327B3A">
        <w:rPr>
          <w:rFonts w:asciiTheme="majorHAnsi" w:hAnsiTheme="majorHAnsi" w:cstheme="majorHAnsi"/>
          <w:sz w:val="28"/>
          <w:szCs w:val="28"/>
        </w:rPr>
        <w:t>And t</w:t>
      </w:r>
      <w:r w:rsidR="00682211" w:rsidRPr="00327B3A">
        <w:rPr>
          <w:rFonts w:asciiTheme="majorHAnsi" w:hAnsiTheme="majorHAnsi" w:cstheme="majorHAnsi"/>
          <w:sz w:val="28"/>
          <w:szCs w:val="28"/>
        </w:rPr>
        <w:t>hirdly, t</w:t>
      </w:r>
      <w:r w:rsidR="005F2148" w:rsidRPr="00327B3A">
        <w:rPr>
          <w:rFonts w:asciiTheme="majorHAnsi" w:hAnsiTheme="majorHAnsi" w:cstheme="majorHAnsi"/>
          <w:sz w:val="28"/>
          <w:szCs w:val="28"/>
        </w:rPr>
        <w:t xml:space="preserve">here are </w:t>
      </w:r>
      <w:r w:rsidR="00563774" w:rsidRPr="00327B3A">
        <w:rPr>
          <w:rFonts w:asciiTheme="majorHAnsi" w:hAnsiTheme="majorHAnsi" w:cstheme="majorHAnsi"/>
          <w:sz w:val="28"/>
          <w:szCs w:val="28"/>
        </w:rPr>
        <w:t xml:space="preserve">also deep-seated concerns </w:t>
      </w:r>
      <w:r w:rsidR="005F2148" w:rsidRPr="00327B3A">
        <w:rPr>
          <w:rFonts w:asciiTheme="majorHAnsi" w:hAnsiTheme="majorHAnsi" w:cstheme="majorHAnsi"/>
          <w:sz w:val="28"/>
          <w:szCs w:val="28"/>
        </w:rPr>
        <w:t>that</w:t>
      </w:r>
      <w:r w:rsidR="00563774" w:rsidRPr="00327B3A">
        <w:rPr>
          <w:rFonts w:asciiTheme="majorHAnsi" w:hAnsiTheme="majorHAnsi" w:cstheme="majorHAnsi"/>
          <w:sz w:val="28"/>
          <w:szCs w:val="28"/>
        </w:rPr>
        <w:t>,</w:t>
      </w:r>
      <w:r w:rsidR="005F2148" w:rsidRPr="00327B3A">
        <w:rPr>
          <w:rFonts w:asciiTheme="majorHAnsi" w:hAnsiTheme="majorHAnsi" w:cstheme="majorHAnsi"/>
          <w:sz w:val="28"/>
          <w:szCs w:val="28"/>
        </w:rPr>
        <w:t xml:space="preserve"> without </w:t>
      </w:r>
      <w:r w:rsidR="00C25F1D" w:rsidRPr="00327B3A">
        <w:rPr>
          <w:rFonts w:asciiTheme="majorHAnsi" w:hAnsiTheme="majorHAnsi" w:cstheme="majorHAnsi"/>
          <w:sz w:val="28"/>
          <w:szCs w:val="28"/>
        </w:rPr>
        <w:t xml:space="preserve">major </w:t>
      </w:r>
      <w:r w:rsidR="005F2148" w:rsidRPr="00327B3A">
        <w:rPr>
          <w:rFonts w:asciiTheme="majorHAnsi" w:hAnsiTheme="majorHAnsi" w:cstheme="majorHAnsi"/>
          <w:sz w:val="28"/>
          <w:szCs w:val="28"/>
        </w:rPr>
        <w:t>increase</w:t>
      </w:r>
      <w:r w:rsidR="00C25F1D" w:rsidRPr="00327B3A">
        <w:rPr>
          <w:rFonts w:asciiTheme="majorHAnsi" w:hAnsiTheme="majorHAnsi" w:cstheme="majorHAnsi"/>
          <w:sz w:val="28"/>
          <w:szCs w:val="28"/>
        </w:rPr>
        <w:t>s</w:t>
      </w:r>
      <w:r w:rsidR="005F2148" w:rsidRPr="00327B3A">
        <w:rPr>
          <w:rFonts w:asciiTheme="majorHAnsi" w:hAnsiTheme="majorHAnsi" w:cstheme="majorHAnsi"/>
          <w:sz w:val="28"/>
          <w:szCs w:val="28"/>
        </w:rPr>
        <w:t xml:space="preserve"> in youth employment opportunities in the formal sector, too ra</w:t>
      </w:r>
      <w:r w:rsidRPr="00327B3A">
        <w:rPr>
          <w:rFonts w:asciiTheme="majorHAnsi" w:hAnsiTheme="majorHAnsi" w:cstheme="majorHAnsi"/>
          <w:sz w:val="28"/>
          <w:szCs w:val="28"/>
        </w:rPr>
        <w:t xml:space="preserve">pid expansion of </w:t>
      </w:r>
      <w:r w:rsidR="005F2148" w:rsidRPr="00327B3A">
        <w:rPr>
          <w:rFonts w:asciiTheme="majorHAnsi" w:hAnsiTheme="majorHAnsi" w:cstheme="majorHAnsi"/>
          <w:sz w:val="28"/>
          <w:szCs w:val="28"/>
        </w:rPr>
        <w:t xml:space="preserve">secondary education </w:t>
      </w:r>
      <w:r w:rsidR="00C25F1D" w:rsidRPr="00327B3A">
        <w:rPr>
          <w:rFonts w:asciiTheme="majorHAnsi" w:hAnsiTheme="majorHAnsi" w:cstheme="majorHAnsi"/>
          <w:sz w:val="28"/>
          <w:szCs w:val="28"/>
        </w:rPr>
        <w:t xml:space="preserve">could </w:t>
      </w:r>
      <w:r w:rsidR="005F2148" w:rsidRPr="00327B3A">
        <w:rPr>
          <w:rFonts w:asciiTheme="majorHAnsi" w:hAnsiTheme="majorHAnsi" w:cstheme="majorHAnsi"/>
          <w:sz w:val="28"/>
          <w:szCs w:val="28"/>
        </w:rPr>
        <w:t>be seriously politically</w:t>
      </w:r>
      <w:r w:rsidR="00C25F1D" w:rsidRPr="00327B3A">
        <w:rPr>
          <w:rFonts w:asciiTheme="majorHAnsi" w:hAnsiTheme="majorHAnsi" w:cstheme="majorHAnsi"/>
          <w:sz w:val="28"/>
          <w:szCs w:val="28"/>
        </w:rPr>
        <w:t xml:space="preserve"> destabilising. </w:t>
      </w:r>
      <w:r w:rsidR="00682211" w:rsidRPr="00327B3A">
        <w:rPr>
          <w:rFonts w:asciiTheme="majorHAnsi" w:hAnsiTheme="majorHAnsi" w:cstheme="majorHAnsi"/>
          <w:sz w:val="28"/>
          <w:szCs w:val="28"/>
        </w:rPr>
        <w:t>In particular, m</w:t>
      </w:r>
      <w:r w:rsidR="005F2148" w:rsidRPr="00327B3A">
        <w:rPr>
          <w:rFonts w:asciiTheme="majorHAnsi" w:hAnsiTheme="majorHAnsi" w:cstheme="majorHAnsi"/>
          <w:sz w:val="28"/>
          <w:szCs w:val="28"/>
        </w:rPr>
        <w:t>ost g</w:t>
      </w:r>
      <w:r w:rsidRPr="00327B3A">
        <w:rPr>
          <w:rFonts w:asciiTheme="majorHAnsi" w:hAnsiTheme="majorHAnsi" w:cstheme="majorHAnsi"/>
          <w:sz w:val="28"/>
          <w:szCs w:val="28"/>
        </w:rPr>
        <w:t xml:space="preserve">overnments </w:t>
      </w:r>
      <w:r w:rsidR="00682211" w:rsidRPr="00327B3A">
        <w:rPr>
          <w:rFonts w:asciiTheme="majorHAnsi" w:hAnsiTheme="majorHAnsi" w:cstheme="majorHAnsi"/>
          <w:sz w:val="28"/>
          <w:szCs w:val="28"/>
        </w:rPr>
        <w:t xml:space="preserve">want </w:t>
      </w:r>
      <w:r w:rsidR="00F6497D" w:rsidRPr="00327B3A">
        <w:rPr>
          <w:rFonts w:asciiTheme="majorHAnsi" w:hAnsiTheme="majorHAnsi" w:cstheme="majorHAnsi"/>
          <w:sz w:val="28"/>
          <w:szCs w:val="28"/>
        </w:rPr>
        <w:t xml:space="preserve">to forestall </w:t>
      </w:r>
      <w:r w:rsidR="005F2148" w:rsidRPr="00327B3A">
        <w:rPr>
          <w:rFonts w:asciiTheme="majorHAnsi" w:hAnsiTheme="majorHAnsi" w:cstheme="majorHAnsi"/>
          <w:sz w:val="28"/>
          <w:szCs w:val="28"/>
        </w:rPr>
        <w:t xml:space="preserve">further </w:t>
      </w:r>
      <w:r w:rsidRPr="00327B3A">
        <w:rPr>
          <w:rFonts w:asciiTheme="majorHAnsi" w:hAnsiTheme="majorHAnsi" w:cstheme="majorHAnsi"/>
          <w:sz w:val="28"/>
          <w:szCs w:val="28"/>
        </w:rPr>
        <w:t>large influx</w:t>
      </w:r>
      <w:r w:rsidR="005F2148" w:rsidRPr="00327B3A">
        <w:rPr>
          <w:rFonts w:asciiTheme="majorHAnsi" w:hAnsiTheme="majorHAnsi" w:cstheme="majorHAnsi"/>
          <w:sz w:val="28"/>
          <w:szCs w:val="28"/>
        </w:rPr>
        <w:t>es</w:t>
      </w:r>
      <w:r w:rsidRPr="00327B3A">
        <w:rPr>
          <w:rFonts w:asciiTheme="majorHAnsi" w:hAnsiTheme="majorHAnsi" w:cstheme="majorHAnsi"/>
          <w:sz w:val="28"/>
          <w:szCs w:val="28"/>
        </w:rPr>
        <w:t xml:space="preserve"> of rural youth to urban centres. </w:t>
      </w:r>
      <w:r w:rsidR="00F6497D" w:rsidRPr="00327B3A">
        <w:rPr>
          <w:rFonts w:asciiTheme="majorHAnsi" w:hAnsiTheme="majorHAnsi" w:cstheme="majorHAnsi"/>
          <w:sz w:val="28"/>
          <w:szCs w:val="28"/>
        </w:rPr>
        <w:t xml:space="preserve">Research shows that not only </w:t>
      </w:r>
      <w:r w:rsidR="00B34EF1">
        <w:rPr>
          <w:rFonts w:asciiTheme="majorHAnsi" w:hAnsiTheme="majorHAnsi" w:cstheme="majorHAnsi"/>
          <w:sz w:val="28"/>
          <w:szCs w:val="28"/>
        </w:rPr>
        <w:t xml:space="preserve">are </w:t>
      </w:r>
      <w:r w:rsidR="00F6497D" w:rsidRPr="00327B3A">
        <w:rPr>
          <w:rFonts w:asciiTheme="majorHAnsi" w:hAnsiTheme="majorHAnsi" w:cstheme="majorHAnsi"/>
          <w:sz w:val="28"/>
          <w:szCs w:val="28"/>
        </w:rPr>
        <w:t xml:space="preserve">more educated rural youth </w:t>
      </w:r>
      <w:r w:rsidR="00563774" w:rsidRPr="00327B3A">
        <w:rPr>
          <w:rFonts w:asciiTheme="majorHAnsi" w:hAnsiTheme="majorHAnsi" w:cstheme="majorHAnsi"/>
          <w:sz w:val="28"/>
          <w:szCs w:val="28"/>
        </w:rPr>
        <w:t>more likely t</w:t>
      </w:r>
      <w:r w:rsidR="00F6497D" w:rsidRPr="00327B3A">
        <w:rPr>
          <w:rFonts w:asciiTheme="majorHAnsi" w:hAnsiTheme="majorHAnsi" w:cstheme="majorHAnsi"/>
          <w:sz w:val="28"/>
          <w:szCs w:val="28"/>
        </w:rPr>
        <w:t>o migrate to urban areas but, significantly reducing the costs of secondary education</w:t>
      </w:r>
      <w:r w:rsidR="00682211" w:rsidRPr="00327B3A">
        <w:rPr>
          <w:rFonts w:asciiTheme="majorHAnsi" w:hAnsiTheme="majorHAnsi" w:cstheme="majorHAnsi"/>
          <w:sz w:val="28"/>
          <w:szCs w:val="28"/>
        </w:rPr>
        <w:t>, is likely to lead to inc</w:t>
      </w:r>
      <w:r w:rsidR="00F6497D" w:rsidRPr="00327B3A">
        <w:rPr>
          <w:rFonts w:asciiTheme="majorHAnsi" w:hAnsiTheme="majorHAnsi" w:cstheme="majorHAnsi"/>
          <w:sz w:val="28"/>
          <w:szCs w:val="28"/>
        </w:rPr>
        <w:t>rease</w:t>
      </w:r>
      <w:r w:rsidR="00682211" w:rsidRPr="00327B3A">
        <w:rPr>
          <w:rFonts w:asciiTheme="majorHAnsi" w:hAnsiTheme="majorHAnsi" w:cstheme="majorHAnsi"/>
          <w:sz w:val="28"/>
          <w:szCs w:val="28"/>
        </w:rPr>
        <w:t>d</w:t>
      </w:r>
      <w:r w:rsidR="00F6497D"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‘migration for education’. </w:t>
      </w:r>
      <w:r w:rsidR="009A2989" w:rsidRPr="00327B3A">
        <w:rPr>
          <w:rFonts w:asciiTheme="majorHAnsi" w:hAnsiTheme="majorHAnsi" w:cstheme="majorHAnsi"/>
          <w:sz w:val="28"/>
          <w:szCs w:val="28"/>
        </w:rPr>
        <w:t xml:space="preserve">For example, </w:t>
      </w:r>
      <w:r w:rsidR="00F6497D" w:rsidRPr="00327B3A">
        <w:rPr>
          <w:rFonts w:asciiTheme="majorHAnsi" w:hAnsiTheme="majorHAnsi" w:cstheme="majorHAnsi"/>
          <w:sz w:val="28"/>
          <w:szCs w:val="28"/>
        </w:rPr>
        <w:t>r</w:t>
      </w:r>
      <w:r w:rsidRPr="00327B3A">
        <w:rPr>
          <w:rFonts w:asciiTheme="majorHAnsi" w:hAnsiTheme="majorHAnsi" w:cstheme="majorHAnsi"/>
          <w:sz w:val="28"/>
          <w:szCs w:val="28"/>
        </w:rPr>
        <w:t>ecent s</w:t>
      </w:r>
      <w:r w:rsidR="009A2989" w:rsidRPr="00327B3A">
        <w:rPr>
          <w:rFonts w:asciiTheme="majorHAnsi" w:hAnsiTheme="majorHAnsi" w:cstheme="majorHAnsi"/>
          <w:sz w:val="28"/>
          <w:szCs w:val="28"/>
        </w:rPr>
        <w:t xml:space="preserve">urvey data </w:t>
      </w:r>
      <w:r w:rsidRPr="00327B3A">
        <w:rPr>
          <w:rFonts w:asciiTheme="majorHAnsi" w:hAnsiTheme="majorHAnsi" w:cstheme="majorHAnsi"/>
          <w:sz w:val="28"/>
          <w:szCs w:val="28"/>
        </w:rPr>
        <w:t>show</w:t>
      </w:r>
      <w:r w:rsidR="009A2989" w:rsidRPr="00327B3A">
        <w:rPr>
          <w:rFonts w:asciiTheme="majorHAnsi" w:hAnsiTheme="majorHAnsi" w:cstheme="majorHAnsi"/>
          <w:sz w:val="28"/>
          <w:szCs w:val="28"/>
        </w:rPr>
        <w:t>s</w:t>
      </w:r>
      <w:r w:rsidRPr="00327B3A">
        <w:rPr>
          <w:rFonts w:asciiTheme="majorHAnsi" w:hAnsiTheme="majorHAnsi" w:cstheme="majorHAnsi"/>
          <w:sz w:val="28"/>
          <w:szCs w:val="28"/>
        </w:rPr>
        <w:t xml:space="preserve"> that education was the second most common reason for migration </w:t>
      </w:r>
      <w:r w:rsidR="009A2989" w:rsidRPr="00327B3A">
        <w:rPr>
          <w:rFonts w:asciiTheme="majorHAnsi" w:hAnsiTheme="majorHAnsi" w:cstheme="majorHAnsi"/>
          <w:sz w:val="28"/>
          <w:szCs w:val="28"/>
        </w:rPr>
        <w:t xml:space="preserve">among rural youth </w:t>
      </w:r>
      <w:r w:rsidRPr="00327B3A">
        <w:rPr>
          <w:rFonts w:asciiTheme="majorHAnsi" w:hAnsiTheme="majorHAnsi" w:cstheme="majorHAnsi"/>
          <w:sz w:val="28"/>
          <w:szCs w:val="28"/>
        </w:rPr>
        <w:t>in Ethiopia</w:t>
      </w:r>
      <w:r w:rsidR="00F6497D" w:rsidRPr="00327B3A">
        <w:rPr>
          <w:rFonts w:asciiTheme="majorHAnsi" w:hAnsiTheme="majorHAnsi" w:cstheme="majorHAnsi"/>
          <w:sz w:val="28"/>
          <w:szCs w:val="28"/>
        </w:rPr>
        <w:t xml:space="preserve"> and that t</w:t>
      </w:r>
      <w:r w:rsidRPr="00327B3A">
        <w:rPr>
          <w:rFonts w:asciiTheme="majorHAnsi" w:hAnsiTheme="majorHAnsi" w:cstheme="majorHAnsi"/>
          <w:sz w:val="28"/>
          <w:szCs w:val="28"/>
        </w:rPr>
        <w:t xml:space="preserve">wo-thirds of </w:t>
      </w:r>
      <w:r w:rsidR="00F6497D" w:rsidRPr="00327B3A">
        <w:rPr>
          <w:rFonts w:asciiTheme="majorHAnsi" w:hAnsiTheme="majorHAnsi" w:cstheme="majorHAnsi"/>
          <w:sz w:val="28"/>
          <w:szCs w:val="28"/>
        </w:rPr>
        <w:t xml:space="preserve">the </w:t>
      </w:r>
      <w:r w:rsidRPr="00327B3A">
        <w:rPr>
          <w:rFonts w:asciiTheme="majorHAnsi" w:hAnsiTheme="majorHAnsi" w:cstheme="majorHAnsi"/>
          <w:sz w:val="28"/>
          <w:szCs w:val="28"/>
        </w:rPr>
        <w:t xml:space="preserve">rural youth </w:t>
      </w:r>
      <w:r w:rsidR="009A2989" w:rsidRPr="00327B3A">
        <w:rPr>
          <w:rFonts w:asciiTheme="majorHAnsi" w:hAnsiTheme="majorHAnsi" w:cstheme="majorHAnsi"/>
          <w:sz w:val="28"/>
          <w:szCs w:val="28"/>
        </w:rPr>
        <w:t xml:space="preserve">respondents </w:t>
      </w:r>
      <w:r w:rsidRPr="00327B3A">
        <w:rPr>
          <w:rFonts w:asciiTheme="majorHAnsi" w:hAnsiTheme="majorHAnsi" w:cstheme="majorHAnsi"/>
          <w:sz w:val="28"/>
          <w:szCs w:val="28"/>
        </w:rPr>
        <w:t xml:space="preserve">expressed aspirations to </w:t>
      </w:r>
      <w:r w:rsidR="00F6497D" w:rsidRPr="00327B3A">
        <w:rPr>
          <w:rFonts w:asciiTheme="majorHAnsi" w:hAnsiTheme="majorHAnsi" w:cstheme="majorHAnsi"/>
          <w:sz w:val="28"/>
          <w:szCs w:val="28"/>
        </w:rPr>
        <w:t>migrate</w:t>
      </w:r>
      <w:r w:rsidR="00682211" w:rsidRPr="00327B3A">
        <w:rPr>
          <w:rFonts w:asciiTheme="majorHAnsi" w:hAnsiTheme="majorHAnsi" w:cstheme="majorHAnsi"/>
          <w:sz w:val="28"/>
          <w:szCs w:val="28"/>
        </w:rPr>
        <w:t xml:space="preserve"> </w:t>
      </w:r>
      <w:r w:rsidR="00682211" w:rsidRPr="00327B3A">
        <w:rPr>
          <w:rFonts w:asciiTheme="majorHAnsi" w:hAnsiTheme="majorHAnsi" w:cstheme="majorHAnsi"/>
          <w:sz w:val="28"/>
          <w:szCs w:val="28"/>
        </w:rPr>
        <w:lastRenderedPageBreak/>
        <w:t>either to urban areas or even overseas (especially the Gulf states)</w:t>
      </w:r>
      <w:r w:rsidRPr="00327B3A">
        <w:rPr>
          <w:rFonts w:asciiTheme="majorHAnsi" w:hAnsiTheme="majorHAnsi" w:cstheme="majorHAnsi"/>
          <w:sz w:val="28"/>
          <w:szCs w:val="28"/>
        </w:rPr>
        <w:t xml:space="preserve">. </w:t>
      </w:r>
      <w:r w:rsidR="00F6497D" w:rsidRPr="00327B3A">
        <w:rPr>
          <w:rFonts w:asciiTheme="majorHAnsi" w:hAnsiTheme="majorHAnsi" w:cstheme="majorHAnsi"/>
          <w:sz w:val="28"/>
          <w:szCs w:val="28"/>
        </w:rPr>
        <w:t>Consequently, ‘d</w:t>
      </w:r>
      <w:r w:rsidRPr="00327B3A">
        <w:rPr>
          <w:rFonts w:asciiTheme="majorHAnsi" w:hAnsiTheme="majorHAnsi" w:cstheme="majorHAnsi"/>
          <w:sz w:val="28"/>
          <w:szCs w:val="28"/>
        </w:rPr>
        <w:t>evelopment agendas that aim to keep people ‘on the farm’ and at the same time provide higher levels of education are in tension’ (</w:t>
      </w:r>
      <w:r w:rsidR="00F6497D" w:rsidRPr="00327B3A">
        <w:rPr>
          <w:rFonts w:asciiTheme="majorHAnsi" w:hAnsiTheme="majorHAnsi" w:cstheme="majorHAnsi"/>
          <w:sz w:val="28"/>
          <w:szCs w:val="28"/>
        </w:rPr>
        <w:t>Sch</w:t>
      </w:r>
      <w:r w:rsidR="00EC0E59">
        <w:rPr>
          <w:rFonts w:asciiTheme="majorHAnsi" w:hAnsiTheme="majorHAnsi" w:cstheme="majorHAnsi"/>
          <w:sz w:val="28"/>
          <w:szCs w:val="28"/>
        </w:rPr>
        <w:t>ewe</w:t>
      </w:r>
      <w:r w:rsidR="00F6497D" w:rsidRPr="00327B3A">
        <w:rPr>
          <w:rFonts w:asciiTheme="majorHAnsi" w:hAnsiTheme="majorHAnsi" w:cstheme="majorHAnsi"/>
          <w:sz w:val="28"/>
          <w:szCs w:val="28"/>
        </w:rPr>
        <w:t xml:space="preserve">l and </w:t>
      </w:r>
      <w:r w:rsidR="005318B9">
        <w:rPr>
          <w:rFonts w:asciiTheme="majorHAnsi" w:hAnsiTheme="majorHAnsi" w:cstheme="majorHAnsi"/>
          <w:sz w:val="28"/>
          <w:szCs w:val="28"/>
        </w:rPr>
        <w:t>Fransen, 2019</w:t>
      </w:r>
      <w:r w:rsidR="00EC0E59">
        <w:rPr>
          <w:rFonts w:asciiTheme="majorHAnsi" w:hAnsiTheme="majorHAnsi" w:cstheme="majorHAnsi"/>
          <w:sz w:val="28"/>
          <w:szCs w:val="28"/>
        </w:rPr>
        <w:t>:</w:t>
      </w:r>
      <w:r w:rsidRPr="00327B3A">
        <w:rPr>
          <w:rFonts w:asciiTheme="majorHAnsi" w:hAnsiTheme="majorHAnsi" w:cstheme="majorHAnsi"/>
          <w:sz w:val="28"/>
          <w:szCs w:val="28"/>
        </w:rPr>
        <w:t>25).</w:t>
      </w:r>
    </w:p>
    <w:p w:rsidR="00327903" w:rsidRPr="00327B3A" w:rsidRDefault="00290C62" w:rsidP="005C4D1D">
      <w:pPr>
        <w:jc w:val="both"/>
        <w:rPr>
          <w:rFonts w:asciiTheme="majorHAnsi" w:hAnsiTheme="majorHAnsi" w:cstheme="majorHAnsi"/>
          <w:i/>
          <w:sz w:val="28"/>
          <w:szCs w:val="28"/>
        </w:rPr>
      </w:pPr>
      <w:r w:rsidRPr="00327B3A">
        <w:rPr>
          <w:rFonts w:asciiTheme="majorHAnsi" w:hAnsiTheme="majorHAnsi" w:cstheme="majorHAnsi"/>
          <w:i/>
          <w:sz w:val="28"/>
          <w:szCs w:val="28"/>
        </w:rPr>
        <w:t xml:space="preserve"> </w:t>
      </w:r>
      <w:r w:rsidR="005C4D1D" w:rsidRPr="00327B3A">
        <w:rPr>
          <w:rFonts w:asciiTheme="majorHAnsi" w:hAnsiTheme="majorHAnsi" w:cstheme="majorHAnsi"/>
          <w:i/>
          <w:sz w:val="28"/>
          <w:szCs w:val="28"/>
        </w:rPr>
        <w:t xml:space="preserve">2.2 </w:t>
      </w:r>
      <w:r w:rsidRPr="00327B3A">
        <w:rPr>
          <w:rFonts w:asciiTheme="majorHAnsi" w:hAnsiTheme="majorHAnsi" w:cstheme="majorHAnsi"/>
          <w:i/>
          <w:sz w:val="28"/>
          <w:szCs w:val="28"/>
        </w:rPr>
        <w:t xml:space="preserve">Evidence based reform </w:t>
      </w:r>
    </w:p>
    <w:p w:rsidR="00C15A6E" w:rsidRPr="00327B3A" w:rsidRDefault="00C25F1D" w:rsidP="00577F32">
      <w:pPr>
        <w:jc w:val="both"/>
        <w:rPr>
          <w:rFonts w:asciiTheme="majorHAnsi" w:hAnsiTheme="majorHAnsi" w:cstheme="majorHAnsi"/>
          <w:sz w:val="28"/>
          <w:szCs w:val="28"/>
        </w:rPr>
      </w:pPr>
      <w:r w:rsidRPr="00327B3A">
        <w:rPr>
          <w:rFonts w:asciiTheme="majorHAnsi" w:hAnsiTheme="majorHAnsi" w:cstheme="majorHAnsi"/>
          <w:sz w:val="28"/>
          <w:szCs w:val="28"/>
        </w:rPr>
        <w:t>The R</w:t>
      </w:r>
      <w:r w:rsidR="00591532" w:rsidRPr="00327B3A">
        <w:rPr>
          <w:rFonts w:asciiTheme="majorHAnsi" w:hAnsiTheme="majorHAnsi" w:cstheme="majorHAnsi"/>
          <w:sz w:val="28"/>
          <w:szCs w:val="28"/>
        </w:rPr>
        <w:t xml:space="preserve">eport provides little </w:t>
      </w:r>
      <w:r w:rsidR="00682211" w:rsidRPr="00327B3A">
        <w:rPr>
          <w:rFonts w:asciiTheme="majorHAnsi" w:hAnsiTheme="majorHAnsi" w:cstheme="majorHAnsi"/>
          <w:sz w:val="28"/>
          <w:szCs w:val="28"/>
        </w:rPr>
        <w:t xml:space="preserve">hard </w:t>
      </w:r>
      <w:r w:rsidR="00591532" w:rsidRPr="00327B3A">
        <w:rPr>
          <w:rFonts w:asciiTheme="majorHAnsi" w:hAnsiTheme="majorHAnsi" w:cstheme="majorHAnsi"/>
          <w:sz w:val="28"/>
          <w:szCs w:val="28"/>
        </w:rPr>
        <w:t>evidence</w:t>
      </w:r>
      <w:r w:rsidR="00B34EF1">
        <w:rPr>
          <w:rFonts w:asciiTheme="majorHAnsi" w:hAnsiTheme="majorHAnsi" w:cstheme="majorHAnsi"/>
          <w:sz w:val="28"/>
          <w:szCs w:val="28"/>
        </w:rPr>
        <w:t xml:space="preserve"> (</w:t>
      </w:r>
      <w:r w:rsidR="00682211" w:rsidRPr="00327B3A">
        <w:rPr>
          <w:rFonts w:asciiTheme="majorHAnsi" w:hAnsiTheme="majorHAnsi" w:cstheme="majorHAnsi"/>
          <w:sz w:val="28"/>
          <w:szCs w:val="28"/>
        </w:rPr>
        <w:t>particularly from SSA</w:t>
      </w:r>
      <w:r w:rsidR="00B34EF1">
        <w:rPr>
          <w:rFonts w:asciiTheme="majorHAnsi" w:hAnsiTheme="majorHAnsi" w:cstheme="majorHAnsi"/>
          <w:sz w:val="28"/>
          <w:szCs w:val="28"/>
        </w:rPr>
        <w:t>)</w:t>
      </w:r>
      <w:r w:rsidR="00682211" w:rsidRPr="00327B3A">
        <w:rPr>
          <w:rFonts w:asciiTheme="majorHAnsi" w:hAnsiTheme="majorHAnsi" w:cstheme="majorHAnsi"/>
          <w:sz w:val="28"/>
          <w:szCs w:val="28"/>
        </w:rPr>
        <w:t xml:space="preserve"> </w:t>
      </w:r>
      <w:r w:rsidR="009A2989" w:rsidRPr="00327B3A">
        <w:rPr>
          <w:rFonts w:asciiTheme="majorHAnsi" w:hAnsiTheme="majorHAnsi" w:cstheme="majorHAnsi"/>
          <w:sz w:val="28"/>
          <w:szCs w:val="28"/>
        </w:rPr>
        <w:t xml:space="preserve">as empirical support for </w:t>
      </w:r>
      <w:r w:rsidR="00591532" w:rsidRPr="00327B3A">
        <w:rPr>
          <w:rFonts w:asciiTheme="majorHAnsi" w:hAnsiTheme="majorHAnsi" w:cstheme="majorHAnsi"/>
          <w:sz w:val="28"/>
          <w:szCs w:val="28"/>
        </w:rPr>
        <w:t xml:space="preserve">its </w:t>
      </w:r>
      <w:r w:rsidR="00EC0E59">
        <w:rPr>
          <w:rFonts w:asciiTheme="majorHAnsi" w:hAnsiTheme="majorHAnsi" w:cstheme="majorHAnsi"/>
          <w:sz w:val="28"/>
          <w:szCs w:val="28"/>
        </w:rPr>
        <w:t>‘</w:t>
      </w:r>
      <w:r w:rsidR="00591532" w:rsidRPr="00327B3A">
        <w:rPr>
          <w:rFonts w:asciiTheme="majorHAnsi" w:hAnsiTheme="majorHAnsi" w:cstheme="majorHAnsi"/>
          <w:sz w:val="28"/>
          <w:szCs w:val="28"/>
        </w:rPr>
        <w:t>promising practices</w:t>
      </w:r>
      <w:r w:rsidR="00EC0E59">
        <w:rPr>
          <w:rFonts w:asciiTheme="majorHAnsi" w:hAnsiTheme="majorHAnsi" w:cstheme="majorHAnsi"/>
          <w:sz w:val="28"/>
          <w:szCs w:val="28"/>
        </w:rPr>
        <w:t>’</w:t>
      </w:r>
      <w:r w:rsidR="00591532" w:rsidRPr="00327B3A">
        <w:rPr>
          <w:rFonts w:asciiTheme="majorHAnsi" w:hAnsiTheme="majorHAnsi" w:cstheme="majorHAnsi"/>
          <w:sz w:val="28"/>
          <w:szCs w:val="28"/>
        </w:rPr>
        <w:t xml:space="preserve">. At </w:t>
      </w:r>
      <w:r w:rsidR="00EC0E59">
        <w:rPr>
          <w:rFonts w:asciiTheme="majorHAnsi" w:hAnsiTheme="majorHAnsi" w:cstheme="majorHAnsi"/>
          <w:sz w:val="28"/>
          <w:szCs w:val="28"/>
        </w:rPr>
        <w:t xml:space="preserve">a </w:t>
      </w:r>
      <w:r w:rsidR="009A2989" w:rsidRPr="00327B3A">
        <w:rPr>
          <w:rFonts w:asciiTheme="majorHAnsi" w:hAnsiTheme="majorHAnsi" w:cstheme="majorHAnsi"/>
          <w:sz w:val="28"/>
          <w:szCs w:val="28"/>
        </w:rPr>
        <w:t xml:space="preserve">very general </w:t>
      </w:r>
      <w:r w:rsidR="00591532" w:rsidRPr="00327B3A">
        <w:rPr>
          <w:rFonts w:asciiTheme="majorHAnsi" w:hAnsiTheme="majorHAnsi" w:cstheme="majorHAnsi"/>
          <w:sz w:val="28"/>
          <w:szCs w:val="28"/>
        </w:rPr>
        <w:t>level, it is merely assumed that</w:t>
      </w:r>
      <w:r w:rsidR="005C4D1D" w:rsidRPr="00327B3A">
        <w:rPr>
          <w:rFonts w:asciiTheme="majorHAnsi" w:hAnsiTheme="majorHAnsi" w:cstheme="majorHAnsi"/>
          <w:sz w:val="28"/>
          <w:szCs w:val="28"/>
        </w:rPr>
        <w:t>,</w:t>
      </w:r>
      <w:r w:rsidR="00591532" w:rsidRPr="00327B3A">
        <w:rPr>
          <w:rFonts w:asciiTheme="majorHAnsi" w:hAnsiTheme="majorHAnsi" w:cstheme="majorHAnsi"/>
          <w:sz w:val="28"/>
          <w:szCs w:val="28"/>
        </w:rPr>
        <w:t xml:space="preserve"> since ‘secondary education has transformational potential</w:t>
      </w:r>
      <w:r w:rsidR="002D4BB8" w:rsidRPr="00327B3A">
        <w:rPr>
          <w:rFonts w:asciiTheme="majorHAnsi" w:hAnsiTheme="majorHAnsi" w:cstheme="majorHAnsi"/>
          <w:sz w:val="28"/>
          <w:szCs w:val="28"/>
        </w:rPr>
        <w:t>’</w:t>
      </w:r>
      <w:r w:rsidR="00591532" w:rsidRPr="00327B3A">
        <w:rPr>
          <w:rFonts w:asciiTheme="majorHAnsi" w:hAnsiTheme="majorHAnsi" w:cstheme="majorHAnsi"/>
          <w:sz w:val="28"/>
          <w:szCs w:val="28"/>
        </w:rPr>
        <w:t xml:space="preserve"> (p.16)</w:t>
      </w:r>
      <w:r w:rsidR="00682211" w:rsidRPr="00327B3A">
        <w:rPr>
          <w:rFonts w:asciiTheme="majorHAnsi" w:hAnsiTheme="majorHAnsi" w:cstheme="majorHAnsi"/>
          <w:sz w:val="28"/>
          <w:szCs w:val="28"/>
        </w:rPr>
        <w:t>,</w:t>
      </w:r>
      <w:r w:rsidR="00591532" w:rsidRPr="00327B3A">
        <w:rPr>
          <w:rFonts w:asciiTheme="majorHAnsi" w:hAnsiTheme="majorHAnsi" w:cstheme="majorHAnsi"/>
          <w:sz w:val="28"/>
          <w:szCs w:val="28"/>
        </w:rPr>
        <w:t xml:space="preserve"> it is s</w:t>
      </w:r>
      <w:r w:rsidR="00C15A6E" w:rsidRPr="00327B3A">
        <w:rPr>
          <w:rFonts w:asciiTheme="majorHAnsi" w:hAnsiTheme="majorHAnsi" w:cstheme="majorHAnsi"/>
          <w:sz w:val="28"/>
          <w:szCs w:val="28"/>
        </w:rPr>
        <w:t xml:space="preserve">elf-evidently the case that </w:t>
      </w:r>
      <w:r w:rsidR="005C4D1D" w:rsidRPr="00327B3A">
        <w:rPr>
          <w:rFonts w:asciiTheme="majorHAnsi" w:hAnsiTheme="majorHAnsi" w:cstheme="majorHAnsi"/>
          <w:sz w:val="28"/>
          <w:szCs w:val="28"/>
        </w:rPr>
        <w:t xml:space="preserve">the </w:t>
      </w:r>
      <w:r w:rsidR="00591532" w:rsidRPr="00327B3A">
        <w:rPr>
          <w:rFonts w:asciiTheme="majorHAnsi" w:hAnsiTheme="majorHAnsi" w:cstheme="majorHAnsi"/>
          <w:sz w:val="28"/>
          <w:szCs w:val="28"/>
        </w:rPr>
        <w:t xml:space="preserve">rapid </w:t>
      </w:r>
      <w:r w:rsidR="005C4D1D" w:rsidRPr="00327B3A">
        <w:rPr>
          <w:rFonts w:asciiTheme="majorHAnsi" w:hAnsiTheme="majorHAnsi" w:cstheme="majorHAnsi"/>
          <w:sz w:val="28"/>
          <w:szCs w:val="28"/>
        </w:rPr>
        <w:t xml:space="preserve">attainment of </w:t>
      </w:r>
      <w:r w:rsidR="00C15A6E" w:rsidRPr="00327B3A">
        <w:rPr>
          <w:rFonts w:asciiTheme="majorHAnsi" w:hAnsiTheme="majorHAnsi" w:cstheme="majorHAnsi"/>
          <w:sz w:val="28"/>
          <w:szCs w:val="28"/>
        </w:rPr>
        <w:t>USE should be pursued as a top priority in every country.</w:t>
      </w:r>
      <w:r w:rsidR="00591532" w:rsidRPr="00327B3A">
        <w:rPr>
          <w:rFonts w:asciiTheme="majorHAnsi" w:hAnsiTheme="majorHAnsi" w:cstheme="majorHAnsi"/>
          <w:sz w:val="28"/>
          <w:szCs w:val="28"/>
        </w:rPr>
        <w:t xml:space="preserve"> </w:t>
      </w:r>
      <w:r w:rsidR="009A2989" w:rsidRPr="00327B3A">
        <w:rPr>
          <w:rFonts w:asciiTheme="majorHAnsi" w:hAnsiTheme="majorHAnsi" w:cstheme="majorHAnsi"/>
          <w:sz w:val="28"/>
          <w:szCs w:val="28"/>
        </w:rPr>
        <w:t>It is</w:t>
      </w:r>
      <w:r w:rsidR="00591532" w:rsidRPr="00327B3A">
        <w:rPr>
          <w:rFonts w:asciiTheme="majorHAnsi" w:hAnsiTheme="majorHAnsi" w:cstheme="majorHAnsi"/>
          <w:sz w:val="28"/>
          <w:szCs w:val="28"/>
        </w:rPr>
        <w:t xml:space="preserve"> </w:t>
      </w:r>
      <w:r w:rsidR="00E13866" w:rsidRPr="00327B3A">
        <w:rPr>
          <w:rFonts w:asciiTheme="majorHAnsi" w:hAnsiTheme="majorHAnsi" w:cstheme="majorHAnsi"/>
          <w:sz w:val="28"/>
          <w:szCs w:val="28"/>
        </w:rPr>
        <w:t>also (</w:t>
      </w:r>
      <w:r w:rsidR="00591532" w:rsidRPr="00327B3A">
        <w:rPr>
          <w:rFonts w:asciiTheme="majorHAnsi" w:hAnsiTheme="majorHAnsi" w:cstheme="majorHAnsi"/>
          <w:sz w:val="28"/>
          <w:szCs w:val="28"/>
        </w:rPr>
        <w:t>implicitly</w:t>
      </w:r>
      <w:r w:rsidR="00E13866" w:rsidRPr="00327B3A">
        <w:rPr>
          <w:rFonts w:asciiTheme="majorHAnsi" w:hAnsiTheme="majorHAnsi" w:cstheme="majorHAnsi"/>
          <w:sz w:val="28"/>
          <w:szCs w:val="28"/>
        </w:rPr>
        <w:t>)</w:t>
      </w:r>
      <w:r w:rsidR="00591532" w:rsidRPr="00327B3A">
        <w:rPr>
          <w:rFonts w:asciiTheme="majorHAnsi" w:hAnsiTheme="majorHAnsi" w:cstheme="majorHAnsi"/>
          <w:sz w:val="28"/>
          <w:szCs w:val="28"/>
        </w:rPr>
        <w:t xml:space="preserve"> assumed that the same</w:t>
      </w:r>
      <w:r w:rsidR="005C4D1D" w:rsidRPr="00327B3A">
        <w:rPr>
          <w:rFonts w:asciiTheme="majorHAnsi" w:hAnsiTheme="majorHAnsi" w:cstheme="majorHAnsi"/>
          <w:sz w:val="28"/>
          <w:szCs w:val="28"/>
        </w:rPr>
        <w:t xml:space="preserve"> </w:t>
      </w:r>
      <w:r w:rsidR="00682211" w:rsidRPr="00327B3A">
        <w:rPr>
          <w:rFonts w:asciiTheme="majorHAnsi" w:hAnsiTheme="majorHAnsi" w:cstheme="majorHAnsi"/>
          <w:sz w:val="28"/>
          <w:szCs w:val="28"/>
        </w:rPr>
        <w:t xml:space="preserve">education </w:t>
      </w:r>
      <w:r w:rsidR="00591532" w:rsidRPr="00327B3A">
        <w:rPr>
          <w:rFonts w:asciiTheme="majorHAnsi" w:hAnsiTheme="majorHAnsi" w:cstheme="majorHAnsi"/>
          <w:sz w:val="28"/>
          <w:szCs w:val="28"/>
        </w:rPr>
        <w:t>policy reforms that have been adopted in mature</w:t>
      </w:r>
      <w:r w:rsidR="00E13866" w:rsidRPr="00327B3A">
        <w:rPr>
          <w:rFonts w:asciiTheme="majorHAnsi" w:hAnsiTheme="majorHAnsi" w:cstheme="majorHAnsi"/>
          <w:sz w:val="28"/>
          <w:szCs w:val="28"/>
        </w:rPr>
        <w:t xml:space="preserve"> and other</w:t>
      </w:r>
      <w:r w:rsidR="00591532" w:rsidRPr="00327B3A">
        <w:rPr>
          <w:rFonts w:asciiTheme="majorHAnsi" w:hAnsiTheme="majorHAnsi" w:cstheme="majorHAnsi"/>
          <w:sz w:val="28"/>
          <w:szCs w:val="28"/>
        </w:rPr>
        <w:t xml:space="preserve"> industrial economies</w:t>
      </w:r>
      <w:r w:rsidR="00682211" w:rsidRPr="00327B3A">
        <w:rPr>
          <w:rFonts w:asciiTheme="majorHAnsi" w:hAnsiTheme="majorHAnsi" w:cstheme="majorHAnsi"/>
          <w:sz w:val="28"/>
          <w:szCs w:val="28"/>
        </w:rPr>
        <w:t xml:space="preserve"> (mainly in South and South-East Asia)</w:t>
      </w:r>
      <w:r w:rsidR="00591532" w:rsidRPr="00327B3A">
        <w:rPr>
          <w:rFonts w:asciiTheme="majorHAnsi" w:hAnsiTheme="majorHAnsi" w:cstheme="majorHAnsi"/>
          <w:sz w:val="28"/>
          <w:szCs w:val="28"/>
        </w:rPr>
        <w:t xml:space="preserve"> can be transferred to the African context without any major scrutiny and adaptation. As a resul</w:t>
      </w:r>
      <w:r w:rsidR="00202794" w:rsidRPr="00327B3A">
        <w:rPr>
          <w:rFonts w:asciiTheme="majorHAnsi" w:hAnsiTheme="majorHAnsi" w:cstheme="majorHAnsi"/>
          <w:sz w:val="28"/>
          <w:szCs w:val="28"/>
        </w:rPr>
        <w:t xml:space="preserve">t, the Report is mainly </w:t>
      </w:r>
      <w:r w:rsidR="006978E4" w:rsidRPr="00327B3A">
        <w:rPr>
          <w:rFonts w:asciiTheme="majorHAnsi" w:hAnsiTheme="majorHAnsi" w:cstheme="majorHAnsi"/>
          <w:sz w:val="28"/>
          <w:szCs w:val="28"/>
        </w:rPr>
        <w:t xml:space="preserve">preoccupied with spelling out what should be done with relatively </w:t>
      </w:r>
      <w:r w:rsidR="008D6B32" w:rsidRPr="00327B3A">
        <w:rPr>
          <w:rFonts w:asciiTheme="majorHAnsi" w:hAnsiTheme="majorHAnsi" w:cstheme="majorHAnsi"/>
          <w:sz w:val="28"/>
          <w:szCs w:val="28"/>
        </w:rPr>
        <w:t xml:space="preserve">attention given to </w:t>
      </w:r>
      <w:r w:rsidR="006978E4" w:rsidRPr="00327B3A">
        <w:rPr>
          <w:rFonts w:asciiTheme="majorHAnsi" w:hAnsiTheme="majorHAnsi" w:cstheme="majorHAnsi"/>
          <w:sz w:val="28"/>
          <w:szCs w:val="28"/>
        </w:rPr>
        <w:t>assessing realities on the ground including past attempts by governments in SSA to implement many of the same ‘promisin</w:t>
      </w:r>
      <w:r w:rsidR="005C4D1D" w:rsidRPr="00327B3A">
        <w:rPr>
          <w:rFonts w:asciiTheme="majorHAnsi" w:hAnsiTheme="majorHAnsi" w:cstheme="majorHAnsi"/>
          <w:sz w:val="28"/>
          <w:szCs w:val="28"/>
        </w:rPr>
        <w:t xml:space="preserve">g practices’ which underpin its proposed </w:t>
      </w:r>
      <w:r w:rsidR="006978E4" w:rsidRPr="00327B3A">
        <w:rPr>
          <w:rFonts w:asciiTheme="majorHAnsi" w:hAnsiTheme="majorHAnsi" w:cstheme="majorHAnsi"/>
          <w:sz w:val="28"/>
          <w:szCs w:val="28"/>
        </w:rPr>
        <w:t xml:space="preserve">strategy. </w:t>
      </w:r>
      <w:r w:rsidR="00591532" w:rsidRPr="00327B3A">
        <w:rPr>
          <w:rFonts w:asciiTheme="majorHAnsi" w:hAnsiTheme="majorHAnsi" w:cstheme="majorHAnsi"/>
          <w:sz w:val="28"/>
          <w:szCs w:val="28"/>
        </w:rPr>
        <w:t xml:space="preserve"> </w:t>
      </w:r>
    </w:p>
    <w:p w:rsidR="00CF18E6" w:rsidRPr="00327B3A" w:rsidRDefault="009F7DE1" w:rsidP="00577F32">
      <w:pPr>
        <w:jc w:val="both"/>
        <w:rPr>
          <w:rFonts w:asciiTheme="majorHAnsi" w:hAnsiTheme="majorHAnsi" w:cstheme="majorHAnsi"/>
          <w:sz w:val="28"/>
          <w:szCs w:val="28"/>
        </w:rPr>
      </w:pPr>
      <w:r w:rsidRPr="00327B3A">
        <w:rPr>
          <w:rFonts w:asciiTheme="majorHAnsi" w:hAnsiTheme="majorHAnsi" w:cstheme="majorHAnsi"/>
          <w:sz w:val="28"/>
          <w:szCs w:val="28"/>
        </w:rPr>
        <w:t>W</w:t>
      </w:r>
      <w:r w:rsidR="004041DD" w:rsidRPr="00327B3A">
        <w:rPr>
          <w:rFonts w:asciiTheme="majorHAnsi" w:hAnsiTheme="majorHAnsi" w:cstheme="majorHAnsi"/>
          <w:sz w:val="28"/>
          <w:szCs w:val="28"/>
        </w:rPr>
        <w:t xml:space="preserve">hat we </w:t>
      </w:r>
      <w:r w:rsidR="008D6B32" w:rsidRPr="00327B3A">
        <w:rPr>
          <w:rFonts w:asciiTheme="majorHAnsi" w:hAnsiTheme="majorHAnsi" w:cstheme="majorHAnsi"/>
          <w:sz w:val="28"/>
          <w:szCs w:val="28"/>
        </w:rPr>
        <w:t>a</w:t>
      </w:r>
      <w:r w:rsidR="005C4D1D" w:rsidRPr="00327B3A">
        <w:rPr>
          <w:rFonts w:asciiTheme="majorHAnsi" w:hAnsiTheme="majorHAnsi" w:cstheme="majorHAnsi"/>
          <w:sz w:val="28"/>
          <w:szCs w:val="28"/>
        </w:rPr>
        <w:t>re presented</w:t>
      </w:r>
      <w:r w:rsidR="00E13866" w:rsidRPr="00327B3A">
        <w:rPr>
          <w:rFonts w:asciiTheme="majorHAnsi" w:hAnsiTheme="majorHAnsi" w:cstheme="majorHAnsi"/>
          <w:sz w:val="28"/>
          <w:szCs w:val="28"/>
        </w:rPr>
        <w:t xml:space="preserve"> </w:t>
      </w:r>
      <w:r w:rsidR="005C4D1D" w:rsidRPr="00327B3A">
        <w:rPr>
          <w:rFonts w:asciiTheme="majorHAnsi" w:hAnsiTheme="majorHAnsi" w:cstheme="majorHAnsi"/>
          <w:sz w:val="28"/>
          <w:szCs w:val="28"/>
        </w:rPr>
        <w:t>with</w:t>
      </w:r>
      <w:r w:rsidR="00E13866" w:rsidRPr="00327B3A">
        <w:rPr>
          <w:rFonts w:asciiTheme="majorHAnsi" w:hAnsiTheme="majorHAnsi" w:cstheme="majorHAnsi"/>
          <w:sz w:val="28"/>
          <w:szCs w:val="28"/>
        </w:rPr>
        <w:t>, therefore, is</w:t>
      </w:r>
      <w:r w:rsidR="005C4D1D" w:rsidRPr="00327B3A">
        <w:rPr>
          <w:rFonts w:asciiTheme="majorHAnsi" w:hAnsiTheme="majorHAnsi" w:cstheme="majorHAnsi"/>
          <w:sz w:val="28"/>
          <w:szCs w:val="28"/>
        </w:rPr>
        <w:t xml:space="preserve"> an </w:t>
      </w:r>
      <w:r w:rsidR="00390D0B">
        <w:rPr>
          <w:rFonts w:asciiTheme="majorHAnsi" w:hAnsiTheme="majorHAnsi" w:cstheme="majorHAnsi"/>
          <w:sz w:val="28"/>
          <w:szCs w:val="28"/>
        </w:rPr>
        <w:t xml:space="preserve">essentially </w:t>
      </w:r>
      <w:r w:rsidR="008D6B32" w:rsidRPr="00327B3A">
        <w:rPr>
          <w:rFonts w:asciiTheme="majorHAnsi" w:hAnsiTheme="majorHAnsi" w:cstheme="majorHAnsi"/>
          <w:sz w:val="28"/>
          <w:szCs w:val="28"/>
        </w:rPr>
        <w:t>un</w:t>
      </w:r>
      <w:r w:rsidR="003A3611" w:rsidRPr="00327B3A">
        <w:rPr>
          <w:rFonts w:asciiTheme="majorHAnsi" w:hAnsiTheme="majorHAnsi" w:cstheme="majorHAnsi"/>
          <w:sz w:val="28"/>
          <w:szCs w:val="28"/>
        </w:rPr>
        <w:t xml:space="preserve">contested </w:t>
      </w:r>
      <w:r w:rsidR="008D6B32" w:rsidRPr="00327B3A">
        <w:rPr>
          <w:rFonts w:asciiTheme="majorHAnsi" w:hAnsiTheme="majorHAnsi" w:cstheme="majorHAnsi"/>
          <w:sz w:val="28"/>
          <w:szCs w:val="28"/>
        </w:rPr>
        <w:t xml:space="preserve">list </w:t>
      </w:r>
      <w:r w:rsidR="00B505B7" w:rsidRPr="00327B3A">
        <w:rPr>
          <w:rFonts w:asciiTheme="majorHAnsi" w:hAnsiTheme="majorHAnsi" w:cstheme="majorHAnsi"/>
          <w:sz w:val="28"/>
          <w:szCs w:val="28"/>
        </w:rPr>
        <w:t xml:space="preserve">of </w:t>
      </w:r>
      <w:r w:rsidR="003C533E" w:rsidRPr="00327B3A">
        <w:rPr>
          <w:rFonts w:asciiTheme="majorHAnsi" w:hAnsiTheme="majorHAnsi" w:cstheme="majorHAnsi"/>
          <w:sz w:val="28"/>
          <w:szCs w:val="28"/>
        </w:rPr>
        <w:t xml:space="preserve">desirable </w:t>
      </w:r>
      <w:r w:rsidR="00682211" w:rsidRPr="00327B3A">
        <w:rPr>
          <w:rFonts w:asciiTheme="majorHAnsi" w:hAnsiTheme="majorHAnsi" w:cstheme="majorHAnsi"/>
          <w:sz w:val="28"/>
          <w:szCs w:val="28"/>
        </w:rPr>
        <w:t xml:space="preserve">‘recommended actions’ </w:t>
      </w:r>
      <w:r w:rsidR="008D6B32" w:rsidRPr="00327B3A">
        <w:rPr>
          <w:rFonts w:asciiTheme="majorHAnsi" w:hAnsiTheme="majorHAnsi" w:cstheme="majorHAnsi"/>
          <w:sz w:val="28"/>
          <w:szCs w:val="28"/>
        </w:rPr>
        <w:t xml:space="preserve">with </w:t>
      </w:r>
      <w:r w:rsidR="00DE5781" w:rsidRPr="00327B3A">
        <w:rPr>
          <w:rFonts w:asciiTheme="majorHAnsi" w:hAnsiTheme="majorHAnsi" w:cstheme="majorHAnsi"/>
          <w:sz w:val="28"/>
          <w:szCs w:val="28"/>
        </w:rPr>
        <w:t xml:space="preserve">no serious </w:t>
      </w:r>
      <w:r w:rsidR="008D6B32" w:rsidRPr="00327B3A">
        <w:rPr>
          <w:rFonts w:asciiTheme="majorHAnsi" w:hAnsiTheme="majorHAnsi" w:cstheme="majorHAnsi"/>
          <w:sz w:val="28"/>
          <w:szCs w:val="28"/>
        </w:rPr>
        <w:t xml:space="preserve">recognition given to the </w:t>
      </w:r>
      <w:r w:rsidR="00E13866" w:rsidRPr="00327B3A">
        <w:rPr>
          <w:rFonts w:asciiTheme="majorHAnsi" w:hAnsiTheme="majorHAnsi" w:cstheme="majorHAnsi"/>
          <w:sz w:val="28"/>
          <w:szCs w:val="28"/>
        </w:rPr>
        <w:t xml:space="preserve">usually </w:t>
      </w:r>
      <w:r w:rsidR="008D6B32" w:rsidRPr="00327B3A">
        <w:rPr>
          <w:rFonts w:asciiTheme="majorHAnsi" w:hAnsiTheme="majorHAnsi" w:cstheme="majorHAnsi"/>
          <w:sz w:val="28"/>
          <w:szCs w:val="28"/>
        </w:rPr>
        <w:t xml:space="preserve">very limited room for </w:t>
      </w:r>
      <w:r w:rsidR="00C15A6E" w:rsidRPr="00327B3A">
        <w:rPr>
          <w:rFonts w:asciiTheme="majorHAnsi" w:hAnsiTheme="majorHAnsi" w:cstheme="majorHAnsi"/>
          <w:sz w:val="28"/>
          <w:szCs w:val="28"/>
        </w:rPr>
        <w:t xml:space="preserve">manoeuvre </w:t>
      </w:r>
      <w:r w:rsidR="008D6B32" w:rsidRPr="00327B3A">
        <w:rPr>
          <w:rFonts w:asciiTheme="majorHAnsi" w:hAnsiTheme="majorHAnsi" w:cstheme="majorHAnsi"/>
          <w:sz w:val="28"/>
          <w:szCs w:val="28"/>
        </w:rPr>
        <w:t xml:space="preserve">for </w:t>
      </w:r>
      <w:r w:rsidR="00E13866" w:rsidRPr="00327B3A">
        <w:rPr>
          <w:rFonts w:asciiTheme="majorHAnsi" w:hAnsiTheme="majorHAnsi" w:cstheme="majorHAnsi"/>
          <w:sz w:val="28"/>
          <w:szCs w:val="28"/>
        </w:rPr>
        <w:t xml:space="preserve">successfully implementing </w:t>
      </w:r>
      <w:r w:rsidR="008D6B32" w:rsidRPr="00327B3A">
        <w:rPr>
          <w:rFonts w:asciiTheme="majorHAnsi" w:hAnsiTheme="majorHAnsi" w:cstheme="majorHAnsi"/>
          <w:sz w:val="28"/>
          <w:szCs w:val="28"/>
        </w:rPr>
        <w:t>these reform</w:t>
      </w:r>
      <w:r w:rsidR="00E13866" w:rsidRPr="00327B3A">
        <w:rPr>
          <w:rFonts w:asciiTheme="majorHAnsi" w:hAnsiTheme="majorHAnsi" w:cstheme="majorHAnsi"/>
          <w:sz w:val="28"/>
          <w:szCs w:val="28"/>
        </w:rPr>
        <w:t>s</w:t>
      </w:r>
      <w:r w:rsidR="004041DD" w:rsidRPr="00327B3A">
        <w:rPr>
          <w:rFonts w:asciiTheme="majorHAnsi" w:hAnsiTheme="majorHAnsi" w:cstheme="majorHAnsi"/>
          <w:sz w:val="28"/>
          <w:szCs w:val="28"/>
        </w:rPr>
        <w:t xml:space="preserve"> and other interventions </w:t>
      </w:r>
      <w:r w:rsidR="008D6B32" w:rsidRPr="00327B3A">
        <w:rPr>
          <w:rFonts w:asciiTheme="majorHAnsi" w:hAnsiTheme="majorHAnsi" w:cstheme="majorHAnsi"/>
          <w:sz w:val="28"/>
          <w:szCs w:val="28"/>
        </w:rPr>
        <w:t xml:space="preserve">in </w:t>
      </w:r>
      <w:r w:rsidR="00E13866" w:rsidRPr="00327B3A">
        <w:rPr>
          <w:rFonts w:asciiTheme="majorHAnsi" w:hAnsiTheme="majorHAnsi" w:cstheme="majorHAnsi"/>
          <w:sz w:val="28"/>
          <w:szCs w:val="28"/>
        </w:rPr>
        <w:t xml:space="preserve">the </w:t>
      </w:r>
      <w:r w:rsidR="008D6B32" w:rsidRPr="00327B3A">
        <w:rPr>
          <w:rFonts w:asciiTheme="majorHAnsi" w:hAnsiTheme="majorHAnsi" w:cstheme="majorHAnsi"/>
          <w:sz w:val="28"/>
          <w:szCs w:val="28"/>
        </w:rPr>
        <w:t>high</w:t>
      </w:r>
      <w:r w:rsidR="00E13866" w:rsidRPr="00327B3A">
        <w:rPr>
          <w:rFonts w:asciiTheme="majorHAnsi" w:hAnsiTheme="majorHAnsi" w:cstheme="majorHAnsi"/>
          <w:sz w:val="28"/>
          <w:szCs w:val="28"/>
        </w:rPr>
        <w:t xml:space="preserve">ly resourced constrained and </w:t>
      </w:r>
      <w:r w:rsidR="00682211" w:rsidRPr="00327B3A">
        <w:rPr>
          <w:rFonts w:asciiTheme="majorHAnsi" w:hAnsiTheme="majorHAnsi" w:cstheme="majorHAnsi"/>
          <w:sz w:val="28"/>
          <w:szCs w:val="28"/>
        </w:rPr>
        <w:t xml:space="preserve">the frequently </w:t>
      </w:r>
      <w:r w:rsidR="008D6B32" w:rsidRPr="00327B3A">
        <w:rPr>
          <w:rFonts w:asciiTheme="majorHAnsi" w:hAnsiTheme="majorHAnsi" w:cstheme="majorHAnsi"/>
          <w:sz w:val="28"/>
          <w:szCs w:val="28"/>
        </w:rPr>
        <w:t>fragile state context</w:t>
      </w:r>
      <w:r w:rsidR="00682211" w:rsidRPr="00327B3A">
        <w:rPr>
          <w:rFonts w:asciiTheme="majorHAnsi" w:hAnsiTheme="majorHAnsi" w:cstheme="majorHAnsi"/>
          <w:sz w:val="28"/>
          <w:szCs w:val="28"/>
        </w:rPr>
        <w:t xml:space="preserve"> of </w:t>
      </w:r>
      <w:r w:rsidR="008D6B32" w:rsidRPr="00327B3A">
        <w:rPr>
          <w:rFonts w:asciiTheme="majorHAnsi" w:hAnsiTheme="majorHAnsi" w:cstheme="majorHAnsi"/>
          <w:sz w:val="28"/>
          <w:szCs w:val="28"/>
        </w:rPr>
        <w:t>SSA</w:t>
      </w:r>
      <w:r w:rsidR="00DC79DD" w:rsidRPr="00327B3A">
        <w:rPr>
          <w:rFonts w:asciiTheme="majorHAnsi" w:hAnsiTheme="majorHAnsi" w:cstheme="majorHAnsi"/>
          <w:sz w:val="28"/>
          <w:szCs w:val="28"/>
        </w:rPr>
        <w:t>.</w:t>
      </w:r>
      <w:r w:rsidR="008D6B32" w:rsidRPr="00327B3A">
        <w:rPr>
          <w:rFonts w:asciiTheme="majorHAnsi" w:hAnsiTheme="majorHAnsi" w:cstheme="majorHAnsi"/>
          <w:sz w:val="28"/>
          <w:szCs w:val="28"/>
        </w:rPr>
        <w:t xml:space="preserve"> The plethora of </w:t>
      </w:r>
      <w:r w:rsidR="004041DD" w:rsidRPr="00327B3A">
        <w:rPr>
          <w:rFonts w:asciiTheme="majorHAnsi" w:hAnsiTheme="majorHAnsi" w:cstheme="majorHAnsi"/>
          <w:sz w:val="28"/>
          <w:szCs w:val="28"/>
        </w:rPr>
        <w:t>questionable</w:t>
      </w:r>
      <w:r w:rsidR="008D6B32" w:rsidRPr="00327B3A">
        <w:rPr>
          <w:rFonts w:asciiTheme="majorHAnsi" w:hAnsiTheme="majorHAnsi" w:cstheme="majorHAnsi"/>
          <w:sz w:val="28"/>
          <w:szCs w:val="28"/>
        </w:rPr>
        <w:t xml:space="preserve"> </w:t>
      </w:r>
      <w:r w:rsidR="004041DD" w:rsidRPr="00327B3A">
        <w:rPr>
          <w:rFonts w:asciiTheme="majorHAnsi" w:hAnsiTheme="majorHAnsi" w:cstheme="majorHAnsi"/>
          <w:sz w:val="28"/>
          <w:szCs w:val="28"/>
        </w:rPr>
        <w:t xml:space="preserve">and unsubstantiated </w:t>
      </w:r>
      <w:r w:rsidR="008D6B32" w:rsidRPr="00327B3A">
        <w:rPr>
          <w:rFonts w:asciiTheme="majorHAnsi" w:hAnsiTheme="majorHAnsi" w:cstheme="majorHAnsi"/>
          <w:sz w:val="28"/>
          <w:szCs w:val="28"/>
        </w:rPr>
        <w:t>statements and as</w:t>
      </w:r>
      <w:r w:rsidR="003C533E" w:rsidRPr="00327B3A">
        <w:rPr>
          <w:rFonts w:asciiTheme="majorHAnsi" w:hAnsiTheme="majorHAnsi" w:cstheme="majorHAnsi"/>
          <w:sz w:val="28"/>
          <w:szCs w:val="28"/>
        </w:rPr>
        <w:t xml:space="preserve">sertions </w:t>
      </w:r>
      <w:r w:rsidR="00E13866" w:rsidRPr="00327B3A">
        <w:rPr>
          <w:rFonts w:asciiTheme="majorHAnsi" w:hAnsiTheme="majorHAnsi" w:cstheme="majorHAnsi"/>
          <w:sz w:val="28"/>
          <w:szCs w:val="28"/>
        </w:rPr>
        <w:t xml:space="preserve">that are made in the Report is </w:t>
      </w:r>
      <w:r w:rsidR="003C533E" w:rsidRPr="00327B3A">
        <w:rPr>
          <w:rFonts w:asciiTheme="majorHAnsi" w:hAnsiTheme="majorHAnsi" w:cstheme="majorHAnsi"/>
          <w:sz w:val="28"/>
          <w:szCs w:val="28"/>
        </w:rPr>
        <w:t>symptomatic of this uncritical approach to global policy transfer.</w:t>
      </w:r>
      <w:r w:rsidR="00904372" w:rsidRPr="00327B3A">
        <w:rPr>
          <w:rFonts w:asciiTheme="majorHAnsi" w:hAnsiTheme="majorHAnsi" w:cstheme="majorHAnsi"/>
          <w:sz w:val="28"/>
          <w:szCs w:val="28"/>
        </w:rPr>
        <w:t xml:space="preserve"> </w:t>
      </w:r>
      <w:r w:rsidR="004041DD" w:rsidRPr="00327B3A">
        <w:rPr>
          <w:rFonts w:asciiTheme="majorHAnsi" w:hAnsiTheme="majorHAnsi" w:cstheme="majorHAnsi"/>
          <w:sz w:val="28"/>
          <w:szCs w:val="28"/>
        </w:rPr>
        <w:t xml:space="preserve">The overriding impression is, therefore, that there are no serious </w:t>
      </w:r>
      <w:r w:rsidR="00CF18E6" w:rsidRPr="00327B3A">
        <w:rPr>
          <w:rFonts w:asciiTheme="majorHAnsi" w:hAnsiTheme="majorHAnsi" w:cstheme="majorHAnsi"/>
          <w:sz w:val="28"/>
          <w:szCs w:val="28"/>
        </w:rPr>
        <w:t xml:space="preserve">debates and controversies </w:t>
      </w:r>
      <w:r w:rsidR="004041DD" w:rsidRPr="00327B3A">
        <w:rPr>
          <w:rFonts w:asciiTheme="majorHAnsi" w:hAnsiTheme="majorHAnsi" w:cstheme="majorHAnsi"/>
          <w:sz w:val="28"/>
          <w:szCs w:val="28"/>
        </w:rPr>
        <w:t xml:space="preserve">about </w:t>
      </w:r>
      <w:r w:rsidR="00904372" w:rsidRPr="00327B3A">
        <w:rPr>
          <w:rFonts w:asciiTheme="majorHAnsi" w:hAnsiTheme="majorHAnsi" w:cstheme="majorHAnsi"/>
          <w:sz w:val="28"/>
          <w:szCs w:val="28"/>
        </w:rPr>
        <w:t>secondary education policy and practice in SSA</w:t>
      </w:r>
      <w:r w:rsidR="004041DD" w:rsidRPr="00327B3A">
        <w:rPr>
          <w:rFonts w:asciiTheme="majorHAnsi" w:hAnsiTheme="majorHAnsi" w:cstheme="majorHAnsi"/>
          <w:sz w:val="28"/>
          <w:szCs w:val="28"/>
        </w:rPr>
        <w:t xml:space="preserve"> and, in particular, the attainment of USE</w:t>
      </w:r>
      <w:r w:rsidR="00CF18E6" w:rsidRPr="00327B3A">
        <w:rPr>
          <w:rFonts w:asciiTheme="majorHAnsi" w:hAnsiTheme="majorHAnsi" w:cstheme="majorHAnsi"/>
          <w:sz w:val="28"/>
          <w:szCs w:val="28"/>
        </w:rPr>
        <w:t xml:space="preserve">.   </w:t>
      </w:r>
    </w:p>
    <w:p w:rsidR="0029032F" w:rsidRPr="00327B3A" w:rsidRDefault="0029032F" w:rsidP="00577F32">
      <w:pPr>
        <w:jc w:val="both"/>
        <w:rPr>
          <w:rFonts w:asciiTheme="majorHAnsi" w:hAnsiTheme="majorHAnsi" w:cstheme="majorHAnsi"/>
          <w:i/>
          <w:sz w:val="28"/>
          <w:szCs w:val="28"/>
        </w:rPr>
      </w:pPr>
      <w:r w:rsidRPr="00327B3A">
        <w:rPr>
          <w:rFonts w:asciiTheme="majorHAnsi" w:hAnsiTheme="majorHAnsi" w:cstheme="majorHAnsi"/>
          <w:i/>
          <w:sz w:val="28"/>
          <w:szCs w:val="28"/>
        </w:rPr>
        <w:t>Evidence bias</w:t>
      </w:r>
    </w:p>
    <w:p w:rsidR="00C8294B" w:rsidRPr="00327B3A" w:rsidRDefault="0098613D" w:rsidP="00647C52">
      <w:pPr>
        <w:jc w:val="both"/>
        <w:rPr>
          <w:rFonts w:asciiTheme="majorHAnsi" w:hAnsiTheme="majorHAnsi" w:cstheme="majorHAnsi"/>
          <w:i/>
          <w:sz w:val="28"/>
          <w:szCs w:val="28"/>
        </w:rPr>
      </w:pPr>
      <w:r w:rsidRPr="00327B3A">
        <w:rPr>
          <w:rFonts w:asciiTheme="majorHAnsi" w:hAnsiTheme="majorHAnsi" w:cstheme="majorHAnsi"/>
          <w:sz w:val="28"/>
          <w:szCs w:val="28"/>
        </w:rPr>
        <w:t xml:space="preserve">The </w:t>
      </w:r>
      <w:r w:rsidR="00904372" w:rsidRPr="00327B3A">
        <w:rPr>
          <w:rFonts w:asciiTheme="majorHAnsi" w:hAnsiTheme="majorHAnsi" w:cstheme="majorHAnsi"/>
          <w:sz w:val="28"/>
          <w:szCs w:val="28"/>
        </w:rPr>
        <w:t>overall tone of the Report</w:t>
      </w:r>
      <w:r w:rsidR="002D4BB8" w:rsidRPr="00327B3A">
        <w:rPr>
          <w:rFonts w:asciiTheme="majorHAnsi" w:hAnsiTheme="majorHAnsi" w:cstheme="majorHAnsi"/>
          <w:sz w:val="28"/>
          <w:szCs w:val="28"/>
        </w:rPr>
        <w:t xml:space="preserve"> is </w:t>
      </w:r>
      <w:r w:rsidR="0029032F" w:rsidRPr="00327B3A">
        <w:rPr>
          <w:rFonts w:asciiTheme="majorHAnsi" w:hAnsiTheme="majorHAnsi" w:cstheme="majorHAnsi"/>
          <w:sz w:val="28"/>
          <w:szCs w:val="28"/>
        </w:rPr>
        <w:t>up-beat</w:t>
      </w:r>
      <w:r w:rsidR="002D4BB8" w:rsidRPr="00327B3A">
        <w:rPr>
          <w:rFonts w:asciiTheme="majorHAnsi" w:hAnsiTheme="majorHAnsi" w:cstheme="majorHAnsi"/>
          <w:sz w:val="28"/>
          <w:szCs w:val="28"/>
        </w:rPr>
        <w:t xml:space="preserve"> and optimistic and, as such, </w:t>
      </w:r>
      <w:r w:rsidR="004041DD" w:rsidRPr="00327B3A">
        <w:rPr>
          <w:rFonts w:asciiTheme="majorHAnsi" w:hAnsiTheme="majorHAnsi" w:cstheme="majorHAnsi"/>
          <w:sz w:val="28"/>
          <w:szCs w:val="28"/>
        </w:rPr>
        <w:t xml:space="preserve">the focus is on </w:t>
      </w:r>
      <w:r w:rsidRPr="00327B3A">
        <w:rPr>
          <w:rFonts w:asciiTheme="majorHAnsi" w:hAnsiTheme="majorHAnsi" w:cstheme="majorHAnsi"/>
          <w:sz w:val="28"/>
          <w:szCs w:val="28"/>
        </w:rPr>
        <w:t xml:space="preserve">positive </w:t>
      </w:r>
      <w:r w:rsidR="00B905E4" w:rsidRPr="00327B3A">
        <w:rPr>
          <w:rFonts w:asciiTheme="majorHAnsi" w:hAnsiTheme="majorHAnsi" w:cstheme="majorHAnsi"/>
          <w:sz w:val="28"/>
          <w:szCs w:val="28"/>
        </w:rPr>
        <w:t xml:space="preserve">recent country </w:t>
      </w:r>
      <w:r w:rsidRPr="00327B3A">
        <w:rPr>
          <w:rFonts w:asciiTheme="majorHAnsi" w:hAnsiTheme="majorHAnsi" w:cstheme="majorHAnsi"/>
          <w:sz w:val="28"/>
          <w:szCs w:val="28"/>
        </w:rPr>
        <w:t>experiences</w:t>
      </w:r>
      <w:r w:rsidR="00B905E4" w:rsidRPr="00327B3A">
        <w:rPr>
          <w:rFonts w:asciiTheme="majorHAnsi" w:hAnsiTheme="majorHAnsi" w:cstheme="majorHAnsi"/>
          <w:sz w:val="28"/>
          <w:szCs w:val="28"/>
        </w:rPr>
        <w:t xml:space="preserve"> in improving secondary education provision and a corresponding lack of attention given to the </w:t>
      </w:r>
      <w:r w:rsidR="002D4BB8" w:rsidRPr="00327B3A">
        <w:rPr>
          <w:rFonts w:asciiTheme="majorHAnsi" w:hAnsiTheme="majorHAnsi" w:cstheme="majorHAnsi"/>
          <w:sz w:val="28"/>
          <w:szCs w:val="28"/>
        </w:rPr>
        <w:t xml:space="preserve">complex and often messy realities of </w:t>
      </w:r>
      <w:r w:rsidR="00904372" w:rsidRPr="00327B3A">
        <w:rPr>
          <w:rFonts w:asciiTheme="majorHAnsi" w:hAnsiTheme="majorHAnsi" w:cstheme="majorHAnsi"/>
          <w:sz w:val="28"/>
          <w:szCs w:val="28"/>
        </w:rPr>
        <w:t xml:space="preserve">recent </w:t>
      </w:r>
      <w:r w:rsidR="002D4BB8" w:rsidRPr="00327B3A">
        <w:rPr>
          <w:rFonts w:asciiTheme="majorHAnsi" w:hAnsiTheme="majorHAnsi" w:cstheme="majorHAnsi"/>
          <w:sz w:val="28"/>
          <w:szCs w:val="28"/>
        </w:rPr>
        <w:t>policy implementation</w:t>
      </w:r>
      <w:r w:rsidR="0029032F" w:rsidRPr="00327B3A">
        <w:rPr>
          <w:rFonts w:asciiTheme="majorHAnsi" w:hAnsiTheme="majorHAnsi" w:cstheme="majorHAnsi"/>
          <w:sz w:val="28"/>
          <w:szCs w:val="28"/>
        </w:rPr>
        <w:t xml:space="preserve">. </w:t>
      </w:r>
      <w:r w:rsidR="008C04CE" w:rsidRPr="00327B3A">
        <w:rPr>
          <w:rFonts w:asciiTheme="majorHAnsi" w:hAnsiTheme="majorHAnsi" w:cstheme="majorHAnsi"/>
          <w:sz w:val="28"/>
          <w:szCs w:val="28"/>
        </w:rPr>
        <w:t>It is noticeable that o</w:t>
      </w:r>
      <w:r w:rsidRPr="00327B3A">
        <w:rPr>
          <w:rFonts w:asciiTheme="majorHAnsi" w:hAnsiTheme="majorHAnsi" w:cstheme="majorHAnsi"/>
          <w:sz w:val="28"/>
          <w:szCs w:val="28"/>
        </w:rPr>
        <w:t xml:space="preserve">nly two countries </w:t>
      </w:r>
      <w:r w:rsidR="00B34EF1">
        <w:rPr>
          <w:rFonts w:asciiTheme="majorHAnsi" w:hAnsiTheme="majorHAnsi" w:cstheme="majorHAnsi"/>
          <w:sz w:val="28"/>
          <w:szCs w:val="28"/>
        </w:rPr>
        <w:t xml:space="preserve">in SSA </w:t>
      </w:r>
      <w:r w:rsidRPr="00327B3A">
        <w:rPr>
          <w:rFonts w:asciiTheme="majorHAnsi" w:hAnsiTheme="majorHAnsi" w:cstheme="majorHAnsi"/>
          <w:sz w:val="28"/>
          <w:szCs w:val="28"/>
        </w:rPr>
        <w:t xml:space="preserve">are </w:t>
      </w:r>
      <w:r w:rsidR="002D4BB8" w:rsidRPr="00327B3A">
        <w:rPr>
          <w:rFonts w:asciiTheme="majorHAnsi" w:hAnsiTheme="majorHAnsi" w:cstheme="majorHAnsi"/>
          <w:sz w:val="28"/>
          <w:szCs w:val="28"/>
        </w:rPr>
        <w:t xml:space="preserve">singled out for </w:t>
      </w:r>
      <w:r w:rsidR="00904372" w:rsidRPr="00327B3A">
        <w:rPr>
          <w:rFonts w:asciiTheme="majorHAnsi" w:hAnsiTheme="majorHAnsi" w:cstheme="majorHAnsi"/>
          <w:sz w:val="28"/>
          <w:szCs w:val="28"/>
        </w:rPr>
        <w:t xml:space="preserve">special praise </w:t>
      </w:r>
      <w:r w:rsidRPr="00327B3A">
        <w:rPr>
          <w:rFonts w:asciiTheme="majorHAnsi" w:hAnsiTheme="majorHAnsi" w:cstheme="majorHAnsi"/>
          <w:sz w:val="28"/>
          <w:szCs w:val="28"/>
        </w:rPr>
        <w:t xml:space="preserve">namely </w:t>
      </w:r>
      <w:r w:rsidR="00904372" w:rsidRPr="00327B3A">
        <w:rPr>
          <w:rFonts w:asciiTheme="majorHAnsi" w:hAnsiTheme="majorHAnsi" w:cstheme="majorHAnsi"/>
          <w:sz w:val="28"/>
          <w:szCs w:val="28"/>
        </w:rPr>
        <w:t>Senegal and Sierra Leone</w:t>
      </w:r>
      <w:r w:rsidRPr="00327B3A">
        <w:rPr>
          <w:rFonts w:asciiTheme="majorHAnsi" w:hAnsiTheme="majorHAnsi" w:cstheme="majorHAnsi"/>
          <w:sz w:val="28"/>
          <w:szCs w:val="28"/>
        </w:rPr>
        <w:t>.</w:t>
      </w:r>
      <w:r w:rsidR="002D4BB8" w:rsidRPr="00327B3A">
        <w:rPr>
          <w:rFonts w:asciiTheme="majorHAnsi" w:hAnsiTheme="majorHAnsi" w:cstheme="majorHAnsi"/>
          <w:sz w:val="28"/>
          <w:szCs w:val="28"/>
        </w:rPr>
        <w:t xml:space="preserve"> Even here, </w:t>
      </w:r>
      <w:r w:rsidR="00904372" w:rsidRPr="00327B3A">
        <w:rPr>
          <w:rFonts w:asciiTheme="majorHAnsi" w:hAnsiTheme="majorHAnsi" w:cstheme="majorHAnsi"/>
          <w:sz w:val="28"/>
          <w:szCs w:val="28"/>
        </w:rPr>
        <w:t xml:space="preserve">it is questionable </w:t>
      </w:r>
      <w:r w:rsidR="002D4BB8" w:rsidRPr="00327B3A">
        <w:rPr>
          <w:rFonts w:asciiTheme="majorHAnsi" w:hAnsiTheme="majorHAnsi" w:cstheme="majorHAnsi"/>
          <w:sz w:val="28"/>
          <w:szCs w:val="28"/>
        </w:rPr>
        <w:t xml:space="preserve">just how successful </w:t>
      </w:r>
      <w:r w:rsidR="00904372" w:rsidRPr="00327B3A">
        <w:rPr>
          <w:rFonts w:asciiTheme="majorHAnsi" w:hAnsiTheme="majorHAnsi" w:cstheme="majorHAnsi"/>
          <w:sz w:val="28"/>
          <w:szCs w:val="28"/>
        </w:rPr>
        <w:t>improvements in secondary education policy and practice have</w:t>
      </w:r>
      <w:r w:rsidR="00CC32A5">
        <w:rPr>
          <w:rFonts w:asciiTheme="majorHAnsi" w:hAnsiTheme="majorHAnsi" w:cstheme="majorHAnsi"/>
          <w:sz w:val="28"/>
          <w:szCs w:val="28"/>
        </w:rPr>
        <w:t xml:space="preserve"> been</w:t>
      </w:r>
      <w:r w:rsidR="002D4BB8" w:rsidRPr="00327B3A">
        <w:rPr>
          <w:rFonts w:asciiTheme="majorHAnsi" w:hAnsiTheme="majorHAnsi" w:cstheme="majorHAnsi"/>
          <w:sz w:val="28"/>
          <w:szCs w:val="28"/>
        </w:rPr>
        <w:t>.</w:t>
      </w:r>
      <w:r w:rsidR="00904372" w:rsidRPr="00327B3A">
        <w:rPr>
          <w:rFonts w:asciiTheme="majorHAnsi" w:hAnsiTheme="majorHAnsi" w:cstheme="majorHAnsi"/>
          <w:sz w:val="28"/>
          <w:szCs w:val="28"/>
        </w:rPr>
        <w:t xml:space="preserve"> There are certainly other </w:t>
      </w:r>
      <w:r w:rsidR="00904372" w:rsidRPr="00327B3A">
        <w:rPr>
          <w:rFonts w:asciiTheme="majorHAnsi" w:hAnsiTheme="majorHAnsi" w:cstheme="majorHAnsi"/>
          <w:sz w:val="28"/>
          <w:szCs w:val="28"/>
        </w:rPr>
        <w:lastRenderedPageBreak/>
        <w:t>countries, in particular DRC, Gambia, Ghana</w:t>
      </w:r>
      <w:r w:rsidR="008C04CE" w:rsidRPr="00327B3A">
        <w:rPr>
          <w:rFonts w:asciiTheme="majorHAnsi" w:hAnsiTheme="majorHAnsi" w:cstheme="majorHAnsi"/>
          <w:sz w:val="28"/>
          <w:szCs w:val="28"/>
        </w:rPr>
        <w:t>, Kenya</w:t>
      </w:r>
      <w:r w:rsidR="00904372" w:rsidRPr="00327B3A">
        <w:rPr>
          <w:rFonts w:asciiTheme="majorHAnsi" w:hAnsiTheme="majorHAnsi" w:cstheme="majorHAnsi"/>
          <w:sz w:val="28"/>
          <w:szCs w:val="28"/>
        </w:rPr>
        <w:t xml:space="preserve"> and Togo, wh</w:t>
      </w:r>
      <w:r w:rsidR="009A2989" w:rsidRPr="00327B3A">
        <w:rPr>
          <w:rFonts w:asciiTheme="majorHAnsi" w:hAnsiTheme="majorHAnsi" w:cstheme="majorHAnsi"/>
          <w:sz w:val="28"/>
          <w:szCs w:val="28"/>
        </w:rPr>
        <w:t>ere m</w:t>
      </w:r>
      <w:r w:rsidR="00904372" w:rsidRPr="00327B3A">
        <w:rPr>
          <w:rFonts w:asciiTheme="majorHAnsi" w:hAnsiTheme="majorHAnsi" w:cstheme="majorHAnsi"/>
          <w:sz w:val="28"/>
          <w:szCs w:val="28"/>
        </w:rPr>
        <w:t xml:space="preserve">ore impressive progress </w:t>
      </w:r>
      <w:r w:rsidR="009A2989" w:rsidRPr="00327B3A">
        <w:rPr>
          <w:rFonts w:asciiTheme="majorHAnsi" w:hAnsiTheme="majorHAnsi" w:cstheme="majorHAnsi"/>
          <w:sz w:val="28"/>
          <w:szCs w:val="28"/>
        </w:rPr>
        <w:t xml:space="preserve">has been made </w:t>
      </w:r>
      <w:r w:rsidR="00C8294B" w:rsidRPr="00327B3A">
        <w:rPr>
          <w:rFonts w:asciiTheme="majorHAnsi" w:hAnsiTheme="majorHAnsi" w:cstheme="majorHAnsi"/>
          <w:sz w:val="28"/>
          <w:szCs w:val="28"/>
        </w:rPr>
        <w:t xml:space="preserve">in implementing </w:t>
      </w:r>
      <w:r w:rsidR="00904372" w:rsidRPr="00327B3A">
        <w:rPr>
          <w:rFonts w:asciiTheme="majorHAnsi" w:hAnsiTheme="majorHAnsi" w:cstheme="majorHAnsi"/>
          <w:sz w:val="28"/>
          <w:szCs w:val="28"/>
        </w:rPr>
        <w:t>USE</w:t>
      </w:r>
      <w:r w:rsidR="00C8294B" w:rsidRPr="00327B3A">
        <w:rPr>
          <w:rFonts w:asciiTheme="majorHAnsi" w:hAnsiTheme="majorHAnsi" w:cstheme="majorHAnsi"/>
          <w:sz w:val="28"/>
          <w:szCs w:val="28"/>
        </w:rPr>
        <w:t xml:space="preserve"> policies</w:t>
      </w:r>
      <w:r w:rsidR="00904372" w:rsidRPr="00327B3A">
        <w:rPr>
          <w:rFonts w:asciiTheme="majorHAnsi" w:hAnsiTheme="majorHAnsi" w:cstheme="majorHAnsi"/>
          <w:sz w:val="28"/>
          <w:szCs w:val="28"/>
        </w:rPr>
        <w:t>.</w:t>
      </w:r>
    </w:p>
    <w:p w:rsidR="002F2D28" w:rsidRPr="00327B3A" w:rsidRDefault="00885A8D" w:rsidP="00577F32">
      <w:pPr>
        <w:jc w:val="both"/>
        <w:rPr>
          <w:rFonts w:asciiTheme="majorHAnsi" w:hAnsiTheme="majorHAnsi" w:cstheme="majorHAnsi"/>
          <w:i/>
          <w:sz w:val="28"/>
          <w:szCs w:val="28"/>
        </w:rPr>
      </w:pPr>
      <w:r w:rsidRPr="00327B3A">
        <w:rPr>
          <w:rFonts w:asciiTheme="majorHAnsi" w:hAnsiTheme="majorHAnsi" w:cstheme="majorHAnsi"/>
          <w:i/>
          <w:sz w:val="28"/>
          <w:szCs w:val="28"/>
        </w:rPr>
        <w:t>Information paucity</w:t>
      </w:r>
    </w:p>
    <w:p w:rsidR="0029032F" w:rsidRPr="00327B3A" w:rsidRDefault="008C04CE" w:rsidP="00577F32">
      <w:pPr>
        <w:jc w:val="both"/>
        <w:rPr>
          <w:rFonts w:asciiTheme="majorHAnsi" w:hAnsiTheme="majorHAnsi" w:cstheme="majorHAnsi"/>
          <w:sz w:val="28"/>
          <w:szCs w:val="28"/>
        </w:rPr>
      </w:pPr>
      <w:r w:rsidRPr="00327B3A">
        <w:rPr>
          <w:rFonts w:asciiTheme="majorHAnsi" w:hAnsiTheme="majorHAnsi" w:cstheme="majorHAnsi"/>
          <w:sz w:val="28"/>
          <w:szCs w:val="28"/>
        </w:rPr>
        <w:t xml:space="preserve">As with </w:t>
      </w:r>
      <w:r w:rsidR="002F2D28" w:rsidRPr="00327B3A">
        <w:rPr>
          <w:rFonts w:asciiTheme="majorHAnsi" w:hAnsiTheme="majorHAnsi" w:cstheme="majorHAnsi"/>
          <w:sz w:val="28"/>
          <w:szCs w:val="28"/>
        </w:rPr>
        <w:t xml:space="preserve">other </w:t>
      </w:r>
      <w:r w:rsidR="00E2643B" w:rsidRPr="00327B3A">
        <w:rPr>
          <w:rFonts w:asciiTheme="majorHAnsi" w:hAnsiTheme="majorHAnsi" w:cstheme="majorHAnsi"/>
          <w:sz w:val="28"/>
          <w:szCs w:val="28"/>
        </w:rPr>
        <w:t xml:space="preserve">similar education </w:t>
      </w:r>
      <w:r w:rsidRPr="00327B3A">
        <w:rPr>
          <w:rFonts w:asciiTheme="majorHAnsi" w:hAnsiTheme="majorHAnsi" w:cstheme="majorHAnsi"/>
          <w:sz w:val="28"/>
          <w:szCs w:val="28"/>
        </w:rPr>
        <w:t xml:space="preserve">overview </w:t>
      </w:r>
      <w:r w:rsidR="002F2D28" w:rsidRPr="00327B3A">
        <w:rPr>
          <w:rFonts w:asciiTheme="majorHAnsi" w:hAnsiTheme="majorHAnsi" w:cstheme="majorHAnsi"/>
          <w:sz w:val="28"/>
          <w:szCs w:val="28"/>
        </w:rPr>
        <w:t>and strateg</w:t>
      </w:r>
      <w:r w:rsidR="00E2643B" w:rsidRPr="00327B3A">
        <w:rPr>
          <w:rFonts w:asciiTheme="majorHAnsi" w:hAnsiTheme="majorHAnsi" w:cstheme="majorHAnsi"/>
          <w:sz w:val="28"/>
          <w:szCs w:val="28"/>
        </w:rPr>
        <w:t xml:space="preserve">y documents </w:t>
      </w:r>
      <w:r w:rsidRPr="00327B3A">
        <w:rPr>
          <w:rFonts w:asciiTheme="majorHAnsi" w:hAnsiTheme="majorHAnsi" w:cstheme="majorHAnsi"/>
          <w:sz w:val="28"/>
          <w:szCs w:val="28"/>
        </w:rPr>
        <w:t>which have been regularly published during the last 30 years</w:t>
      </w:r>
      <w:r w:rsidR="00C8294B" w:rsidRPr="00327B3A">
        <w:rPr>
          <w:rStyle w:val="FootnoteReference"/>
          <w:rFonts w:asciiTheme="majorHAnsi" w:hAnsiTheme="majorHAnsi" w:cstheme="majorHAnsi"/>
          <w:sz w:val="28"/>
          <w:szCs w:val="28"/>
        </w:rPr>
        <w:footnoteReference w:id="5"/>
      </w:r>
      <w:r w:rsidRPr="00327B3A">
        <w:rPr>
          <w:rFonts w:asciiTheme="majorHAnsi" w:hAnsiTheme="majorHAnsi" w:cstheme="majorHAnsi"/>
          <w:sz w:val="28"/>
          <w:szCs w:val="28"/>
        </w:rPr>
        <w:t xml:space="preserve">, </w:t>
      </w:r>
      <w:r w:rsidR="002F2D28" w:rsidRPr="00327B3A">
        <w:rPr>
          <w:rFonts w:asciiTheme="majorHAnsi" w:hAnsiTheme="majorHAnsi" w:cstheme="majorHAnsi"/>
          <w:sz w:val="28"/>
          <w:szCs w:val="28"/>
        </w:rPr>
        <w:t xml:space="preserve">the </w:t>
      </w:r>
      <w:r w:rsidRPr="00327B3A">
        <w:rPr>
          <w:rFonts w:asciiTheme="majorHAnsi" w:hAnsiTheme="majorHAnsi" w:cstheme="majorHAnsi"/>
          <w:sz w:val="28"/>
          <w:szCs w:val="28"/>
        </w:rPr>
        <w:t xml:space="preserve">scope and depth of the analysis in the </w:t>
      </w:r>
      <w:r w:rsidR="002F2D28" w:rsidRPr="00327B3A">
        <w:rPr>
          <w:rFonts w:asciiTheme="majorHAnsi" w:hAnsiTheme="majorHAnsi" w:cstheme="majorHAnsi"/>
          <w:sz w:val="28"/>
          <w:szCs w:val="28"/>
        </w:rPr>
        <w:t xml:space="preserve">Report is </w:t>
      </w:r>
      <w:r w:rsidR="00E2643B" w:rsidRPr="00327B3A">
        <w:rPr>
          <w:rFonts w:asciiTheme="majorHAnsi" w:hAnsiTheme="majorHAnsi" w:cstheme="majorHAnsi"/>
          <w:sz w:val="28"/>
          <w:szCs w:val="28"/>
        </w:rPr>
        <w:t xml:space="preserve">limited </w:t>
      </w:r>
      <w:r w:rsidR="002F2D28" w:rsidRPr="00327B3A">
        <w:rPr>
          <w:rFonts w:asciiTheme="majorHAnsi" w:hAnsiTheme="majorHAnsi" w:cstheme="majorHAnsi"/>
          <w:sz w:val="28"/>
          <w:szCs w:val="28"/>
        </w:rPr>
        <w:t xml:space="preserve">by the </w:t>
      </w:r>
      <w:r w:rsidRPr="00327B3A">
        <w:rPr>
          <w:rFonts w:asciiTheme="majorHAnsi" w:hAnsiTheme="majorHAnsi" w:cstheme="majorHAnsi"/>
          <w:sz w:val="28"/>
          <w:szCs w:val="28"/>
        </w:rPr>
        <w:t xml:space="preserve">paucity </w:t>
      </w:r>
      <w:r w:rsidR="002F2D28" w:rsidRPr="00327B3A">
        <w:rPr>
          <w:rFonts w:asciiTheme="majorHAnsi" w:hAnsiTheme="majorHAnsi" w:cstheme="majorHAnsi"/>
          <w:sz w:val="28"/>
          <w:szCs w:val="28"/>
        </w:rPr>
        <w:t>of good quality</w:t>
      </w:r>
      <w:r w:rsidR="00CC32A5">
        <w:rPr>
          <w:rFonts w:asciiTheme="majorHAnsi" w:hAnsiTheme="majorHAnsi" w:cstheme="majorHAnsi"/>
          <w:sz w:val="28"/>
          <w:szCs w:val="28"/>
        </w:rPr>
        <w:t>, up-to-</w:t>
      </w:r>
      <w:r w:rsidRPr="00327B3A">
        <w:rPr>
          <w:rFonts w:asciiTheme="majorHAnsi" w:hAnsiTheme="majorHAnsi" w:cstheme="majorHAnsi"/>
          <w:sz w:val="28"/>
          <w:szCs w:val="28"/>
        </w:rPr>
        <w:t>date</w:t>
      </w:r>
      <w:r w:rsidR="002F2D28" w:rsidRPr="00327B3A">
        <w:rPr>
          <w:rFonts w:asciiTheme="majorHAnsi" w:hAnsiTheme="majorHAnsi" w:cstheme="majorHAnsi"/>
          <w:sz w:val="28"/>
          <w:szCs w:val="28"/>
        </w:rPr>
        <w:t xml:space="preserve"> information</w:t>
      </w:r>
      <w:r w:rsidR="00DA3300" w:rsidRPr="00327B3A">
        <w:rPr>
          <w:rFonts w:asciiTheme="majorHAnsi" w:hAnsiTheme="majorHAnsi" w:cstheme="majorHAnsi"/>
          <w:sz w:val="28"/>
          <w:szCs w:val="28"/>
        </w:rPr>
        <w:t xml:space="preserve"> </w:t>
      </w:r>
      <w:r w:rsidR="002F2D28" w:rsidRPr="00327B3A">
        <w:rPr>
          <w:rFonts w:asciiTheme="majorHAnsi" w:hAnsiTheme="majorHAnsi" w:cstheme="majorHAnsi"/>
          <w:sz w:val="28"/>
          <w:szCs w:val="28"/>
        </w:rPr>
        <w:t xml:space="preserve">in almost all </w:t>
      </w:r>
      <w:r w:rsidR="00DA3300" w:rsidRPr="00327B3A">
        <w:rPr>
          <w:rFonts w:asciiTheme="majorHAnsi" w:hAnsiTheme="majorHAnsi" w:cstheme="majorHAnsi"/>
          <w:sz w:val="28"/>
          <w:szCs w:val="28"/>
        </w:rPr>
        <w:t xml:space="preserve">the </w:t>
      </w:r>
      <w:r w:rsidR="002F2D28" w:rsidRPr="00327B3A">
        <w:rPr>
          <w:rFonts w:asciiTheme="majorHAnsi" w:hAnsiTheme="majorHAnsi" w:cstheme="majorHAnsi"/>
          <w:sz w:val="28"/>
          <w:szCs w:val="28"/>
        </w:rPr>
        <w:t xml:space="preserve">50 </w:t>
      </w:r>
      <w:r w:rsidR="00DA3300" w:rsidRPr="00327B3A">
        <w:rPr>
          <w:rFonts w:asciiTheme="majorHAnsi" w:hAnsiTheme="majorHAnsi" w:cstheme="majorHAnsi"/>
          <w:sz w:val="28"/>
          <w:szCs w:val="28"/>
        </w:rPr>
        <w:t xml:space="preserve">or so </w:t>
      </w:r>
      <w:r w:rsidR="002F2D28" w:rsidRPr="00327B3A">
        <w:rPr>
          <w:rFonts w:asciiTheme="majorHAnsi" w:hAnsiTheme="majorHAnsi" w:cstheme="majorHAnsi"/>
          <w:sz w:val="28"/>
          <w:szCs w:val="28"/>
        </w:rPr>
        <w:t>countries</w:t>
      </w:r>
      <w:r w:rsidR="00DA3300" w:rsidRPr="00327B3A">
        <w:rPr>
          <w:rFonts w:asciiTheme="majorHAnsi" w:hAnsiTheme="majorHAnsi" w:cstheme="majorHAnsi"/>
          <w:sz w:val="28"/>
          <w:szCs w:val="28"/>
        </w:rPr>
        <w:t xml:space="preserve"> in SSA</w:t>
      </w:r>
      <w:r w:rsidR="002F2D28" w:rsidRPr="00327B3A">
        <w:rPr>
          <w:rFonts w:asciiTheme="majorHAnsi" w:hAnsiTheme="majorHAnsi" w:cstheme="majorHAnsi"/>
          <w:sz w:val="28"/>
          <w:szCs w:val="28"/>
        </w:rPr>
        <w:t xml:space="preserve"> including </w:t>
      </w:r>
      <w:r w:rsidR="00DA3300" w:rsidRPr="00327B3A">
        <w:rPr>
          <w:rFonts w:asciiTheme="majorHAnsi" w:hAnsiTheme="majorHAnsi" w:cstheme="majorHAnsi"/>
          <w:sz w:val="28"/>
          <w:szCs w:val="28"/>
        </w:rPr>
        <w:t xml:space="preserve">very basic descriptive information on key secondary education policy interventions </w:t>
      </w:r>
      <w:r w:rsidR="002F2D28" w:rsidRPr="00327B3A">
        <w:rPr>
          <w:rFonts w:asciiTheme="majorHAnsi" w:hAnsiTheme="majorHAnsi" w:cstheme="majorHAnsi"/>
          <w:sz w:val="28"/>
          <w:szCs w:val="28"/>
        </w:rPr>
        <w:t xml:space="preserve">during the </w:t>
      </w:r>
      <w:r w:rsidR="00E2643B" w:rsidRPr="00327B3A">
        <w:rPr>
          <w:rFonts w:asciiTheme="majorHAnsi" w:hAnsiTheme="majorHAnsi" w:cstheme="majorHAnsi"/>
          <w:sz w:val="28"/>
          <w:szCs w:val="28"/>
        </w:rPr>
        <w:t>five years or so.</w:t>
      </w:r>
      <w:r w:rsidR="00DA3300" w:rsidRPr="00327B3A">
        <w:rPr>
          <w:rStyle w:val="FootnoteReference"/>
          <w:rFonts w:asciiTheme="majorHAnsi" w:hAnsiTheme="majorHAnsi" w:cstheme="majorHAnsi"/>
          <w:sz w:val="28"/>
          <w:szCs w:val="28"/>
        </w:rPr>
        <w:footnoteReference w:id="6"/>
      </w:r>
      <w:r w:rsidR="00DB0F7A" w:rsidRPr="00327B3A">
        <w:rPr>
          <w:rFonts w:asciiTheme="majorHAnsi" w:hAnsiTheme="majorHAnsi" w:cstheme="majorHAnsi"/>
          <w:sz w:val="28"/>
          <w:szCs w:val="28"/>
        </w:rPr>
        <w:t xml:space="preserve"> </w:t>
      </w:r>
      <w:r w:rsidR="002F2D28" w:rsidRPr="00327B3A">
        <w:rPr>
          <w:rFonts w:asciiTheme="majorHAnsi" w:hAnsiTheme="majorHAnsi" w:cstheme="majorHAnsi"/>
          <w:sz w:val="28"/>
          <w:szCs w:val="28"/>
        </w:rPr>
        <w:t xml:space="preserve"> </w:t>
      </w:r>
    </w:p>
    <w:p w:rsidR="00AB3469" w:rsidRPr="00327B3A" w:rsidRDefault="002F2D28" w:rsidP="00577F32">
      <w:pPr>
        <w:jc w:val="both"/>
        <w:rPr>
          <w:rFonts w:asciiTheme="majorHAnsi" w:hAnsiTheme="majorHAnsi" w:cstheme="majorHAnsi"/>
          <w:sz w:val="28"/>
          <w:szCs w:val="28"/>
        </w:rPr>
      </w:pPr>
      <w:r w:rsidRPr="00327B3A">
        <w:rPr>
          <w:rFonts w:asciiTheme="majorHAnsi" w:hAnsiTheme="majorHAnsi" w:cstheme="majorHAnsi"/>
          <w:sz w:val="28"/>
          <w:szCs w:val="28"/>
        </w:rPr>
        <w:t>The reasons for this information crisis are diverse and complex but</w:t>
      </w:r>
      <w:r w:rsidR="00832266" w:rsidRPr="00327B3A">
        <w:rPr>
          <w:rFonts w:asciiTheme="majorHAnsi" w:hAnsiTheme="majorHAnsi" w:cstheme="majorHAnsi"/>
          <w:sz w:val="28"/>
          <w:szCs w:val="28"/>
        </w:rPr>
        <w:t>,</w:t>
      </w:r>
      <w:r w:rsidRPr="00327B3A">
        <w:rPr>
          <w:rFonts w:asciiTheme="majorHAnsi" w:hAnsiTheme="majorHAnsi" w:cstheme="majorHAnsi"/>
          <w:sz w:val="28"/>
          <w:szCs w:val="28"/>
        </w:rPr>
        <w:t xml:space="preserve"> </w:t>
      </w:r>
      <w:r w:rsidR="00832266" w:rsidRPr="00327B3A">
        <w:rPr>
          <w:rFonts w:asciiTheme="majorHAnsi" w:hAnsiTheme="majorHAnsi" w:cstheme="majorHAnsi"/>
          <w:sz w:val="28"/>
          <w:szCs w:val="28"/>
        </w:rPr>
        <w:t xml:space="preserve">at least </w:t>
      </w:r>
      <w:r w:rsidRPr="00327B3A">
        <w:rPr>
          <w:rFonts w:asciiTheme="majorHAnsi" w:hAnsiTheme="majorHAnsi" w:cstheme="majorHAnsi"/>
          <w:sz w:val="28"/>
          <w:szCs w:val="28"/>
        </w:rPr>
        <w:t>in part</w:t>
      </w:r>
      <w:r w:rsidR="00832266" w:rsidRPr="00327B3A">
        <w:rPr>
          <w:rFonts w:asciiTheme="majorHAnsi" w:hAnsiTheme="majorHAnsi" w:cstheme="majorHAnsi"/>
          <w:sz w:val="28"/>
          <w:szCs w:val="28"/>
        </w:rPr>
        <w:t>,</w:t>
      </w:r>
      <w:r w:rsidRPr="00327B3A">
        <w:rPr>
          <w:rFonts w:asciiTheme="majorHAnsi" w:hAnsiTheme="majorHAnsi" w:cstheme="majorHAnsi"/>
          <w:sz w:val="28"/>
          <w:szCs w:val="28"/>
        </w:rPr>
        <w:t xml:space="preserve"> relate to </w:t>
      </w:r>
      <w:r w:rsidR="00E2643B" w:rsidRPr="00327B3A">
        <w:rPr>
          <w:rFonts w:asciiTheme="majorHAnsi" w:hAnsiTheme="majorHAnsi" w:cstheme="majorHAnsi"/>
          <w:sz w:val="28"/>
          <w:szCs w:val="28"/>
        </w:rPr>
        <w:t xml:space="preserve">(i) an </w:t>
      </w:r>
      <w:r w:rsidRPr="00327B3A">
        <w:rPr>
          <w:rFonts w:asciiTheme="majorHAnsi" w:hAnsiTheme="majorHAnsi" w:cstheme="majorHAnsi"/>
          <w:sz w:val="28"/>
          <w:szCs w:val="28"/>
        </w:rPr>
        <w:t>inc</w:t>
      </w:r>
      <w:r w:rsidR="00DA3300" w:rsidRPr="00327B3A">
        <w:rPr>
          <w:rFonts w:asciiTheme="majorHAnsi" w:hAnsiTheme="majorHAnsi" w:cstheme="majorHAnsi"/>
          <w:sz w:val="28"/>
          <w:szCs w:val="28"/>
        </w:rPr>
        <w:t xml:space="preserve">reasing </w:t>
      </w:r>
      <w:r w:rsidR="00E2643B" w:rsidRPr="00327B3A">
        <w:rPr>
          <w:rFonts w:asciiTheme="majorHAnsi" w:hAnsiTheme="majorHAnsi" w:cstheme="majorHAnsi"/>
          <w:sz w:val="28"/>
          <w:szCs w:val="28"/>
        </w:rPr>
        <w:t>research focus on free-</w:t>
      </w:r>
      <w:r w:rsidR="00832266" w:rsidRPr="00327B3A">
        <w:rPr>
          <w:rFonts w:asciiTheme="majorHAnsi" w:hAnsiTheme="majorHAnsi" w:cstheme="majorHAnsi"/>
          <w:sz w:val="28"/>
          <w:szCs w:val="28"/>
        </w:rPr>
        <w:t xml:space="preserve">standing, </w:t>
      </w:r>
      <w:r w:rsidR="00DA3300" w:rsidRPr="00327B3A">
        <w:rPr>
          <w:rFonts w:asciiTheme="majorHAnsi" w:hAnsiTheme="majorHAnsi" w:cstheme="majorHAnsi"/>
          <w:sz w:val="28"/>
          <w:szCs w:val="28"/>
        </w:rPr>
        <w:t>experiment-</w:t>
      </w:r>
      <w:r w:rsidRPr="00327B3A">
        <w:rPr>
          <w:rFonts w:asciiTheme="majorHAnsi" w:hAnsiTheme="majorHAnsi" w:cstheme="majorHAnsi"/>
          <w:sz w:val="28"/>
          <w:szCs w:val="28"/>
        </w:rPr>
        <w:t>driven research</w:t>
      </w:r>
      <w:r w:rsidR="00E2643B" w:rsidRPr="00327B3A">
        <w:rPr>
          <w:rFonts w:asciiTheme="majorHAnsi" w:hAnsiTheme="majorHAnsi" w:cstheme="majorHAnsi"/>
          <w:sz w:val="28"/>
          <w:szCs w:val="28"/>
        </w:rPr>
        <w:t xml:space="preserve"> and other </w:t>
      </w:r>
      <w:r w:rsidR="00832266" w:rsidRPr="00327B3A">
        <w:rPr>
          <w:rFonts w:asciiTheme="majorHAnsi" w:hAnsiTheme="majorHAnsi" w:cstheme="majorHAnsi"/>
          <w:sz w:val="28"/>
          <w:szCs w:val="28"/>
        </w:rPr>
        <w:t xml:space="preserve">randomised control trials </w:t>
      </w:r>
      <w:r w:rsidRPr="00327B3A">
        <w:rPr>
          <w:rFonts w:asciiTheme="majorHAnsi" w:hAnsiTheme="majorHAnsi" w:cstheme="majorHAnsi"/>
          <w:sz w:val="28"/>
          <w:szCs w:val="28"/>
        </w:rPr>
        <w:t>which</w:t>
      </w:r>
      <w:r w:rsidR="00E2643B" w:rsidRPr="00327B3A">
        <w:rPr>
          <w:rFonts w:asciiTheme="majorHAnsi" w:hAnsiTheme="majorHAnsi" w:cstheme="majorHAnsi"/>
          <w:sz w:val="28"/>
          <w:szCs w:val="28"/>
        </w:rPr>
        <w:t xml:space="preserve">, despite their </w:t>
      </w:r>
      <w:r w:rsidR="00C8294B" w:rsidRPr="00327B3A">
        <w:rPr>
          <w:rFonts w:asciiTheme="majorHAnsi" w:hAnsiTheme="majorHAnsi" w:cstheme="majorHAnsi"/>
          <w:sz w:val="28"/>
          <w:szCs w:val="28"/>
        </w:rPr>
        <w:t xml:space="preserve">high costs and </w:t>
      </w:r>
      <w:r w:rsidR="00E2643B" w:rsidRPr="00327B3A">
        <w:rPr>
          <w:rFonts w:asciiTheme="majorHAnsi" w:hAnsiTheme="majorHAnsi" w:cstheme="majorHAnsi"/>
          <w:sz w:val="28"/>
          <w:szCs w:val="28"/>
        </w:rPr>
        <w:t xml:space="preserve">sophisticated analytical techniques, </w:t>
      </w:r>
      <w:r w:rsidRPr="00327B3A">
        <w:rPr>
          <w:rFonts w:asciiTheme="majorHAnsi" w:hAnsiTheme="majorHAnsi" w:cstheme="majorHAnsi"/>
          <w:sz w:val="28"/>
          <w:szCs w:val="28"/>
        </w:rPr>
        <w:t xml:space="preserve">provide little insight into the current realities of secondary schooling </w:t>
      </w:r>
      <w:r w:rsidR="00832266" w:rsidRPr="00327B3A">
        <w:rPr>
          <w:rFonts w:asciiTheme="majorHAnsi" w:hAnsiTheme="majorHAnsi" w:cstheme="majorHAnsi"/>
          <w:sz w:val="28"/>
          <w:szCs w:val="28"/>
        </w:rPr>
        <w:t>provision</w:t>
      </w:r>
      <w:r w:rsidR="00E2643B" w:rsidRPr="00327B3A">
        <w:rPr>
          <w:rFonts w:asciiTheme="majorHAnsi" w:hAnsiTheme="majorHAnsi" w:cstheme="majorHAnsi"/>
          <w:sz w:val="28"/>
          <w:szCs w:val="28"/>
        </w:rPr>
        <w:t xml:space="preserve">; (ii) </w:t>
      </w:r>
      <w:r w:rsidR="00C8294B" w:rsidRPr="00327B3A">
        <w:rPr>
          <w:rFonts w:asciiTheme="majorHAnsi" w:hAnsiTheme="majorHAnsi" w:cstheme="majorHAnsi"/>
          <w:sz w:val="28"/>
          <w:szCs w:val="28"/>
        </w:rPr>
        <w:t xml:space="preserve">the current </w:t>
      </w:r>
      <w:r w:rsidRPr="00327B3A">
        <w:rPr>
          <w:rFonts w:asciiTheme="majorHAnsi" w:hAnsiTheme="majorHAnsi" w:cstheme="majorHAnsi"/>
          <w:sz w:val="28"/>
          <w:szCs w:val="28"/>
        </w:rPr>
        <w:t>preoccupation with assessing (generally very poor) learning outcomes (</w:t>
      </w:r>
      <w:r w:rsidR="00C8294B" w:rsidRPr="00327B3A">
        <w:rPr>
          <w:rFonts w:asciiTheme="majorHAnsi" w:hAnsiTheme="majorHAnsi" w:cstheme="majorHAnsi"/>
          <w:sz w:val="28"/>
          <w:szCs w:val="28"/>
        </w:rPr>
        <w:t xml:space="preserve">although </w:t>
      </w:r>
      <w:r w:rsidRPr="00327B3A">
        <w:rPr>
          <w:rFonts w:asciiTheme="majorHAnsi" w:hAnsiTheme="majorHAnsi" w:cstheme="majorHAnsi"/>
          <w:sz w:val="28"/>
          <w:szCs w:val="28"/>
        </w:rPr>
        <w:t>mainly at the primary school level)</w:t>
      </w:r>
      <w:r w:rsidR="00E2643B" w:rsidRPr="00327B3A">
        <w:rPr>
          <w:rFonts w:asciiTheme="majorHAnsi" w:hAnsiTheme="majorHAnsi" w:cstheme="majorHAnsi"/>
          <w:sz w:val="28"/>
          <w:szCs w:val="28"/>
        </w:rPr>
        <w:t xml:space="preserve">; and (iii) the heavy reliance on fairly limited </w:t>
      </w:r>
      <w:r w:rsidR="008E6B12" w:rsidRPr="00327B3A">
        <w:rPr>
          <w:rFonts w:asciiTheme="majorHAnsi" w:hAnsiTheme="majorHAnsi" w:cstheme="majorHAnsi"/>
          <w:sz w:val="28"/>
          <w:szCs w:val="28"/>
        </w:rPr>
        <w:t>household survey data</w:t>
      </w:r>
      <w:r w:rsidRPr="00327B3A">
        <w:rPr>
          <w:rFonts w:asciiTheme="majorHAnsi" w:hAnsiTheme="majorHAnsi" w:cstheme="majorHAnsi"/>
          <w:sz w:val="28"/>
          <w:szCs w:val="28"/>
        </w:rPr>
        <w:t xml:space="preserve">. </w:t>
      </w:r>
    </w:p>
    <w:p w:rsidR="002F2D28" w:rsidRPr="00327B3A" w:rsidRDefault="002F2D28" w:rsidP="00577F32">
      <w:pPr>
        <w:jc w:val="both"/>
        <w:rPr>
          <w:rFonts w:asciiTheme="majorHAnsi" w:hAnsiTheme="majorHAnsi" w:cstheme="majorHAnsi"/>
          <w:sz w:val="28"/>
          <w:szCs w:val="28"/>
        </w:rPr>
      </w:pPr>
      <w:r w:rsidRPr="00327B3A">
        <w:rPr>
          <w:rFonts w:asciiTheme="majorHAnsi" w:hAnsiTheme="majorHAnsi" w:cstheme="majorHAnsi"/>
          <w:sz w:val="28"/>
          <w:szCs w:val="28"/>
        </w:rPr>
        <w:t>There is</w:t>
      </w:r>
      <w:r w:rsidR="00AB3469" w:rsidRPr="00327B3A">
        <w:rPr>
          <w:rFonts w:asciiTheme="majorHAnsi" w:hAnsiTheme="majorHAnsi" w:cstheme="majorHAnsi"/>
          <w:sz w:val="28"/>
          <w:szCs w:val="28"/>
        </w:rPr>
        <w:t xml:space="preserve"> </w:t>
      </w:r>
      <w:r w:rsidRPr="00327B3A">
        <w:rPr>
          <w:rFonts w:asciiTheme="majorHAnsi" w:hAnsiTheme="majorHAnsi" w:cstheme="majorHAnsi"/>
          <w:sz w:val="28"/>
          <w:szCs w:val="28"/>
        </w:rPr>
        <w:t>surprisingly very little</w:t>
      </w:r>
      <w:r w:rsidR="00C8294B"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research </w:t>
      </w:r>
      <w:r w:rsidR="00832266" w:rsidRPr="00327B3A">
        <w:rPr>
          <w:rFonts w:asciiTheme="majorHAnsi" w:hAnsiTheme="majorHAnsi" w:cstheme="majorHAnsi"/>
          <w:sz w:val="28"/>
          <w:szCs w:val="28"/>
        </w:rPr>
        <w:t>which prov</w:t>
      </w:r>
      <w:r w:rsidR="00C8294B" w:rsidRPr="00327B3A">
        <w:rPr>
          <w:rFonts w:asciiTheme="majorHAnsi" w:hAnsiTheme="majorHAnsi" w:cstheme="majorHAnsi"/>
          <w:sz w:val="28"/>
          <w:szCs w:val="28"/>
        </w:rPr>
        <w:t>ides a good</w:t>
      </w:r>
      <w:r w:rsidR="00832266" w:rsidRPr="00327B3A">
        <w:rPr>
          <w:rFonts w:asciiTheme="majorHAnsi" w:hAnsiTheme="majorHAnsi" w:cstheme="majorHAnsi"/>
          <w:sz w:val="28"/>
          <w:szCs w:val="28"/>
        </w:rPr>
        <w:t xml:space="preserve"> </w:t>
      </w:r>
      <w:r w:rsidR="00C8294B" w:rsidRPr="00327B3A">
        <w:rPr>
          <w:rFonts w:asciiTheme="majorHAnsi" w:hAnsiTheme="majorHAnsi" w:cstheme="majorHAnsi"/>
          <w:sz w:val="28"/>
          <w:szCs w:val="28"/>
        </w:rPr>
        <w:t>picture of</w:t>
      </w:r>
      <w:r w:rsidR="00832266" w:rsidRPr="00327B3A">
        <w:rPr>
          <w:rFonts w:asciiTheme="majorHAnsi" w:hAnsiTheme="majorHAnsi" w:cstheme="majorHAnsi"/>
          <w:sz w:val="28"/>
          <w:szCs w:val="28"/>
        </w:rPr>
        <w:t xml:space="preserve"> the </w:t>
      </w:r>
      <w:r w:rsidR="00C8294B" w:rsidRPr="00327B3A">
        <w:rPr>
          <w:rFonts w:asciiTheme="majorHAnsi" w:hAnsiTheme="majorHAnsi" w:cstheme="majorHAnsi"/>
          <w:sz w:val="28"/>
          <w:szCs w:val="28"/>
        </w:rPr>
        <w:t xml:space="preserve">current </w:t>
      </w:r>
      <w:r w:rsidR="00832266" w:rsidRPr="00327B3A">
        <w:rPr>
          <w:rFonts w:asciiTheme="majorHAnsi" w:hAnsiTheme="majorHAnsi" w:cstheme="majorHAnsi"/>
          <w:sz w:val="28"/>
          <w:szCs w:val="28"/>
        </w:rPr>
        <w:t xml:space="preserve">situation </w:t>
      </w:r>
      <w:r w:rsidR="00C8294B" w:rsidRPr="00327B3A">
        <w:rPr>
          <w:rFonts w:asciiTheme="majorHAnsi" w:hAnsiTheme="majorHAnsi" w:cstheme="majorHAnsi"/>
          <w:sz w:val="28"/>
          <w:szCs w:val="28"/>
        </w:rPr>
        <w:t xml:space="preserve">in </w:t>
      </w:r>
      <w:r w:rsidR="00832266" w:rsidRPr="00327B3A">
        <w:rPr>
          <w:rFonts w:asciiTheme="majorHAnsi" w:hAnsiTheme="majorHAnsi" w:cstheme="majorHAnsi"/>
          <w:sz w:val="28"/>
          <w:szCs w:val="28"/>
        </w:rPr>
        <w:t>secondary schools in any country in SSA</w:t>
      </w:r>
      <w:r w:rsidR="00832266" w:rsidRPr="00327B3A">
        <w:rPr>
          <w:rStyle w:val="FootnoteReference"/>
          <w:rFonts w:asciiTheme="majorHAnsi" w:hAnsiTheme="majorHAnsi" w:cstheme="majorHAnsi"/>
          <w:sz w:val="28"/>
          <w:szCs w:val="28"/>
        </w:rPr>
        <w:footnoteReference w:id="7"/>
      </w:r>
      <w:r w:rsidRPr="00327B3A">
        <w:rPr>
          <w:rFonts w:asciiTheme="majorHAnsi" w:hAnsiTheme="majorHAnsi" w:cstheme="majorHAnsi"/>
          <w:sz w:val="28"/>
          <w:szCs w:val="28"/>
        </w:rPr>
        <w:t xml:space="preserve">. </w:t>
      </w:r>
      <w:r w:rsidR="00832266" w:rsidRPr="00327B3A">
        <w:rPr>
          <w:rFonts w:asciiTheme="majorHAnsi" w:hAnsiTheme="majorHAnsi" w:cstheme="majorHAnsi"/>
          <w:sz w:val="28"/>
          <w:szCs w:val="28"/>
        </w:rPr>
        <w:t>While weak n</w:t>
      </w:r>
      <w:r w:rsidRPr="00327B3A">
        <w:rPr>
          <w:rFonts w:asciiTheme="majorHAnsi" w:hAnsiTheme="majorHAnsi" w:cstheme="majorHAnsi"/>
          <w:sz w:val="28"/>
          <w:szCs w:val="28"/>
        </w:rPr>
        <w:t>ational research capacity remains a concern</w:t>
      </w:r>
      <w:r w:rsidR="00832266" w:rsidRPr="00327B3A">
        <w:rPr>
          <w:rFonts w:asciiTheme="majorHAnsi" w:hAnsiTheme="majorHAnsi" w:cstheme="majorHAnsi"/>
          <w:sz w:val="28"/>
          <w:szCs w:val="28"/>
        </w:rPr>
        <w:t xml:space="preserve"> in many countries, the lack of national and international direction and commitmen</w:t>
      </w:r>
      <w:r w:rsidR="00AB3469" w:rsidRPr="00327B3A">
        <w:rPr>
          <w:rFonts w:asciiTheme="majorHAnsi" w:hAnsiTheme="majorHAnsi" w:cstheme="majorHAnsi"/>
          <w:sz w:val="28"/>
          <w:szCs w:val="28"/>
        </w:rPr>
        <w:t>t to ensuring</w:t>
      </w:r>
      <w:r w:rsidR="00832266" w:rsidRPr="00327B3A">
        <w:rPr>
          <w:rFonts w:asciiTheme="majorHAnsi" w:hAnsiTheme="majorHAnsi" w:cstheme="majorHAnsi"/>
          <w:sz w:val="28"/>
          <w:szCs w:val="28"/>
        </w:rPr>
        <w:t xml:space="preserve"> that comprehensive national reports are regularly produced remains </w:t>
      </w:r>
      <w:r w:rsidR="00C8294B" w:rsidRPr="00327B3A">
        <w:rPr>
          <w:rFonts w:asciiTheme="majorHAnsi" w:hAnsiTheme="majorHAnsi" w:cstheme="majorHAnsi"/>
          <w:sz w:val="28"/>
          <w:szCs w:val="28"/>
        </w:rPr>
        <w:t>a key</w:t>
      </w:r>
      <w:r w:rsidR="00832266" w:rsidRPr="00327B3A">
        <w:rPr>
          <w:rFonts w:asciiTheme="majorHAnsi" w:hAnsiTheme="majorHAnsi" w:cstheme="majorHAnsi"/>
          <w:sz w:val="28"/>
          <w:szCs w:val="28"/>
        </w:rPr>
        <w:t xml:space="preserve"> constraint</w:t>
      </w:r>
      <w:r w:rsidRPr="00327B3A">
        <w:rPr>
          <w:rFonts w:asciiTheme="majorHAnsi" w:hAnsiTheme="majorHAnsi" w:cstheme="majorHAnsi"/>
          <w:sz w:val="28"/>
          <w:szCs w:val="28"/>
        </w:rPr>
        <w:t xml:space="preserve">. </w:t>
      </w:r>
    </w:p>
    <w:p w:rsidR="00C15A6E" w:rsidRPr="00327B3A" w:rsidRDefault="00AB3469" w:rsidP="00577F32">
      <w:pPr>
        <w:jc w:val="both"/>
        <w:rPr>
          <w:rFonts w:asciiTheme="majorHAnsi" w:hAnsiTheme="majorHAnsi" w:cstheme="majorHAnsi"/>
          <w:sz w:val="28"/>
          <w:szCs w:val="28"/>
        </w:rPr>
      </w:pPr>
      <w:r w:rsidRPr="00327B3A">
        <w:rPr>
          <w:rFonts w:asciiTheme="majorHAnsi" w:hAnsiTheme="majorHAnsi" w:cstheme="majorHAnsi"/>
          <w:sz w:val="28"/>
          <w:szCs w:val="28"/>
        </w:rPr>
        <w:t>R</w:t>
      </w:r>
      <w:r w:rsidR="0016681F" w:rsidRPr="00327B3A">
        <w:rPr>
          <w:rFonts w:asciiTheme="majorHAnsi" w:hAnsiTheme="majorHAnsi" w:cstheme="majorHAnsi"/>
          <w:sz w:val="28"/>
          <w:szCs w:val="28"/>
        </w:rPr>
        <w:t xml:space="preserve">elatively </w:t>
      </w:r>
      <w:r w:rsidR="008E6B12" w:rsidRPr="00327B3A">
        <w:rPr>
          <w:rFonts w:asciiTheme="majorHAnsi" w:hAnsiTheme="majorHAnsi" w:cstheme="majorHAnsi"/>
          <w:sz w:val="28"/>
          <w:szCs w:val="28"/>
        </w:rPr>
        <w:t xml:space="preserve">very limited information </w:t>
      </w:r>
      <w:r w:rsidR="0016681F" w:rsidRPr="00327B3A">
        <w:rPr>
          <w:rFonts w:asciiTheme="majorHAnsi" w:hAnsiTheme="majorHAnsi" w:cstheme="majorHAnsi"/>
          <w:sz w:val="28"/>
          <w:szCs w:val="28"/>
        </w:rPr>
        <w:t>is collected and publically reported by UNESCO’s Institute of Statistics which is the sole source of education data across all countries</w:t>
      </w:r>
      <w:r w:rsidR="0006523F" w:rsidRPr="00327B3A">
        <w:rPr>
          <w:rFonts w:asciiTheme="majorHAnsi" w:hAnsiTheme="majorHAnsi" w:cstheme="majorHAnsi"/>
          <w:sz w:val="28"/>
          <w:szCs w:val="28"/>
        </w:rPr>
        <w:t xml:space="preserve"> in SSA</w:t>
      </w:r>
      <w:r w:rsidR="0016681F" w:rsidRPr="00327B3A">
        <w:rPr>
          <w:rFonts w:asciiTheme="majorHAnsi" w:hAnsiTheme="majorHAnsi" w:cstheme="majorHAnsi"/>
          <w:sz w:val="28"/>
          <w:szCs w:val="28"/>
        </w:rPr>
        <w:t xml:space="preserve">. This mainly includes </w:t>
      </w:r>
      <w:r w:rsidR="008E6B12" w:rsidRPr="00327B3A">
        <w:rPr>
          <w:rFonts w:asciiTheme="majorHAnsi" w:hAnsiTheme="majorHAnsi" w:cstheme="majorHAnsi"/>
          <w:sz w:val="28"/>
          <w:szCs w:val="28"/>
        </w:rPr>
        <w:t xml:space="preserve">school enrolments and completion, teacher numbers and qualification profiles and </w:t>
      </w:r>
      <w:r w:rsidR="0016681F" w:rsidRPr="00327B3A">
        <w:rPr>
          <w:rFonts w:asciiTheme="majorHAnsi" w:hAnsiTheme="majorHAnsi" w:cstheme="majorHAnsi"/>
          <w:sz w:val="28"/>
          <w:szCs w:val="28"/>
        </w:rPr>
        <w:t xml:space="preserve">recurrent and capital </w:t>
      </w:r>
      <w:r w:rsidR="008E6B12" w:rsidRPr="00327B3A">
        <w:rPr>
          <w:rFonts w:asciiTheme="majorHAnsi" w:hAnsiTheme="majorHAnsi" w:cstheme="majorHAnsi"/>
          <w:sz w:val="28"/>
          <w:szCs w:val="28"/>
        </w:rPr>
        <w:t>education expenditure</w:t>
      </w:r>
      <w:r w:rsidR="0016681F" w:rsidRPr="00327B3A">
        <w:rPr>
          <w:rFonts w:asciiTheme="majorHAnsi" w:hAnsiTheme="majorHAnsi" w:cstheme="majorHAnsi"/>
          <w:sz w:val="28"/>
          <w:szCs w:val="28"/>
        </w:rPr>
        <w:t xml:space="preserve">s. </w:t>
      </w:r>
      <w:r w:rsidR="002F2D28" w:rsidRPr="00327B3A">
        <w:rPr>
          <w:rFonts w:asciiTheme="majorHAnsi" w:hAnsiTheme="majorHAnsi" w:cstheme="majorHAnsi"/>
          <w:sz w:val="28"/>
          <w:szCs w:val="28"/>
        </w:rPr>
        <w:t xml:space="preserve">The list of </w:t>
      </w:r>
      <w:r w:rsidR="008E6B12" w:rsidRPr="00327B3A">
        <w:rPr>
          <w:rFonts w:asciiTheme="majorHAnsi" w:hAnsiTheme="majorHAnsi" w:cstheme="majorHAnsi"/>
          <w:sz w:val="28"/>
          <w:szCs w:val="28"/>
        </w:rPr>
        <w:t xml:space="preserve">information </w:t>
      </w:r>
      <w:r w:rsidR="0016681F" w:rsidRPr="00327B3A">
        <w:rPr>
          <w:rFonts w:asciiTheme="majorHAnsi" w:hAnsiTheme="majorHAnsi" w:cstheme="majorHAnsi"/>
          <w:sz w:val="28"/>
          <w:szCs w:val="28"/>
        </w:rPr>
        <w:t xml:space="preserve">which is not collected covers </w:t>
      </w:r>
      <w:r w:rsidR="008E6B12" w:rsidRPr="00327B3A">
        <w:rPr>
          <w:rFonts w:asciiTheme="majorHAnsi" w:hAnsiTheme="majorHAnsi" w:cstheme="majorHAnsi"/>
          <w:sz w:val="28"/>
          <w:szCs w:val="28"/>
        </w:rPr>
        <w:t xml:space="preserve">almost all </w:t>
      </w:r>
      <w:r w:rsidR="002F2D28" w:rsidRPr="00327B3A">
        <w:rPr>
          <w:rFonts w:asciiTheme="majorHAnsi" w:hAnsiTheme="majorHAnsi" w:cstheme="majorHAnsi"/>
          <w:sz w:val="28"/>
          <w:szCs w:val="28"/>
        </w:rPr>
        <w:t>facet</w:t>
      </w:r>
      <w:r w:rsidR="008E6B12" w:rsidRPr="00327B3A">
        <w:rPr>
          <w:rFonts w:asciiTheme="majorHAnsi" w:hAnsiTheme="majorHAnsi" w:cstheme="majorHAnsi"/>
          <w:sz w:val="28"/>
          <w:szCs w:val="28"/>
        </w:rPr>
        <w:t>s</w:t>
      </w:r>
      <w:r w:rsidR="002F2D28" w:rsidRPr="00327B3A">
        <w:rPr>
          <w:rFonts w:asciiTheme="majorHAnsi" w:hAnsiTheme="majorHAnsi" w:cstheme="majorHAnsi"/>
          <w:sz w:val="28"/>
          <w:szCs w:val="28"/>
        </w:rPr>
        <w:t xml:space="preserve"> of schooling provision and system functioning. With regard to teachers, it includes levels and trends in pay, health, living and working conditions, </w:t>
      </w:r>
      <w:r w:rsidR="002F2D28" w:rsidRPr="00327B3A">
        <w:rPr>
          <w:rFonts w:asciiTheme="majorHAnsi" w:hAnsiTheme="majorHAnsi" w:cstheme="majorHAnsi"/>
          <w:sz w:val="28"/>
          <w:szCs w:val="28"/>
        </w:rPr>
        <w:lastRenderedPageBreak/>
        <w:t>workloads</w:t>
      </w:r>
      <w:r w:rsidR="00DE526D" w:rsidRPr="00327B3A">
        <w:rPr>
          <w:rFonts w:asciiTheme="majorHAnsi" w:hAnsiTheme="majorHAnsi" w:cstheme="majorHAnsi"/>
          <w:sz w:val="28"/>
          <w:szCs w:val="28"/>
        </w:rPr>
        <w:t>/teacher-stream ratios</w:t>
      </w:r>
      <w:r w:rsidR="002F2D28" w:rsidRPr="00327B3A">
        <w:rPr>
          <w:rFonts w:asciiTheme="majorHAnsi" w:hAnsiTheme="majorHAnsi" w:cstheme="majorHAnsi"/>
          <w:sz w:val="28"/>
          <w:szCs w:val="28"/>
        </w:rPr>
        <w:t>, subject knowledge content</w:t>
      </w:r>
      <w:r w:rsidR="00DE526D" w:rsidRPr="00327B3A">
        <w:rPr>
          <w:rFonts w:asciiTheme="majorHAnsi" w:hAnsiTheme="majorHAnsi" w:cstheme="majorHAnsi"/>
          <w:sz w:val="28"/>
          <w:szCs w:val="28"/>
        </w:rPr>
        <w:t xml:space="preserve">, pedagogic subject knowledge and practice, deployment, </w:t>
      </w:r>
      <w:r w:rsidR="008E6B12" w:rsidRPr="00327B3A">
        <w:rPr>
          <w:rFonts w:asciiTheme="majorHAnsi" w:hAnsiTheme="majorHAnsi" w:cstheme="majorHAnsi"/>
          <w:sz w:val="28"/>
          <w:szCs w:val="28"/>
        </w:rPr>
        <w:t xml:space="preserve">(internal) </w:t>
      </w:r>
      <w:r w:rsidR="00DE526D" w:rsidRPr="00327B3A">
        <w:rPr>
          <w:rFonts w:asciiTheme="majorHAnsi" w:hAnsiTheme="majorHAnsi" w:cstheme="majorHAnsi"/>
          <w:sz w:val="28"/>
          <w:szCs w:val="28"/>
        </w:rPr>
        <w:t xml:space="preserve">turnover and </w:t>
      </w:r>
      <w:r w:rsidR="008E6B12" w:rsidRPr="00327B3A">
        <w:rPr>
          <w:rFonts w:asciiTheme="majorHAnsi" w:hAnsiTheme="majorHAnsi" w:cstheme="majorHAnsi"/>
          <w:sz w:val="28"/>
          <w:szCs w:val="28"/>
        </w:rPr>
        <w:t xml:space="preserve">attrition, </w:t>
      </w:r>
      <w:r w:rsidR="00DE526D" w:rsidRPr="00327B3A">
        <w:rPr>
          <w:rFonts w:asciiTheme="majorHAnsi" w:hAnsiTheme="majorHAnsi" w:cstheme="majorHAnsi"/>
          <w:sz w:val="28"/>
          <w:szCs w:val="28"/>
        </w:rPr>
        <w:t xml:space="preserve">deployment, industrial action, absenteeism and professional behaviour. Even the most basic information on </w:t>
      </w:r>
      <w:r w:rsidR="0016681F" w:rsidRPr="00327B3A">
        <w:rPr>
          <w:rFonts w:asciiTheme="majorHAnsi" w:hAnsiTheme="majorHAnsi" w:cstheme="majorHAnsi"/>
          <w:sz w:val="28"/>
          <w:szCs w:val="28"/>
        </w:rPr>
        <w:t xml:space="preserve">school </w:t>
      </w:r>
      <w:r w:rsidR="00DE526D" w:rsidRPr="00327B3A">
        <w:rPr>
          <w:rFonts w:asciiTheme="majorHAnsi" w:hAnsiTheme="majorHAnsi" w:cstheme="majorHAnsi"/>
          <w:sz w:val="28"/>
          <w:szCs w:val="28"/>
        </w:rPr>
        <w:t xml:space="preserve">facilities </w:t>
      </w:r>
      <w:r w:rsidR="0016681F" w:rsidRPr="00327B3A">
        <w:rPr>
          <w:rFonts w:asciiTheme="majorHAnsi" w:hAnsiTheme="majorHAnsi" w:cstheme="majorHAnsi"/>
          <w:sz w:val="28"/>
          <w:szCs w:val="28"/>
        </w:rPr>
        <w:t xml:space="preserve">including </w:t>
      </w:r>
      <w:r w:rsidR="00DE526D" w:rsidRPr="00327B3A">
        <w:rPr>
          <w:rFonts w:asciiTheme="majorHAnsi" w:hAnsiTheme="majorHAnsi" w:cstheme="majorHAnsi"/>
          <w:sz w:val="28"/>
          <w:szCs w:val="28"/>
        </w:rPr>
        <w:t xml:space="preserve">numbers of new classrooms, schools, and other facilities (teacher housing, laboratories, electricity, water and sanitation) are unavailable.  </w:t>
      </w:r>
      <w:r w:rsidR="002F2D28" w:rsidRPr="00327B3A">
        <w:rPr>
          <w:rFonts w:asciiTheme="majorHAnsi" w:hAnsiTheme="majorHAnsi" w:cstheme="majorHAnsi"/>
          <w:sz w:val="28"/>
          <w:szCs w:val="28"/>
        </w:rPr>
        <w:t xml:space="preserve">  </w:t>
      </w:r>
    </w:p>
    <w:p w:rsidR="0098613D" w:rsidRPr="00327B3A" w:rsidRDefault="00647C52" w:rsidP="00577F32">
      <w:pPr>
        <w:jc w:val="both"/>
        <w:rPr>
          <w:rFonts w:asciiTheme="majorHAnsi" w:hAnsiTheme="majorHAnsi" w:cstheme="majorHAnsi"/>
          <w:sz w:val="28"/>
          <w:szCs w:val="28"/>
        </w:rPr>
      </w:pPr>
      <w:r>
        <w:rPr>
          <w:rFonts w:asciiTheme="majorHAnsi" w:hAnsiTheme="majorHAnsi" w:cstheme="majorHAnsi"/>
          <w:sz w:val="28"/>
          <w:szCs w:val="28"/>
        </w:rPr>
        <w:t xml:space="preserve">Other </w:t>
      </w:r>
      <w:r w:rsidR="0016681F" w:rsidRPr="00327B3A">
        <w:rPr>
          <w:rFonts w:asciiTheme="majorHAnsi" w:hAnsiTheme="majorHAnsi" w:cstheme="majorHAnsi"/>
          <w:sz w:val="28"/>
          <w:szCs w:val="28"/>
        </w:rPr>
        <w:t xml:space="preserve">important information includes </w:t>
      </w:r>
      <w:r w:rsidR="00663748" w:rsidRPr="00327B3A">
        <w:rPr>
          <w:rFonts w:asciiTheme="majorHAnsi" w:hAnsiTheme="majorHAnsi" w:cstheme="majorHAnsi"/>
          <w:sz w:val="28"/>
          <w:szCs w:val="28"/>
        </w:rPr>
        <w:t xml:space="preserve">student absenteeism, </w:t>
      </w:r>
      <w:r w:rsidR="009C4B48" w:rsidRPr="00327B3A">
        <w:rPr>
          <w:rFonts w:asciiTheme="majorHAnsi" w:hAnsiTheme="majorHAnsi" w:cstheme="majorHAnsi"/>
          <w:sz w:val="28"/>
          <w:szCs w:val="28"/>
        </w:rPr>
        <w:t xml:space="preserve">school feeding, </w:t>
      </w:r>
      <w:r w:rsidR="0016681F" w:rsidRPr="00327B3A">
        <w:rPr>
          <w:rFonts w:asciiTheme="majorHAnsi" w:hAnsiTheme="majorHAnsi" w:cstheme="majorHAnsi"/>
          <w:sz w:val="28"/>
          <w:szCs w:val="28"/>
        </w:rPr>
        <w:t xml:space="preserve">tuition fees and other parental contributions, </w:t>
      </w:r>
      <w:r w:rsidR="00663748" w:rsidRPr="00327B3A">
        <w:rPr>
          <w:rFonts w:asciiTheme="majorHAnsi" w:hAnsiTheme="majorHAnsi" w:cstheme="majorHAnsi"/>
          <w:sz w:val="28"/>
          <w:szCs w:val="28"/>
        </w:rPr>
        <w:t xml:space="preserve">unit costs for all types of day and boarding secondary schooling, </w:t>
      </w:r>
      <w:r w:rsidR="0016681F" w:rsidRPr="00327B3A">
        <w:rPr>
          <w:rFonts w:asciiTheme="majorHAnsi" w:hAnsiTheme="majorHAnsi" w:cstheme="majorHAnsi"/>
          <w:sz w:val="28"/>
          <w:szCs w:val="28"/>
        </w:rPr>
        <w:t>examination results and other assessments of l</w:t>
      </w:r>
      <w:r w:rsidR="00327EA5" w:rsidRPr="00327B3A">
        <w:rPr>
          <w:rFonts w:asciiTheme="majorHAnsi" w:hAnsiTheme="majorHAnsi" w:cstheme="majorHAnsi"/>
          <w:sz w:val="28"/>
          <w:szCs w:val="28"/>
        </w:rPr>
        <w:t>earning outcomes</w:t>
      </w:r>
      <w:r w:rsidR="00663748" w:rsidRPr="00327B3A">
        <w:rPr>
          <w:rFonts w:asciiTheme="majorHAnsi" w:hAnsiTheme="majorHAnsi" w:cstheme="majorHAnsi"/>
          <w:sz w:val="28"/>
          <w:szCs w:val="28"/>
        </w:rPr>
        <w:t xml:space="preserve">, </w:t>
      </w:r>
      <w:r w:rsidR="0098613D" w:rsidRPr="00327B3A">
        <w:rPr>
          <w:rFonts w:asciiTheme="majorHAnsi" w:hAnsiTheme="majorHAnsi" w:cstheme="majorHAnsi"/>
          <w:sz w:val="28"/>
          <w:szCs w:val="28"/>
        </w:rPr>
        <w:t xml:space="preserve">employment </w:t>
      </w:r>
      <w:r w:rsidR="00663748" w:rsidRPr="00327B3A">
        <w:rPr>
          <w:rFonts w:asciiTheme="majorHAnsi" w:hAnsiTheme="majorHAnsi" w:cstheme="majorHAnsi"/>
          <w:sz w:val="28"/>
          <w:szCs w:val="28"/>
        </w:rPr>
        <w:t xml:space="preserve">and other work-related and welfare </w:t>
      </w:r>
      <w:r w:rsidR="0098613D" w:rsidRPr="00327B3A">
        <w:rPr>
          <w:rFonts w:asciiTheme="majorHAnsi" w:hAnsiTheme="majorHAnsi" w:cstheme="majorHAnsi"/>
          <w:sz w:val="28"/>
          <w:szCs w:val="28"/>
        </w:rPr>
        <w:t xml:space="preserve">outcomes, </w:t>
      </w:r>
      <w:r w:rsidR="00663748" w:rsidRPr="00327B3A">
        <w:rPr>
          <w:rFonts w:asciiTheme="majorHAnsi" w:hAnsiTheme="majorHAnsi" w:cstheme="majorHAnsi"/>
          <w:sz w:val="28"/>
          <w:szCs w:val="28"/>
        </w:rPr>
        <w:t>p</w:t>
      </w:r>
      <w:r w:rsidR="0098613D" w:rsidRPr="00327B3A">
        <w:rPr>
          <w:rFonts w:asciiTheme="majorHAnsi" w:hAnsiTheme="majorHAnsi" w:cstheme="majorHAnsi"/>
          <w:sz w:val="28"/>
          <w:szCs w:val="28"/>
        </w:rPr>
        <w:t xml:space="preserve">arental perceptions of education </w:t>
      </w:r>
      <w:r w:rsidR="00663748" w:rsidRPr="00327B3A">
        <w:rPr>
          <w:rFonts w:asciiTheme="majorHAnsi" w:hAnsiTheme="majorHAnsi" w:cstheme="majorHAnsi"/>
          <w:sz w:val="28"/>
          <w:szCs w:val="28"/>
        </w:rPr>
        <w:t xml:space="preserve">outcomes, reasons for repetition and drop-out, and key indicators of school management and governance performance.   </w:t>
      </w:r>
      <w:r w:rsidR="0098613D" w:rsidRPr="00327B3A">
        <w:rPr>
          <w:rFonts w:asciiTheme="majorHAnsi" w:hAnsiTheme="majorHAnsi" w:cstheme="majorHAnsi"/>
          <w:sz w:val="28"/>
          <w:szCs w:val="28"/>
        </w:rPr>
        <w:t xml:space="preserve"> </w:t>
      </w:r>
    </w:p>
    <w:p w:rsidR="0098613D" w:rsidRPr="00327B3A" w:rsidRDefault="00663748" w:rsidP="0098613D">
      <w:pPr>
        <w:jc w:val="both"/>
        <w:rPr>
          <w:rFonts w:asciiTheme="majorHAnsi" w:hAnsiTheme="majorHAnsi" w:cstheme="majorHAnsi"/>
          <w:sz w:val="28"/>
          <w:szCs w:val="28"/>
        </w:rPr>
      </w:pPr>
      <w:r w:rsidRPr="00327B3A">
        <w:rPr>
          <w:rFonts w:asciiTheme="majorHAnsi" w:hAnsiTheme="majorHAnsi" w:cstheme="majorHAnsi"/>
          <w:sz w:val="28"/>
          <w:szCs w:val="28"/>
        </w:rPr>
        <w:t xml:space="preserve">Apart from this basic empirical information, what is also lacking are simple descriptive accounts of </w:t>
      </w:r>
      <w:r w:rsidR="009C4B48" w:rsidRPr="00327B3A">
        <w:rPr>
          <w:rFonts w:asciiTheme="majorHAnsi" w:hAnsiTheme="majorHAnsi" w:cstheme="majorHAnsi"/>
          <w:sz w:val="28"/>
          <w:szCs w:val="28"/>
        </w:rPr>
        <w:t xml:space="preserve">implementation progress with respect to all key </w:t>
      </w:r>
      <w:r w:rsidRPr="00327B3A">
        <w:rPr>
          <w:rFonts w:asciiTheme="majorHAnsi" w:hAnsiTheme="majorHAnsi" w:cstheme="majorHAnsi"/>
          <w:sz w:val="28"/>
          <w:szCs w:val="28"/>
        </w:rPr>
        <w:t xml:space="preserve">policy </w:t>
      </w:r>
      <w:r w:rsidR="00124935" w:rsidRPr="00327B3A">
        <w:rPr>
          <w:rFonts w:asciiTheme="majorHAnsi" w:hAnsiTheme="majorHAnsi" w:cstheme="majorHAnsi"/>
          <w:sz w:val="28"/>
          <w:szCs w:val="28"/>
        </w:rPr>
        <w:t>reforms and other interve</w:t>
      </w:r>
      <w:r w:rsidR="009C4B48" w:rsidRPr="00327B3A">
        <w:rPr>
          <w:rFonts w:asciiTheme="majorHAnsi" w:hAnsiTheme="majorHAnsi" w:cstheme="majorHAnsi"/>
          <w:sz w:val="28"/>
          <w:szCs w:val="28"/>
        </w:rPr>
        <w:t>ntions. Without this, there is no basis on which to assess w</w:t>
      </w:r>
      <w:r w:rsidR="00124935" w:rsidRPr="00327B3A">
        <w:rPr>
          <w:rFonts w:asciiTheme="majorHAnsi" w:hAnsiTheme="majorHAnsi" w:cstheme="majorHAnsi"/>
          <w:sz w:val="28"/>
          <w:szCs w:val="28"/>
        </w:rPr>
        <w:t xml:space="preserve">hat </w:t>
      </w:r>
      <w:r w:rsidR="0098613D" w:rsidRPr="00327B3A">
        <w:rPr>
          <w:rFonts w:asciiTheme="majorHAnsi" w:hAnsiTheme="majorHAnsi" w:cstheme="majorHAnsi"/>
          <w:sz w:val="28"/>
          <w:szCs w:val="28"/>
        </w:rPr>
        <w:t xml:space="preserve">governments </w:t>
      </w:r>
      <w:r w:rsidR="009C4B48" w:rsidRPr="00327B3A">
        <w:rPr>
          <w:rFonts w:asciiTheme="majorHAnsi" w:hAnsiTheme="majorHAnsi" w:cstheme="majorHAnsi"/>
          <w:sz w:val="28"/>
          <w:szCs w:val="28"/>
        </w:rPr>
        <w:t xml:space="preserve">and other key stakeholders are </w:t>
      </w:r>
      <w:r w:rsidR="0098613D" w:rsidRPr="00327B3A">
        <w:rPr>
          <w:rFonts w:asciiTheme="majorHAnsi" w:hAnsiTheme="majorHAnsi" w:cstheme="majorHAnsi"/>
          <w:sz w:val="28"/>
          <w:szCs w:val="28"/>
        </w:rPr>
        <w:t xml:space="preserve">actually doing to improve </w:t>
      </w:r>
      <w:r w:rsidR="00AB3469" w:rsidRPr="00327B3A">
        <w:rPr>
          <w:rFonts w:asciiTheme="majorHAnsi" w:hAnsiTheme="majorHAnsi" w:cstheme="majorHAnsi"/>
          <w:sz w:val="28"/>
          <w:szCs w:val="28"/>
        </w:rPr>
        <w:t xml:space="preserve">the main </w:t>
      </w:r>
      <w:r w:rsidR="009C4B48" w:rsidRPr="00327B3A">
        <w:rPr>
          <w:rFonts w:asciiTheme="majorHAnsi" w:hAnsiTheme="majorHAnsi" w:cstheme="majorHAnsi"/>
          <w:sz w:val="28"/>
          <w:szCs w:val="28"/>
        </w:rPr>
        <w:t xml:space="preserve">areas of secondary education provision including </w:t>
      </w:r>
      <w:r w:rsidR="0098613D" w:rsidRPr="00327B3A">
        <w:rPr>
          <w:rFonts w:asciiTheme="majorHAnsi" w:hAnsiTheme="majorHAnsi" w:cstheme="majorHAnsi"/>
          <w:sz w:val="28"/>
          <w:szCs w:val="28"/>
        </w:rPr>
        <w:t>access</w:t>
      </w:r>
      <w:r w:rsidR="009C4B48" w:rsidRPr="00327B3A">
        <w:rPr>
          <w:rFonts w:asciiTheme="majorHAnsi" w:hAnsiTheme="majorHAnsi" w:cstheme="majorHAnsi"/>
          <w:sz w:val="28"/>
          <w:szCs w:val="28"/>
        </w:rPr>
        <w:t xml:space="preserve"> (most notably </w:t>
      </w:r>
      <w:r w:rsidR="0098613D" w:rsidRPr="00327B3A">
        <w:rPr>
          <w:rFonts w:asciiTheme="majorHAnsi" w:hAnsiTheme="majorHAnsi" w:cstheme="majorHAnsi"/>
          <w:sz w:val="28"/>
          <w:szCs w:val="28"/>
        </w:rPr>
        <w:t xml:space="preserve">fee abolition, </w:t>
      </w:r>
      <w:r w:rsidR="009C4B48" w:rsidRPr="00327B3A">
        <w:rPr>
          <w:rFonts w:asciiTheme="majorHAnsi" w:hAnsiTheme="majorHAnsi" w:cstheme="majorHAnsi"/>
          <w:sz w:val="28"/>
          <w:szCs w:val="28"/>
        </w:rPr>
        <w:t xml:space="preserve">school feeding, school and </w:t>
      </w:r>
      <w:r w:rsidR="0098613D" w:rsidRPr="00327B3A">
        <w:rPr>
          <w:rFonts w:asciiTheme="majorHAnsi" w:hAnsiTheme="majorHAnsi" w:cstheme="majorHAnsi"/>
          <w:sz w:val="28"/>
          <w:szCs w:val="28"/>
        </w:rPr>
        <w:t>classroom construction, teacher recruitment, scholarships and targeted support</w:t>
      </w:r>
      <w:r w:rsidR="009C4B48" w:rsidRPr="00327B3A">
        <w:rPr>
          <w:rFonts w:asciiTheme="majorHAnsi" w:hAnsiTheme="majorHAnsi" w:cstheme="majorHAnsi"/>
          <w:sz w:val="28"/>
          <w:szCs w:val="28"/>
        </w:rPr>
        <w:t>) and learning outcomes (curriculum content, pedagogy, teacher competence and motivation, school management, school governance etc.)</w:t>
      </w:r>
      <w:r w:rsidR="0098613D" w:rsidRPr="00327B3A">
        <w:rPr>
          <w:rFonts w:asciiTheme="majorHAnsi" w:hAnsiTheme="majorHAnsi" w:cstheme="majorHAnsi"/>
          <w:sz w:val="28"/>
          <w:szCs w:val="28"/>
        </w:rPr>
        <w:t xml:space="preserve">. </w:t>
      </w:r>
    </w:p>
    <w:p w:rsidR="002311CA" w:rsidRPr="00327B3A" w:rsidRDefault="00920D5D" w:rsidP="002311CA">
      <w:pPr>
        <w:pStyle w:val="ListParagraph"/>
        <w:numPr>
          <w:ilvl w:val="1"/>
          <w:numId w:val="1"/>
        </w:numPr>
        <w:jc w:val="both"/>
        <w:rPr>
          <w:rFonts w:asciiTheme="majorHAnsi" w:hAnsiTheme="majorHAnsi" w:cstheme="majorHAnsi"/>
          <w:i/>
          <w:sz w:val="28"/>
          <w:szCs w:val="28"/>
        </w:rPr>
      </w:pPr>
      <w:r w:rsidRPr="00327B3A">
        <w:rPr>
          <w:rFonts w:asciiTheme="majorHAnsi" w:hAnsiTheme="majorHAnsi" w:cstheme="majorHAnsi"/>
          <w:i/>
          <w:sz w:val="28"/>
          <w:szCs w:val="28"/>
        </w:rPr>
        <w:t>Unrealis</w:t>
      </w:r>
      <w:r w:rsidR="005A3B06" w:rsidRPr="00327B3A">
        <w:rPr>
          <w:rFonts w:asciiTheme="majorHAnsi" w:hAnsiTheme="majorHAnsi" w:cstheme="majorHAnsi"/>
          <w:i/>
          <w:sz w:val="28"/>
          <w:szCs w:val="28"/>
        </w:rPr>
        <w:t>m</w:t>
      </w:r>
      <w:r w:rsidR="002311CA" w:rsidRPr="00327B3A">
        <w:rPr>
          <w:rFonts w:asciiTheme="majorHAnsi" w:hAnsiTheme="majorHAnsi" w:cstheme="majorHAnsi"/>
          <w:i/>
          <w:sz w:val="28"/>
          <w:szCs w:val="28"/>
        </w:rPr>
        <w:t xml:space="preserve"> and over-optimism</w:t>
      </w:r>
    </w:p>
    <w:p w:rsidR="00925141" w:rsidRPr="00327B3A" w:rsidRDefault="0006523F" w:rsidP="00925141">
      <w:pPr>
        <w:jc w:val="both"/>
        <w:rPr>
          <w:rFonts w:asciiTheme="majorHAnsi" w:hAnsiTheme="majorHAnsi" w:cstheme="majorHAnsi"/>
          <w:sz w:val="28"/>
          <w:szCs w:val="28"/>
        </w:rPr>
      </w:pPr>
      <w:r w:rsidRPr="00327B3A">
        <w:rPr>
          <w:rFonts w:asciiTheme="majorHAnsi" w:hAnsiTheme="majorHAnsi" w:cstheme="majorHAnsi"/>
          <w:sz w:val="28"/>
          <w:szCs w:val="28"/>
        </w:rPr>
        <w:t xml:space="preserve">The Report’s failure to locate its analysis and strategy in the overall context of the rapidly </w:t>
      </w:r>
      <w:r w:rsidR="00AB3469" w:rsidRPr="00327B3A">
        <w:rPr>
          <w:rFonts w:asciiTheme="majorHAnsi" w:hAnsiTheme="majorHAnsi" w:cstheme="majorHAnsi"/>
          <w:sz w:val="28"/>
          <w:szCs w:val="28"/>
        </w:rPr>
        <w:t xml:space="preserve">evolving </w:t>
      </w:r>
      <w:r w:rsidRPr="00327B3A">
        <w:rPr>
          <w:rFonts w:asciiTheme="majorHAnsi" w:hAnsiTheme="majorHAnsi" w:cstheme="majorHAnsi"/>
          <w:sz w:val="28"/>
          <w:szCs w:val="28"/>
        </w:rPr>
        <w:t xml:space="preserve">political economy </w:t>
      </w:r>
      <w:r w:rsidR="00AB3469" w:rsidRPr="00327B3A">
        <w:rPr>
          <w:rFonts w:asciiTheme="majorHAnsi" w:hAnsiTheme="majorHAnsi" w:cstheme="majorHAnsi"/>
          <w:sz w:val="28"/>
          <w:szCs w:val="28"/>
        </w:rPr>
        <w:t xml:space="preserve">In SSA </w:t>
      </w:r>
      <w:r w:rsidRPr="00327B3A">
        <w:rPr>
          <w:rFonts w:asciiTheme="majorHAnsi" w:hAnsiTheme="majorHAnsi" w:cstheme="majorHAnsi"/>
          <w:sz w:val="28"/>
          <w:szCs w:val="28"/>
        </w:rPr>
        <w:t xml:space="preserve">coupled with </w:t>
      </w:r>
      <w:r w:rsidR="00975623" w:rsidRPr="00327B3A">
        <w:rPr>
          <w:rFonts w:asciiTheme="majorHAnsi" w:hAnsiTheme="majorHAnsi" w:cstheme="majorHAnsi"/>
          <w:sz w:val="28"/>
          <w:szCs w:val="28"/>
        </w:rPr>
        <w:t xml:space="preserve">the absence of any </w:t>
      </w:r>
      <w:r w:rsidR="00647C52">
        <w:rPr>
          <w:rFonts w:asciiTheme="majorHAnsi" w:hAnsiTheme="majorHAnsi" w:cstheme="majorHAnsi"/>
          <w:sz w:val="28"/>
          <w:szCs w:val="28"/>
        </w:rPr>
        <w:t xml:space="preserve">detailed </w:t>
      </w:r>
      <w:r w:rsidRPr="00327B3A">
        <w:rPr>
          <w:rFonts w:asciiTheme="majorHAnsi" w:hAnsiTheme="majorHAnsi" w:cstheme="majorHAnsi"/>
          <w:sz w:val="28"/>
          <w:szCs w:val="28"/>
        </w:rPr>
        <w:t xml:space="preserve">assessment of past and on-going policy and practice </w:t>
      </w:r>
      <w:r w:rsidR="007B5D9B" w:rsidRPr="00327B3A">
        <w:rPr>
          <w:rFonts w:asciiTheme="majorHAnsi" w:hAnsiTheme="majorHAnsi" w:cstheme="majorHAnsi"/>
          <w:sz w:val="28"/>
          <w:szCs w:val="28"/>
        </w:rPr>
        <w:t xml:space="preserve">to improve both access to and the quality </w:t>
      </w:r>
      <w:r w:rsidR="00647C52">
        <w:rPr>
          <w:rFonts w:asciiTheme="majorHAnsi" w:hAnsiTheme="majorHAnsi" w:cstheme="majorHAnsi"/>
          <w:sz w:val="28"/>
          <w:szCs w:val="28"/>
        </w:rPr>
        <w:t xml:space="preserve">of </w:t>
      </w:r>
      <w:r w:rsidR="007B5D9B" w:rsidRPr="00327B3A">
        <w:rPr>
          <w:rFonts w:asciiTheme="majorHAnsi" w:hAnsiTheme="majorHAnsi" w:cstheme="majorHAnsi"/>
          <w:sz w:val="28"/>
          <w:szCs w:val="28"/>
        </w:rPr>
        <w:t xml:space="preserve">secondary education </w:t>
      </w:r>
      <w:r w:rsidR="00975623" w:rsidRPr="00327B3A">
        <w:rPr>
          <w:rFonts w:asciiTheme="majorHAnsi" w:hAnsiTheme="majorHAnsi" w:cstheme="majorHAnsi"/>
          <w:sz w:val="28"/>
          <w:szCs w:val="28"/>
        </w:rPr>
        <w:t xml:space="preserve">are key </w:t>
      </w:r>
      <w:r w:rsidR="00647C52">
        <w:rPr>
          <w:rFonts w:asciiTheme="majorHAnsi" w:hAnsiTheme="majorHAnsi" w:cstheme="majorHAnsi"/>
          <w:sz w:val="28"/>
          <w:szCs w:val="28"/>
        </w:rPr>
        <w:t xml:space="preserve">concerns </w:t>
      </w:r>
      <w:r w:rsidR="00975623" w:rsidRPr="00327B3A">
        <w:rPr>
          <w:rFonts w:asciiTheme="majorHAnsi" w:hAnsiTheme="majorHAnsi" w:cstheme="majorHAnsi"/>
          <w:sz w:val="28"/>
          <w:szCs w:val="28"/>
        </w:rPr>
        <w:t xml:space="preserve">which help to explain why the Report’s proposed strategy is so unrealistically </w:t>
      </w:r>
      <w:r w:rsidR="007B5D9B" w:rsidRPr="00327B3A">
        <w:rPr>
          <w:rFonts w:asciiTheme="majorHAnsi" w:hAnsiTheme="majorHAnsi" w:cstheme="majorHAnsi"/>
          <w:sz w:val="28"/>
          <w:szCs w:val="28"/>
        </w:rPr>
        <w:t>ambitious</w:t>
      </w:r>
      <w:r w:rsidR="00975623" w:rsidRPr="00327B3A">
        <w:rPr>
          <w:rFonts w:asciiTheme="majorHAnsi" w:hAnsiTheme="majorHAnsi" w:cstheme="majorHAnsi"/>
          <w:sz w:val="28"/>
          <w:szCs w:val="28"/>
        </w:rPr>
        <w:t xml:space="preserve"> and overly optimistic. </w:t>
      </w:r>
      <w:r w:rsidR="007B5D9B" w:rsidRPr="00327B3A">
        <w:rPr>
          <w:rFonts w:asciiTheme="majorHAnsi" w:hAnsiTheme="majorHAnsi" w:cstheme="majorHAnsi"/>
          <w:sz w:val="28"/>
          <w:szCs w:val="28"/>
        </w:rPr>
        <w:t xml:space="preserve"> </w:t>
      </w:r>
      <w:r w:rsidR="00925141" w:rsidRPr="00327B3A">
        <w:rPr>
          <w:rFonts w:asciiTheme="majorHAnsi" w:hAnsiTheme="majorHAnsi" w:cstheme="majorHAnsi"/>
          <w:sz w:val="28"/>
          <w:szCs w:val="28"/>
        </w:rPr>
        <w:t xml:space="preserve"> </w:t>
      </w:r>
    </w:p>
    <w:p w:rsidR="002311CA" w:rsidRPr="00327B3A" w:rsidRDefault="002311CA" w:rsidP="002311CA">
      <w:pPr>
        <w:jc w:val="both"/>
        <w:rPr>
          <w:rFonts w:asciiTheme="majorHAnsi" w:hAnsiTheme="majorHAnsi" w:cstheme="majorHAnsi"/>
          <w:i/>
          <w:sz w:val="28"/>
          <w:szCs w:val="28"/>
        </w:rPr>
      </w:pPr>
      <w:r w:rsidRPr="00327B3A">
        <w:rPr>
          <w:rFonts w:asciiTheme="majorHAnsi" w:hAnsiTheme="majorHAnsi" w:cstheme="majorHAnsi"/>
          <w:i/>
          <w:sz w:val="28"/>
          <w:szCs w:val="28"/>
        </w:rPr>
        <w:t>Comparing UPE with USE</w:t>
      </w:r>
    </w:p>
    <w:p w:rsidR="007B5D9B" w:rsidRPr="00327B3A" w:rsidRDefault="00920D5D" w:rsidP="00AE7885">
      <w:pPr>
        <w:jc w:val="both"/>
        <w:rPr>
          <w:rFonts w:asciiTheme="majorHAnsi" w:hAnsiTheme="majorHAnsi" w:cstheme="majorHAnsi"/>
          <w:sz w:val="28"/>
          <w:szCs w:val="28"/>
        </w:rPr>
      </w:pPr>
      <w:r w:rsidRPr="00327B3A">
        <w:rPr>
          <w:rFonts w:asciiTheme="majorHAnsi" w:hAnsiTheme="majorHAnsi" w:cstheme="majorHAnsi"/>
          <w:sz w:val="28"/>
          <w:szCs w:val="28"/>
        </w:rPr>
        <w:t xml:space="preserve">Comparing USE with UPE highlights just how much more </w:t>
      </w:r>
      <w:r w:rsidR="00975623" w:rsidRPr="00327B3A">
        <w:rPr>
          <w:rFonts w:asciiTheme="majorHAnsi" w:hAnsiTheme="majorHAnsi" w:cstheme="majorHAnsi"/>
          <w:sz w:val="28"/>
          <w:szCs w:val="28"/>
        </w:rPr>
        <w:t>ch</w:t>
      </w:r>
      <w:r w:rsidRPr="00327B3A">
        <w:rPr>
          <w:rFonts w:asciiTheme="majorHAnsi" w:hAnsiTheme="majorHAnsi" w:cstheme="majorHAnsi"/>
          <w:sz w:val="28"/>
          <w:szCs w:val="28"/>
        </w:rPr>
        <w:t>allenging attaining USE will be</w:t>
      </w:r>
      <w:r w:rsidR="00975623" w:rsidRPr="00327B3A">
        <w:rPr>
          <w:rFonts w:asciiTheme="majorHAnsi" w:hAnsiTheme="majorHAnsi" w:cstheme="majorHAnsi"/>
          <w:sz w:val="28"/>
          <w:szCs w:val="28"/>
        </w:rPr>
        <w:t xml:space="preserve"> in SSA</w:t>
      </w:r>
      <w:r w:rsidRPr="00327B3A">
        <w:rPr>
          <w:rFonts w:asciiTheme="majorHAnsi" w:hAnsiTheme="majorHAnsi" w:cstheme="majorHAnsi"/>
          <w:sz w:val="28"/>
          <w:szCs w:val="28"/>
        </w:rPr>
        <w:t>.</w:t>
      </w:r>
      <w:r w:rsidR="00DD69D9"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While UPE focused </w:t>
      </w:r>
      <w:r w:rsidR="00647C52">
        <w:rPr>
          <w:rFonts w:asciiTheme="majorHAnsi" w:hAnsiTheme="majorHAnsi" w:cstheme="majorHAnsi"/>
          <w:sz w:val="28"/>
          <w:szCs w:val="28"/>
        </w:rPr>
        <w:t xml:space="preserve">(at least initially) </w:t>
      </w:r>
      <w:r w:rsidR="007B5D9B" w:rsidRPr="00327B3A">
        <w:rPr>
          <w:rFonts w:asciiTheme="majorHAnsi" w:hAnsiTheme="majorHAnsi" w:cstheme="majorHAnsi"/>
          <w:sz w:val="28"/>
          <w:szCs w:val="28"/>
        </w:rPr>
        <w:t xml:space="preserve">on increasing access, the Report’s USE </w:t>
      </w:r>
      <w:r w:rsidRPr="00327B3A">
        <w:rPr>
          <w:rFonts w:asciiTheme="majorHAnsi" w:hAnsiTheme="majorHAnsi" w:cstheme="majorHAnsi"/>
          <w:sz w:val="28"/>
          <w:szCs w:val="28"/>
        </w:rPr>
        <w:t>strategy requires that both access and quality are simultaneously improved</w:t>
      </w:r>
      <w:r w:rsidR="00F32157" w:rsidRPr="00327B3A">
        <w:rPr>
          <w:rFonts w:asciiTheme="majorHAnsi" w:hAnsiTheme="majorHAnsi" w:cstheme="majorHAnsi"/>
          <w:sz w:val="28"/>
          <w:szCs w:val="28"/>
        </w:rPr>
        <w:t xml:space="preserve">. The overall cost of attaining USE is much greater than UPE </w:t>
      </w:r>
      <w:r w:rsidR="00647C52">
        <w:rPr>
          <w:rFonts w:asciiTheme="majorHAnsi" w:hAnsiTheme="majorHAnsi" w:cstheme="majorHAnsi"/>
          <w:sz w:val="28"/>
          <w:szCs w:val="28"/>
        </w:rPr>
        <w:t>because t</w:t>
      </w:r>
      <w:r w:rsidR="00F32157" w:rsidRPr="00327B3A">
        <w:rPr>
          <w:rFonts w:asciiTheme="majorHAnsi" w:hAnsiTheme="majorHAnsi" w:cstheme="majorHAnsi"/>
          <w:sz w:val="28"/>
          <w:szCs w:val="28"/>
        </w:rPr>
        <w:t>he unit c</w:t>
      </w:r>
      <w:r w:rsidR="00647C52">
        <w:rPr>
          <w:rFonts w:asciiTheme="majorHAnsi" w:hAnsiTheme="majorHAnsi" w:cstheme="majorHAnsi"/>
          <w:sz w:val="28"/>
          <w:szCs w:val="28"/>
        </w:rPr>
        <w:t xml:space="preserve">osts of secondary education are, typically, </w:t>
      </w:r>
      <w:r w:rsidR="00F32157" w:rsidRPr="00327B3A">
        <w:rPr>
          <w:rFonts w:asciiTheme="majorHAnsi" w:hAnsiTheme="majorHAnsi" w:cstheme="majorHAnsi"/>
          <w:sz w:val="28"/>
          <w:szCs w:val="28"/>
        </w:rPr>
        <w:t xml:space="preserve">at least three-four times higher than primary schooling. There was strong political support for UPE among all </w:t>
      </w:r>
      <w:r w:rsidR="00F32157" w:rsidRPr="00327B3A">
        <w:rPr>
          <w:rFonts w:asciiTheme="majorHAnsi" w:hAnsiTheme="majorHAnsi" w:cstheme="majorHAnsi"/>
          <w:sz w:val="28"/>
          <w:szCs w:val="28"/>
        </w:rPr>
        <w:lastRenderedPageBreak/>
        <w:t xml:space="preserve">social classes and stakeholders. By contrast, </w:t>
      </w:r>
      <w:r w:rsidR="00925141" w:rsidRPr="00327B3A">
        <w:rPr>
          <w:rFonts w:asciiTheme="majorHAnsi" w:hAnsiTheme="majorHAnsi" w:cstheme="majorHAnsi"/>
          <w:sz w:val="28"/>
          <w:szCs w:val="28"/>
        </w:rPr>
        <w:t xml:space="preserve">as discussed earlier, </w:t>
      </w:r>
      <w:r w:rsidR="00F32157" w:rsidRPr="00327B3A">
        <w:rPr>
          <w:rFonts w:asciiTheme="majorHAnsi" w:hAnsiTheme="majorHAnsi" w:cstheme="majorHAnsi"/>
          <w:sz w:val="28"/>
          <w:szCs w:val="28"/>
        </w:rPr>
        <w:t xml:space="preserve">the level of political support for USE is generally weak </w:t>
      </w:r>
      <w:r w:rsidR="00647C52">
        <w:rPr>
          <w:rFonts w:asciiTheme="majorHAnsi" w:hAnsiTheme="majorHAnsi" w:cstheme="majorHAnsi"/>
          <w:sz w:val="28"/>
          <w:szCs w:val="28"/>
        </w:rPr>
        <w:t xml:space="preserve">with its overall goals </w:t>
      </w:r>
      <w:r w:rsidR="0006523F" w:rsidRPr="00327B3A">
        <w:rPr>
          <w:rFonts w:asciiTheme="majorHAnsi" w:hAnsiTheme="majorHAnsi" w:cstheme="majorHAnsi"/>
          <w:sz w:val="28"/>
          <w:szCs w:val="28"/>
        </w:rPr>
        <w:t xml:space="preserve">likely to be </w:t>
      </w:r>
      <w:r w:rsidR="00647C52">
        <w:rPr>
          <w:rFonts w:asciiTheme="majorHAnsi" w:hAnsiTheme="majorHAnsi" w:cstheme="majorHAnsi"/>
          <w:sz w:val="28"/>
          <w:szCs w:val="28"/>
        </w:rPr>
        <w:t xml:space="preserve">more </w:t>
      </w:r>
      <w:r w:rsidR="00F32157" w:rsidRPr="00327B3A">
        <w:rPr>
          <w:rFonts w:asciiTheme="majorHAnsi" w:hAnsiTheme="majorHAnsi" w:cstheme="majorHAnsi"/>
          <w:sz w:val="28"/>
          <w:szCs w:val="28"/>
        </w:rPr>
        <w:t xml:space="preserve">strongly contested. </w:t>
      </w:r>
      <w:r w:rsidR="007B5D9B" w:rsidRPr="00327B3A">
        <w:rPr>
          <w:rFonts w:asciiTheme="majorHAnsi" w:hAnsiTheme="majorHAnsi" w:cstheme="majorHAnsi"/>
          <w:sz w:val="28"/>
          <w:szCs w:val="28"/>
        </w:rPr>
        <w:t xml:space="preserve">The rights-based case for UPE was that much stronger and widely accepted than </w:t>
      </w:r>
      <w:r w:rsidR="005A3B06" w:rsidRPr="00327B3A">
        <w:rPr>
          <w:rFonts w:asciiTheme="majorHAnsi" w:hAnsiTheme="majorHAnsi" w:cstheme="majorHAnsi"/>
          <w:sz w:val="28"/>
          <w:szCs w:val="28"/>
        </w:rPr>
        <w:t xml:space="preserve">is currently the case for </w:t>
      </w:r>
      <w:r w:rsidR="007B5D9B" w:rsidRPr="00327B3A">
        <w:rPr>
          <w:rFonts w:asciiTheme="majorHAnsi" w:hAnsiTheme="majorHAnsi" w:cstheme="majorHAnsi"/>
          <w:sz w:val="28"/>
          <w:szCs w:val="28"/>
        </w:rPr>
        <w:t xml:space="preserve">USE. </w:t>
      </w:r>
    </w:p>
    <w:p w:rsidR="00920D5D" w:rsidRPr="00327B3A" w:rsidRDefault="00F32157" w:rsidP="00AE7885">
      <w:pPr>
        <w:jc w:val="both"/>
        <w:rPr>
          <w:rFonts w:asciiTheme="majorHAnsi" w:hAnsiTheme="majorHAnsi" w:cstheme="majorHAnsi"/>
          <w:sz w:val="28"/>
          <w:szCs w:val="28"/>
        </w:rPr>
      </w:pPr>
      <w:r w:rsidRPr="00327B3A">
        <w:rPr>
          <w:rFonts w:asciiTheme="majorHAnsi" w:hAnsiTheme="majorHAnsi" w:cstheme="majorHAnsi"/>
          <w:sz w:val="28"/>
          <w:szCs w:val="28"/>
        </w:rPr>
        <w:t xml:space="preserve">Donors funded </w:t>
      </w:r>
      <w:r w:rsidR="00124935" w:rsidRPr="00327B3A">
        <w:rPr>
          <w:rFonts w:asciiTheme="majorHAnsi" w:hAnsiTheme="majorHAnsi" w:cstheme="majorHAnsi"/>
          <w:sz w:val="28"/>
          <w:szCs w:val="28"/>
        </w:rPr>
        <w:t xml:space="preserve">a large proportion </w:t>
      </w:r>
      <w:r w:rsidRPr="00327B3A">
        <w:rPr>
          <w:rFonts w:asciiTheme="majorHAnsi" w:hAnsiTheme="majorHAnsi" w:cstheme="majorHAnsi"/>
          <w:sz w:val="28"/>
          <w:szCs w:val="28"/>
        </w:rPr>
        <w:t xml:space="preserve">of national UPE programmes in </w:t>
      </w:r>
      <w:r w:rsidR="007B5D9B" w:rsidRPr="00327B3A">
        <w:rPr>
          <w:rFonts w:asciiTheme="majorHAnsi" w:hAnsiTheme="majorHAnsi" w:cstheme="majorHAnsi"/>
          <w:sz w:val="28"/>
          <w:szCs w:val="28"/>
        </w:rPr>
        <w:t xml:space="preserve">a </w:t>
      </w:r>
      <w:r w:rsidRPr="00327B3A">
        <w:rPr>
          <w:rFonts w:asciiTheme="majorHAnsi" w:hAnsiTheme="majorHAnsi" w:cstheme="majorHAnsi"/>
          <w:sz w:val="28"/>
          <w:szCs w:val="28"/>
        </w:rPr>
        <w:t xml:space="preserve">significant number of highly-aid dependent countries and the main aid modality, namely budget support, ensured that governments were </w:t>
      </w:r>
      <w:r w:rsidR="00647C52">
        <w:rPr>
          <w:rFonts w:asciiTheme="majorHAnsi" w:hAnsiTheme="majorHAnsi" w:cstheme="majorHAnsi"/>
          <w:sz w:val="28"/>
          <w:szCs w:val="28"/>
        </w:rPr>
        <w:t xml:space="preserve">more likely </w:t>
      </w:r>
      <w:r w:rsidRPr="00327B3A">
        <w:rPr>
          <w:rFonts w:asciiTheme="majorHAnsi" w:hAnsiTheme="majorHAnsi" w:cstheme="majorHAnsi"/>
          <w:sz w:val="28"/>
          <w:szCs w:val="28"/>
        </w:rPr>
        <w:t xml:space="preserve">to comply with the high levels of conditionality that were attached to donor support. Given prevailing conditions, it seems highly unlikely that </w:t>
      </w:r>
      <w:r w:rsidR="00124935" w:rsidRPr="00327B3A">
        <w:rPr>
          <w:rFonts w:asciiTheme="majorHAnsi" w:hAnsiTheme="majorHAnsi" w:cstheme="majorHAnsi"/>
          <w:sz w:val="28"/>
          <w:szCs w:val="28"/>
        </w:rPr>
        <w:t xml:space="preserve">similar levels of </w:t>
      </w:r>
      <w:r w:rsidRPr="00327B3A">
        <w:rPr>
          <w:rFonts w:asciiTheme="majorHAnsi" w:hAnsiTheme="majorHAnsi" w:cstheme="majorHAnsi"/>
          <w:sz w:val="28"/>
          <w:szCs w:val="28"/>
        </w:rPr>
        <w:t xml:space="preserve">external assistance will be forthcoming to fund the much greater costs of attaining USE. </w:t>
      </w:r>
      <w:r w:rsidR="00124935" w:rsidRPr="00327B3A">
        <w:rPr>
          <w:rFonts w:asciiTheme="majorHAnsi" w:hAnsiTheme="majorHAnsi" w:cstheme="majorHAnsi"/>
          <w:sz w:val="28"/>
          <w:szCs w:val="28"/>
        </w:rPr>
        <w:t>At the same time, h</w:t>
      </w:r>
      <w:r w:rsidRPr="00327B3A">
        <w:rPr>
          <w:rFonts w:asciiTheme="majorHAnsi" w:hAnsiTheme="majorHAnsi" w:cstheme="majorHAnsi"/>
          <w:sz w:val="28"/>
          <w:szCs w:val="28"/>
        </w:rPr>
        <w:t xml:space="preserve">owever, the </w:t>
      </w:r>
      <w:r w:rsidR="00DD69D9" w:rsidRPr="00327B3A">
        <w:rPr>
          <w:rFonts w:asciiTheme="majorHAnsi" w:hAnsiTheme="majorHAnsi" w:cstheme="majorHAnsi"/>
          <w:sz w:val="28"/>
          <w:szCs w:val="28"/>
        </w:rPr>
        <w:t>attachment of donors and other key stakeholders (including international and national education NGOs</w:t>
      </w:r>
      <w:r w:rsidR="00DC22A8">
        <w:rPr>
          <w:rFonts w:asciiTheme="majorHAnsi" w:hAnsiTheme="majorHAnsi" w:cstheme="majorHAnsi"/>
          <w:sz w:val="28"/>
          <w:szCs w:val="28"/>
        </w:rPr>
        <w:t xml:space="preserve">) to the (even more unrealistic) </w:t>
      </w:r>
      <w:r w:rsidRPr="00327B3A">
        <w:rPr>
          <w:rFonts w:asciiTheme="majorHAnsi" w:hAnsiTheme="majorHAnsi" w:cstheme="majorHAnsi"/>
          <w:sz w:val="28"/>
          <w:szCs w:val="28"/>
        </w:rPr>
        <w:t>SDG</w:t>
      </w:r>
      <w:r w:rsidR="00124935" w:rsidRPr="00327B3A">
        <w:rPr>
          <w:rFonts w:asciiTheme="majorHAnsi" w:hAnsiTheme="majorHAnsi" w:cstheme="majorHAnsi"/>
          <w:sz w:val="28"/>
          <w:szCs w:val="28"/>
        </w:rPr>
        <w:t>4</w:t>
      </w:r>
      <w:r w:rsidRPr="00327B3A">
        <w:rPr>
          <w:rFonts w:asciiTheme="majorHAnsi" w:hAnsiTheme="majorHAnsi" w:cstheme="majorHAnsi"/>
          <w:sz w:val="28"/>
          <w:szCs w:val="28"/>
        </w:rPr>
        <w:t xml:space="preserve"> education goals</w:t>
      </w:r>
      <w:r w:rsidR="00DD69D9" w:rsidRPr="00327B3A">
        <w:rPr>
          <w:rFonts w:asciiTheme="majorHAnsi" w:hAnsiTheme="majorHAnsi" w:cstheme="majorHAnsi"/>
          <w:sz w:val="28"/>
          <w:szCs w:val="28"/>
        </w:rPr>
        <w:t xml:space="preserve"> (which have a target date of 2030)</w:t>
      </w:r>
      <w:r w:rsidRPr="00327B3A">
        <w:rPr>
          <w:rFonts w:asciiTheme="majorHAnsi" w:hAnsiTheme="majorHAnsi" w:cstheme="majorHAnsi"/>
          <w:sz w:val="28"/>
          <w:szCs w:val="28"/>
        </w:rPr>
        <w:t xml:space="preserve"> will </w:t>
      </w:r>
      <w:r w:rsidR="00DD69D9" w:rsidRPr="00327B3A">
        <w:rPr>
          <w:rFonts w:asciiTheme="majorHAnsi" w:hAnsiTheme="majorHAnsi" w:cstheme="majorHAnsi"/>
          <w:sz w:val="28"/>
          <w:szCs w:val="28"/>
        </w:rPr>
        <w:t xml:space="preserve">serve to pressurise </w:t>
      </w:r>
      <w:r w:rsidRPr="00327B3A">
        <w:rPr>
          <w:rFonts w:asciiTheme="majorHAnsi" w:hAnsiTheme="majorHAnsi" w:cstheme="majorHAnsi"/>
          <w:sz w:val="28"/>
          <w:szCs w:val="28"/>
        </w:rPr>
        <w:t xml:space="preserve">governments to do too much </w:t>
      </w:r>
      <w:r w:rsidR="00DD69D9" w:rsidRPr="00327B3A">
        <w:rPr>
          <w:rFonts w:asciiTheme="majorHAnsi" w:hAnsiTheme="majorHAnsi" w:cstheme="majorHAnsi"/>
          <w:sz w:val="28"/>
          <w:szCs w:val="28"/>
        </w:rPr>
        <w:t xml:space="preserve">(given seriously </w:t>
      </w:r>
      <w:r w:rsidRPr="00327B3A">
        <w:rPr>
          <w:rFonts w:asciiTheme="majorHAnsi" w:hAnsiTheme="majorHAnsi" w:cstheme="majorHAnsi"/>
          <w:sz w:val="28"/>
          <w:szCs w:val="28"/>
        </w:rPr>
        <w:t>inadequate funding</w:t>
      </w:r>
      <w:r w:rsidR="00DD69D9" w:rsidRPr="00327B3A">
        <w:rPr>
          <w:rFonts w:asciiTheme="majorHAnsi" w:hAnsiTheme="majorHAnsi" w:cstheme="majorHAnsi"/>
          <w:sz w:val="28"/>
          <w:szCs w:val="28"/>
        </w:rPr>
        <w:t>)</w:t>
      </w:r>
      <w:r w:rsidRPr="00327B3A">
        <w:rPr>
          <w:rFonts w:asciiTheme="majorHAnsi" w:hAnsiTheme="majorHAnsi" w:cstheme="majorHAnsi"/>
          <w:sz w:val="28"/>
          <w:szCs w:val="28"/>
        </w:rPr>
        <w:t xml:space="preserve"> which will further contribute to the downward pressures on quality and learning outcomes</w:t>
      </w:r>
      <w:r w:rsidR="00975623" w:rsidRPr="00327B3A">
        <w:rPr>
          <w:rFonts w:asciiTheme="majorHAnsi" w:hAnsiTheme="majorHAnsi" w:cstheme="majorHAnsi"/>
          <w:sz w:val="28"/>
          <w:szCs w:val="28"/>
        </w:rPr>
        <w:t xml:space="preserve"> and </w:t>
      </w:r>
      <w:r w:rsidR="00DD69D9" w:rsidRPr="00327B3A">
        <w:rPr>
          <w:rFonts w:asciiTheme="majorHAnsi" w:hAnsiTheme="majorHAnsi" w:cstheme="majorHAnsi"/>
          <w:sz w:val="28"/>
          <w:szCs w:val="28"/>
        </w:rPr>
        <w:t xml:space="preserve">also </w:t>
      </w:r>
      <w:r w:rsidR="00FD4FE0">
        <w:rPr>
          <w:rFonts w:asciiTheme="majorHAnsi" w:hAnsiTheme="majorHAnsi" w:cstheme="majorHAnsi"/>
          <w:sz w:val="28"/>
          <w:szCs w:val="28"/>
        </w:rPr>
        <w:t xml:space="preserve">to </w:t>
      </w:r>
      <w:r w:rsidR="00DD69D9" w:rsidRPr="00327B3A">
        <w:rPr>
          <w:rFonts w:asciiTheme="majorHAnsi" w:hAnsiTheme="majorHAnsi" w:cstheme="majorHAnsi"/>
          <w:sz w:val="28"/>
          <w:szCs w:val="28"/>
        </w:rPr>
        <w:t xml:space="preserve">divert scarce resources away from tackling more urgent </w:t>
      </w:r>
      <w:r w:rsidR="00975623" w:rsidRPr="00327B3A">
        <w:rPr>
          <w:rFonts w:asciiTheme="majorHAnsi" w:hAnsiTheme="majorHAnsi" w:cstheme="majorHAnsi"/>
          <w:sz w:val="28"/>
          <w:szCs w:val="28"/>
        </w:rPr>
        <w:t xml:space="preserve">human resource development priorities (see section 5). </w:t>
      </w:r>
      <w:r w:rsidR="00DD69D9" w:rsidRPr="00327B3A">
        <w:rPr>
          <w:rFonts w:asciiTheme="majorHAnsi" w:hAnsiTheme="majorHAnsi" w:cstheme="majorHAnsi"/>
          <w:sz w:val="28"/>
          <w:szCs w:val="28"/>
        </w:rPr>
        <w:t xml:space="preserve"> </w:t>
      </w:r>
    </w:p>
    <w:p w:rsidR="00754452" w:rsidRPr="00327B3A" w:rsidRDefault="00B831A9" w:rsidP="00AE7885">
      <w:pPr>
        <w:jc w:val="both"/>
        <w:rPr>
          <w:rFonts w:asciiTheme="majorHAnsi" w:hAnsiTheme="majorHAnsi" w:cstheme="majorHAnsi"/>
          <w:i/>
          <w:sz w:val="28"/>
          <w:szCs w:val="28"/>
        </w:rPr>
      </w:pPr>
      <w:r w:rsidRPr="00327B3A">
        <w:rPr>
          <w:rFonts w:asciiTheme="majorHAnsi" w:hAnsiTheme="majorHAnsi" w:cstheme="majorHAnsi"/>
          <w:i/>
          <w:sz w:val="28"/>
          <w:szCs w:val="28"/>
        </w:rPr>
        <w:t xml:space="preserve">The </w:t>
      </w:r>
      <w:r w:rsidR="001F5DB5" w:rsidRPr="00327B3A">
        <w:rPr>
          <w:rFonts w:asciiTheme="majorHAnsi" w:hAnsiTheme="majorHAnsi" w:cstheme="majorHAnsi"/>
          <w:i/>
          <w:sz w:val="28"/>
          <w:szCs w:val="28"/>
        </w:rPr>
        <w:t>youth demographic dividend?</w:t>
      </w:r>
    </w:p>
    <w:p w:rsidR="00754452" w:rsidRPr="00327B3A" w:rsidRDefault="00754452" w:rsidP="00754452">
      <w:pPr>
        <w:jc w:val="both"/>
        <w:rPr>
          <w:rFonts w:asciiTheme="majorHAnsi" w:hAnsiTheme="majorHAnsi" w:cstheme="majorHAnsi"/>
          <w:sz w:val="28"/>
          <w:szCs w:val="28"/>
        </w:rPr>
      </w:pPr>
      <w:r w:rsidRPr="00327B3A">
        <w:rPr>
          <w:rFonts w:asciiTheme="majorHAnsi" w:hAnsiTheme="majorHAnsi" w:cstheme="majorHAnsi"/>
          <w:sz w:val="28"/>
          <w:szCs w:val="28"/>
        </w:rPr>
        <w:t xml:space="preserve">The Report repeatedly emphasises that ‘Africa’s greatest resource is its young people’ (p.8). In particular, ‘Africa’s young and growing population positions the region well (sic) to realize the benefits of a demographic dividend’ </w:t>
      </w:r>
      <w:r w:rsidR="00124935" w:rsidRPr="00327B3A">
        <w:rPr>
          <w:rFonts w:asciiTheme="majorHAnsi" w:hAnsiTheme="majorHAnsi" w:cstheme="majorHAnsi"/>
          <w:sz w:val="28"/>
          <w:szCs w:val="28"/>
        </w:rPr>
        <w:t>(</w:t>
      </w:r>
      <w:r w:rsidRPr="00327B3A">
        <w:rPr>
          <w:rFonts w:asciiTheme="majorHAnsi" w:hAnsiTheme="majorHAnsi" w:cstheme="majorHAnsi"/>
          <w:sz w:val="28"/>
          <w:szCs w:val="28"/>
        </w:rPr>
        <w:t>p. 30</w:t>
      </w:r>
      <w:r w:rsidR="00124935" w:rsidRPr="00327B3A">
        <w:rPr>
          <w:rFonts w:asciiTheme="majorHAnsi" w:hAnsiTheme="majorHAnsi" w:cstheme="majorHAnsi"/>
          <w:sz w:val="28"/>
          <w:szCs w:val="28"/>
        </w:rPr>
        <w:t>)</w:t>
      </w:r>
      <w:r w:rsidRPr="00327B3A">
        <w:rPr>
          <w:rFonts w:asciiTheme="majorHAnsi" w:hAnsiTheme="majorHAnsi" w:cstheme="majorHAnsi"/>
          <w:sz w:val="28"/>
          <w:szCs w:val="28"/>
        </w:rPr>
        <w:t>.</w:t>
      </w:r>
      <w:r w:rsidR="00124935"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Such unalloyed optimism is </w:t>
      </w:r>
      <w:r w:rsidR="00B831A9" w:rsidRPr="00327B3A">
        <w:rPr>
          <w:rFonts w:asciiTheme="majorHAnsi" w:hAnsiTheme="majorHAnsi" w:cstheme="majorHAnsi"/>
          <w:sz w:val="28"/>
          <w:szCs w:val="28"/>
        </w:rPr>
        <w:t xml:space="preserve">misconceived mainly because the </w:t>
      </w:r>
      <w:r w:rsidRPr="00327B3A">
        <w:rPr>
          <w:rFonts w:asciiTheme="majorHAnsi" w:hAnsiTheme="majorHAnsi" w:cstheme="majorHAnsi"/>
          <w:sz w:val="28"/>
          <w:szCs w:val="28"/>
        </w:rPr>
        <w:t xml:space="preserve">explosive growth of the youth population </w:t>
      </w:r>
      <w:r w:rsidR="00B831A9" w:rsidRPr="00327B3A">
        <w:rPr>
          <w:rFonts w:asciiTheme="majorHAnsi" w:hAnsiTheme="majorHAnsi" w:cstheme="majorHAnsi"/>
          <w:sz w:val="28"/>
          <w:szCs w:val="28"/>
        </w:rPr>
        <w:t xml:space="preserve">in SSA </w:t>
      </w:r>
      <w:r w:rsidRPr="00327B3A">
        <w:rPr>
          <w:rFonts w:asciiTheme="majorHAnsi" w:hAnsiTheme="majorHAnsi" w:cstheme="majorHAnsi"/>
          <w:sz w:val="28"/>
          <w:szCs w:val="28"/>
        </w:rPr>
        <w:t xml:space="preserve">(doubling every 20-25 years) without </w:t>
      </w:r>
      <w:r w:rsidR="00124935" w:rsidRPr="00327B3A">
        <w:rPr>
          <w:rFonts w:asciiTheme="majorHAnsi" w:hAnsiTheme="majorHAnsi" w:cstheme="majorHAnsi"/>
          <w:sz w:val="28"/>
          <w:szCs w:val="28"/>
        </w:rPr>
        <w:t xml:space="preserve">even more rapid </w:t>
      </w:r>
      <w:r w:rsidR="00B831A9" w:rsidRPr="00327B3A">
        <w:rPr>
          <w:rFonts w:asciiTheme="majorHAnsi" w:hAnsiTheme="majorHAnsi" w:cstheme="majorHAnsi"/>
          <w:sz w:val="28"/>
          <w:szCs w:val="28"/>
        </w:rPr>
        <w:t xml:space="preserve">growth in </w:t>
      </w:r>
      <w:r w:rsidRPr="00327B3A">
        <w:rPr>
          <w:rFonts w:asciiTheme="majorHAnsi" w:hAnsiTheme="majorHAnsi" w:cstheme="majorHAnsi"/>
          <w:sz w:val="28"/>
          <w:szCs w:val="28"/>
        </w:rPr>
        <w:t xml:space="preserve">productive employment </w:t>
      </w:r>
      <w:r w:rsidR="00B831A9" w:rsidRPr="00327B3A">
        <w:rPr>
          <w:rFonts w:asciiTheme="majorHAnsi" w:hAnsiTheme="majorHAnsi" w:cstheme="majorHAnsi"/>
          <w:sz w:val="28"/>
          <w:szCs w:val="28"/>
        </w:rPr>
        <w:t xml:space="preserve">(by at least a factor of three-four) </w:t>
      </w:r>
      <w:r w:rsidRPr="00327B3A">
        <w:rPr>
          <w:rFonts w:asciiTheme="majorHAnsi" w:hAnsiTheme="majorHAnsi" w:cstheme="majorHAnsi"/>
          <w:sz w:val="28"/>
          <w:szCs w:val="28"/>
        </w:rPr>
        <w:t xml:space="preserve">poses the greatest short-term threat to economic, social and political development in SSA as a whole. </w:t>
      </w:r>
      <w:r w:rsidR="00B831A9" w:rsidRPr="00327B3A">
        <w:rPr>
          <w:rFonts w:asciiTheme="majorHAnsi" w:hAnsiTheme="majorHAnsi" w:cstheme="majorHAnsi"/>
          <w:sz w:val="28"/>
          <w:szCs w:val="28"/>
        </w:rPr>
        <w:t>I</w:t>
      </w:r>
      <w:r w:rsidRPr="00327B3A">
        <w:rPr>
          <w:rFonts w:asciiTheme="majorHAnsi" w:hAnsiTheme="majorHAnsi" w:cstheme="majorHAnsi"/>
          <w:sz w:val="28"/>
          <w:szCs w:val="28"/>
        </w:rPr>
        <w:t xml:space="preserve">n the current context, </w:t>
      </w:r>
      <w:r w:rsidR="00B831A9" w:rsidRPr="00327B3A">
        <w:rPr>
          <w:rFonts w:asciiTheme="majorHAnsi" w:hAnsiTheme="majorHAnsi" w:cstheme="majorHAnsi"/>
          <w:sz w:val="28"/>
          <w:szCs w:val="28"/>
        </w:rPr>
        <w:t xml:space="preserve">therefore, </w:t>
      </w:r>
      <w:r w:rsidRPr="00327B3A">
        <w:rPr>
          <w:rFonts w:asciiTheme="majorHAnsi" w:hAnsiTheme="majorHAnsi" w:cstheme="majorHAnsi"/>
          <w:sz w:val="28"/>
          <w:szCs w:val="28"/>
        </w:rPr>
        <w:t xml:space="preserve">the demographic dividend </w:t>
      </w:r>
      <w:r w:rsidR="00FD4FE0">
        <w:rPr>
          <w:rFonts w:asciiTheme="majorHAnsi" w:hAnsiTheme="majorHAnsi" w:cstheme="majorHAnsi"/>
          <w:sz w:val="28"/>
          <w:szCs w:val="28"/>
        </w:rPr>
        <w:t>c</w:t>
      </w:r>
      <w:r w:rsidR="00B11AE9" w:rsidRPr="00327B3A">
        <w:rPr>
          <w:rFonts w:asciiTheme="majorHAnsi" w:hAnsiTheme="majorHAnsi" w:cstheme="majorHAnsi"/>
          <w:sz w:val="28"/>
          <w:szCs w:val="28"/>
        </w:rPr>
        <w:t xml:space="preserve">ould well </w:t>
      </w:r>
      <w:r w:rsidR="00B831A9" w:rsidRPr="00327B3A">
        <w:rPr>
          <w:rFonts w:asciiTheme="majorHAnsi" w:hAnsiTheme="majorHAnsi" w:cstheme="majorHAnsi"/>
          <w:sz w:val="28"/>
          <w:szCs w:val="28"/>
        </w:rPr>
        <w:t xml:space="preserve">be </w:t>
      </w:r>
      <w:r w:rsidRPr="00327B3A">
        <w:rPr>
          <w:rFonts w:asciiTheme="majorHAnsi" w:hAnsiTheme="majorHAnsi" w:cstheme="majorHAnsi"/>
          <w:sz w:val="28"/>
          <w:szCs w:val="28"/>
        </w:rPr>
        <w:t xml:space="preserve">a demographic </w:t>
      </w:r>
      <w:r w:rsidR="00B11AE9" w:rsidRPr="00327B3A">
        <w:rPr>
          <w:rFonts w:asciiTheme="majorHAnsi" w:hAnsiTheme="majorHAnsi" w:cstheme="majorHAnsi"/>
          <w:sz w:val="28"/>
          <w:szCs w:val="28"/>
        </w:rPr>
        <w:t xml:space="preserve">catastrophe </w:t>
      </w:r>
      <w:r w:rsidRPr="00327B3A">
        <w:rPr>
          <w:rFonts w:asciiTheme="majorHAnsi" w:hAnsiTheme="majorHAnsi" w:cstheme="majorHAnsi"/>
          <w:sz w:val="28"/>
          <w:szCs w:val="28"/>
        </w:rPr>
        <w:t>unless decisive</w:t>
      </w:r>
      <w:r w:rsidR="00B11AE9" w:rsidRPr="00327B3A">
        <w:rPr>
          <w:rFonts w:asciiTheme="majorHAnsi" w:hAnsiTheme="majorHAnsi" w:cstheme="majorHAnsi"/>
          <w:sz w:val="28"/>
          <w:szCs w:val="28"/>
        </w:rPr>
        <w:t xml:space="preserve"> measures are taken </w:t>
      </w:r>
      <w:r w:rsidRPr="00327B3A">
        <w:rPr>
          <w:rFonts w:asciiTheme="majorHAnsi" w:hAnsiTheme="majorHAnsi" w:cstheme="majorHAnsi"/>
          <w:sz w:val="28"/>
          <w:szCs w:val="28"/>
        </w:rPr>
        <w:t xml:space="preserve">to </w:t>
      </w:r>
      <w:r w:rsidR="00B831A9" w:rsidRPr="00327B3A">
        <w:rPr>
          <w:rFonts w:asciiTheme="majorHAnsi" w:hAnsiTheme="majorHAnsi" w:cstheme="majorHAnsi"/>
          <w:sz w:val="28"/>
          <w:szCs w:val="28"/>
        </w:rPr>
        <w:t xml:space="preserve">accelerate </w:t>
      </w:r>
      <w:r w:rsidRPr="00327B3A">
        <w:rPr>
          <w:rFonts w:asciiTheme="majorHAnsi" w:hAnsiTheme="majorHAnsi" w:cstheme="majorHAnsi"/>
          <w:sz w:val="28"/>
          <w:szCs w:val="28"/>
        </w:rPr>
        <w:t xml:space="preserve">dramatically economic growth and employment expansion in the formal sector.   </w:t>
      </w:r>
    </w:p>
    <w:p w:rsidR="004A65FF" w:rsidRPr="00327B3A" w:rsidRDefault="004A65FF" w:rsidP="003C4C09">
      <w:pPr>
        <w:pStyle w:val="ListParagraph"/>
        <w:numPr>
          <w:ilvl w:val="0"/>
          <w:numId w:val="1"/>
        </w:numPr>
        <w:rPr>
          <w:rFonts w:asciiTheme="majorHAnsi" w:hAnsiTheme="majorHAnsi" w:cstheme="majorHAnsi"/>
          <w:b/>
          <w:i/>
          <w:sz w:val="28"/>
          <w:szCs w:val="28"/>
        </w:rPr>
      </w:pPr>
      <w:r w:rsidRPr="00327B3A">
        <w:rPr>
          <w:rFonts w:asciiTheme="majorHAnsi" w:hAnsiTheme="majorHAnsi" w:cstheme="majorHAnsi"/>
          <w:b/>
          <w:i/>
          <w:sz w:val="28"/>
          <w:szCs w:val="28"/>
        </w:rPr>
        <w:t>Situational analysis</w:t>
      </w:r>
      <w:r w:rsidR="002D3D87" w:rsidRPr="00327B3A">
        <w:rPr>
          <w:rFonts w:asciiTheme="majorHAnsi" w:hAnsiTheme="majorHAnsi" w:cstheme="majorHAnsi"/>
          <w:b/>
          <w:i/>
          <w:sz w:val="28"/>
          <w:szCs w:val="28"/>
        </w:rPr>
        <w:t>: access, equity and urban bias</w:t>
      </w:r>
    </w:p>
    <w:p w:rsidR="0006523F" w:rsidRPr="00327B3A" w:rsidRDefault="003C533E" w:rsidP="004A65FF">
      <w:pPr>
        <w:jc w:val="both"/>
        <w:rPr>
          <w:rFonts w:asciiTheme="majorHAnsi" w:hAnsiTheme="majorHAnsi" w:cstheme="majorHAnsi"/>
          <w:sz w:val="28"/>
          <w:szCs w:val="28"/>
        </w:rPr>
      </w:pPr>
      <w:r w:rsidRPr="00327B3A">
        <w:rPr>
          <w:rFonts w:asciiTheme="majorHAnsi" w:hAnsiTheme="majorHAnsi" w:cstheme="majorHAnsi"/>
          <w:sz w:val="28"/>
          <w:szCs w:val="28"/>
        </w:rPr>
        <w:t xml:space="preserve">The Report devotes </w:t>
      </w:r>
      <w:r w:rsidR="004A65FF" w:rsidRPr="00327B3A">
        <w:rPr>
          <w:rFonts w:asciiTheme="majorHAnsi" w:hAnsiTheme="majorHAnsi" w:cstheme="majorHAnsi"/>
          <w:sz w:val="28"/>
          <w:szCs w:val="28"/>
        </w:rPr>
        <w:t xml:space="preserve">only </w:t>
      </w:r>
      <w:r w:rsidR="00EA6559" w:rsidRPr="00327B3A">
        <w:rPr>
          <w:rFonts w:asciiTheme="majorHAnsi" w:hAnsiTheme="majorHAnsi" w:cstheme="majorHAnsi"/>
          <w:sz w:val="28"/>
          <w:szCs w:val="28"/>
        </w:rPr>
        <w:t xml:space="preserve">seven </w:t>
      </w:r>
      <w:r w:rsidRPr="00327B3A">
        <w:rPr>
          <w:rFonts w:asciiTheme="majorHAnsi" w:hAnsiTheme="majorHAnsi" w:cstheme="majorHAnsi"/>
          <w:sz w:val="28"/>
          <w:szCs w:val="28"/>
        </w:rPr>
        <w:t xml:space="preserve">pages to assessing the current </w:t>
      </w:r>
      <w:r w:rsidR="00EA6559" w:rsidRPr="00327B3A">
        <w:rPr>
          <w:rFonts w:asciiTheme="majorHAnsi" w:hAnsiTheme="majorHAnsi" w:cstheme="majorHAnsi"/>
          <w:sz w:val="28"/>
          <w:szCs w:val="28"/>
        </w:rPr>
        <w:t>‘</w:t>
      </w:r>
      <w:r w:rsidRPr="00327B3A">
        <w:rPr>
          <w:rFonts w:asciiTheme="majorHAnsi" w:hAnsiTheme="majorHAnsi" w:cstheme="majorHAnsi"/>
          <w:sz w:val="28"/>
          <w:szCs w:val="28"/>
        </w:rPr>
        <w:t>s</w:t>
      </w:r>
      <w:r w:rsidR="00EA6559" w:rsidRPr="00327B3A">
        <w:rPr>
          <w:rFonts w:asciiTheme="majorHAnsi" w:hAnsiTheme="majorHAnsi" w:cstheme="majorHAnsi"/>
          <w:sz w:val="28"/>
          <w:szCs w:val="28"/>
        </w:rPr>
        <w:t xml:space="preserve">tatus’ </w:t>
      </w:r>
      <w:r w:rsidRPr="00327B3A">
        <w:rPr>
          <w:rFonts w:asciiTheme="majorHAnsi" w:hAnsiTheme="majorHAnsi" w:cstheme="majorHAnsi"/>
          <w:sz w:val="28"/>
          <w:szCs w:val="28"/>
        </w:rPr>
        <w:t xml:space="preserve">of secondary </w:t>
      </w:r>
      <w:r w:rsidR="004A65FF" w:rsidRPr="00327B3A">
        <w:rPr>
          <w:rFonts w:asciiTheme="majorHAnsi" w:hAnsiTheme="majorHAnsi" w:cstheme="majorHAnsi"/>
          <w:sz w:val="28"/>
          <w:szCs w:val="28"/>
        </w:rPr>
        <w:t xml:space="preserve">education </w:t>
      </w:r>
      <w:r w:rsidRPr="00327B3A">
        <w:rPr>
          <w:rFonts w:asciiTheme="majorHAnsi" w:hAnsiTheme="majorHAnsi" w:cstheme="majorHAnsi"/>
          <w:sz w:val="28"/>
          <w:szCs w:val="28"/>
        </w:rPr>
        <w:t>in SSA.</w:t>
      </w:r>
      <w:r w:rsidR="00AE7885" w:rsidRPr="00327B3A">
        <w:rPr>
          <w:rFonts w:asciiTheme="majorHAnsi" w:hAnsiTheme="majorHAnsi" w:cstheme="majorHAnsi"/>
          <w:sz w:val="28"/>
          <w:szCs w:val="28"/>
        </w:rPr>
        <w:t xml:space="preserve"> </w:t>
      </w:r>
      <w:r w:rsidR="00EA6559" w:rsidRPr="00327B3A">
        <w:rPr>
          <w:rFonts w:asciiTheme="majorHAnsi" w:hAnsiTheme="majorHAnsi" w:cstheme="majorHAnsi"/>
          <w:sz w:val="28"/>
          <w:szCs w:val="28"/>
        </w:rPr>
        <w:t xml:space="preserve">The focus is entirely on presenting basic statistics on student access and equity. </w:t>
      </w:r>
      <w:r w:rsidR="001B2918" w:rsidRPr="00327B3A">
        <w:rPr>
          <w:rFonts w:asciiTheme="majorHAnsi" w:hAnsiTheme="majorHAnsi" w:cstheme="majorHAnsi"/>
          <w:sz w:val="28"/>
          <w:szCs w:val="28"/>
        </w:rPr>
        <w:t>Given the overriding importance of access issues, a more detailed</w:t>
      </w:r>
      <w:r w:rsidR="004470B9" w:rsidRPr="00327B3A">
        <w:rPr>
          <w:rFonts w:asciiTheme="majorHAnsi" w:hAnsiTheme="majorHAnsi" w:cstheme="majorHAnsi"/>
          <w:sz w:val="28"/>
          <w:szCs w:val="28"/>
        </w:rPr>
        <w:t xml:space="preserve"> and comprehensive</w:t>
      </w:r>
      <w:r w:rsidR="001B2918" w:rsidRPr="00327B3A">
        <w:rPr>
          <w:rFonts w:asciiTheme="majorHAnsi" w:hAnsiTheme="majorHAnsi" w:cstheme="majorHAnsi"/>
          <w:sz w:val="28"/>
          <w:szCs w:val="28"/>
        </w:rPr>
        <w:t xml:space="preserve"> analysis is needed which, as </w:t>
      </w:r>
      <w:r w:rsidR="004470B9" w:rsidRPr="00327B3A">
        <w:rPr>
          <w:rFonts w:asciiTheme="majorHAnsi" w:hAnsiTheme="majorHAnsi" w:cstheme="majorHAnsi"/>
          <w:sz w:val="28"/>
          <w:szCs w:val="28"/>
        </w:rPr>
        <w:t>the following discussion will highlight</w:t>
      </w:r>
      <w:r w:rsidR="001B2918" w:rsidRPr="00327B3A">
        <w:rPr>
          <w:rFonts w:asciiTheme="majorHAnsi" w:hAnsiTheme="majorHAnsi" w:cstheme="majorHAnsi"/>
          <w:sz w:val="28"/>
          <w:szCs w:val="28"/>
        </w:rPr>
        <w:t>, provide</w:t>
      </w:r>
      <w:r w:rsidR="005318B9">
        <w:rPr>
          <w:rFonts w:asciiTheme="majorHAnsi" w:hAnsiTheme="majorHAnsi" w:cstheme="majorHAnsi"/>
          <w:sz w:val="28"/>
          <w:szCs w:val="28"/>
        </w:rPr>
        <w:t>s</w:t>
      </w:r>
      <w:r w:rsidR="001B2918" w:rsidRPr="00327B3A">
        <w:rPr>
          <w:rFonts w:asciiTheme="majorHAnsi" w:hAnsiTheme="majorHAnsi" w:cstheme="majorHAnsi"/>
          <w:sz w:val="28"/>
          <w:szCs w:val="28"/>
        </w:rPr>
        <w:t xml:space="preserve"> key additional insights </w:t>
      </w:r>
      <w:r w:rsidR="00AE7885" w:rsidRPr="00327B3A">
        <w:rPr>
          <w:rFonts w:asciiTheme="majorHAnsi" w:hAnsiTheme="majorHAnsi" w:cstheme="majorHAnsi"/>
          <w:sz w:val="28"/>
          <w:szCs w:val="28"/>
        </w:rPr>
        <w:t>i</w:t>
      </w:r>
      <w:r w:rsidR="001B2918" w:rsidRPr="00327B3A">
        <w:rPr>
          <w:rFonts w:asciiTheme="majorHAnsi" w:hAnsiTheme="majorHAnsi" w:cstheme="majorHAnsi"/>
          <w:sz w:val="28"/>
          <w:szCs w:val="28"/>
        </w:rPr>
        <w:t xml:space="preserve">nto the nature and </w:t>
      </w:r>
      <w:r w:rsidR="001B2918" w:rsidRPr="00327B3A">
        <w:rPr>
          <w:rFonts w:asciiTheme="majorHAnsi" w:hAnsiTheme="majorHAnsi" w:cstheme="majorHAnsi"/>
          <w:sz w:val="28"/>
          <w:szCs w:val="28"/>
        </w:rPr>
        <w:lastRenderedPageBreak/>
        <w:t xml:space="preserve">extent of the challenges that will have to be surmounted in order to attain USE in SSA. </w:t>
      </w:r>
      <w:r w:rsidR="00207DCF" w:rsidRPr="00327B3A">
        <w:rPr>
          <w:rFonts w:asciiTheme="majorHAnsi" w:hAnsiTheme="majorHAnsi" w:cstheme="majorHAnsi"/>
          <w:sz w:val="28"/>
          <w:szCs w:val="28"/>
        </w:rPr>
        <w:t xml:space="preserve"> </w:t>
      </w:r>
    </w:p>
    <w:p w:rsidR="00720162" w:rsidRPr="00327B3A" w:rsidRDefault="00720162" w:rsidP="00720162">
      <w:pPr>
        <w:pStyle w:val="ListParagraph"/>
        <w:numPr>
          <w:ilvl w:val="1"/>
          <w:numId w:val="2"/>
        </w:numPr>
        <w:jc w:val="both"/>
        <w:rPr>
          <w:rFonts w:asciiTheme="majorHAnsi" w:hAnsiTheme="majorHAnsi" w:cstheme="majorHAnsi"/>
          <w:i/>
          <w:sz w:val="28"/>
          <w:szCs w:val="28"/>
        </w:rPr>
      </w:pPr>
      <w:r w:rsidRPr="00327B3A">
        <w:rPr>
          <w:rFonts w:asciiTheme="majorHAnsi" w:hAnsiTheme="majorHAnsi" w:cstheme="majorHAnsi"/>
          <w:i/>
          <w:sz w:val="28"/>
          <w:szCs w:val="28"/>
        </w:rPr>
        <w:t>Access and equity</w:t>
      </w:r>
    </w:p>
    <w:p w:rsidR="00720162" w:rsidRPr="00327B3A" w:rsidRDefault="00720162" w:rsidP="00720162">
      <w:pPr>
        <w:jc w:val="both"/>
        <w:rPr>
          <w:rFonts w:asciiTheme="majorHAnsi" w:hAnsiTheme="majorHAnsi" w:cstheme="majorHAnsi"/>
          <w:sz w:val="28"/>
          <w:szCs w:val="28"/>
        </w:rPr>
      </w:pPr>
      <w:r w:rsidRPr="00327B3A">
        <w:rPr>
          <w:rFonts w:asciiTheme="majorHAnsi" w:hAnsiTheme="majorHAnsi" w:cstheme="majorHAnsi"/>
          <w:sz w:val="28"/>
          <w:szCs w:val="28"/>
        </w:rPr>
        <w:t xml:space="preserve">The Report highlights the impressive growth in </w:t>
      </w:r>
      <w:r w:rsidR="00832821" w:rsidRPr="00327B3A">
        <w:rPr>
          <w:rFonts w:asciiTheme="majorHAnsi" w:hAnsiTheme="majorHAnsi" w:cstheme="majorHAnsi"/>
          <w:sz w:val="28"/>
          <w:szCs w:val="28"/>
        </w:rPr>
        <w:t xml:space="preserve">secondary education </w:t>
      </w:r>
      <w:r w:rsidRPr="00327B3A">
        <w:rPr>
          <w:rFonts w:asciiTheme="majorHAnsi" w:hAnsiTheme="majorHAnsi" w:cstheme="majorHAnsi"/>
          <w:sz w:val="28"/>
          <w:szCs w:val="28"/>
        </w:rPr>
        <w:t>enrolments</w:t>
      </w:r>
      <w:r w:rsidR="00832821" w:rsidRPr="00327B3A">
        <w:rPr>
          <w:rFonts w:asciiTheme="majorHAnsi" w:hAnsiTheme="majorHAnsi" w:cstheme="majorHAnsi"/>
          <w:sz w:val="28"/>
          <w:szCs w:val="28"/>
        </w:rPr>
        <w:t xml:space="preserve"> in SSA</w:t>
      </w:r>
      <w:r w:rsidRPr="00327B3A">
        <w:rPr>
          <w:rFonts w:asciiTheme="majorHAnsi" w:hAnsiTheme="majorHAnsi" w:cstheme="majorHAnsi"/>
          <w:sz w:val="28"/>
          <w:szCs w:val="28"/>
        </w:rPr>
        <w:t xml:space="preserve"> during the last 20 years. Gross enrolment rates have increased from 29% in 1998 to 51% in 2018 for lower secondary</w:t>
      </w:r>
      <w:r w:rsidR="00832821" w:rsidRPr="00327B3A">
        <w:rPr>
          <w:rFonts w:asciiTheme="majorHAnsi" w:hAnsiTheme="majorHAnsi" w:cstheme="majorHAnsi"/>
          <w:sz w:val="28"/>
          <w:szCs w:val="28"/>
        </w:rPr>
        <w:t xml:space="preserve"> schooling</w:t>
      </w:r>
      <w:r w:rsidRPr="00327B3A">
        <w:rPr>
          <w:rFonts w:asciiTheme="majorHAnsi" w:hAnsiTheme="majorHAnsi" w:cstheme="majorHAnsi"/>
          <w:sz w:val="28"/>
          <w:szCs w:val="28"/>
        </w:rPr>
        <w:t xml:space="preserve"> and </w:t>
      </w:r>
      <w:r w:rsidR="00832821" w:rsidRPr="00327B3A">
        <w:rPr>
          <w:rFonts w:asciiTheme="majorHAnsi" w:hAnsiTheme="majorHAnsi" w:cstheme="majorHAnsi"/>
          <w:sz w:val="28"/>
          <w:szCs w:val="28"/>
        </w:rPr>
        <w:t xml:space="preserve">from </w:t>
      </w:r>
      <w:r w:rsidRPr="00327B3A">
        <w:rPr>
          <w:rFonts w:asciiTheme="majorHAnsi" w:hAnsiTheme="majorHAnsi" w:cstheme="majorHAnsi"/>
          <w:sz w:val="28"/>
          <w:szCs w:val="28"/>
        </w:rPr>
        <w:t>20% to 34% for upper secondary</w:t>
      </w:r>
      <w:r w:rsidR="00832821" w:rsidRPr="00327B3A">
        <w:rPr>
          <w:rFonts w:asciiTheme="majorHAnsi" w:hAnsiTheme="majorHAnsi" w:cstheme="majorHAnsi"/>
          <w:sz w:val="28"/>
          <w:szCs w:val="28"/>
        </w:rPr>
        <w:t xml:space="preserve"> schooling</w:t>
      </w:r>
      <w:r w:rsidRPr="00327B3A">
        <w:rPr>
          <w:rFonts w:asciiTheme="majorHAnsi" w:hAnsiTheme="majorHAnsi" w:cstheme="majorHAnsi"/>
          <w:sz w:val="28"/>
          <w:szCs w:val="28"/>
        </w:rPr>
        <w:t>.</w:t>
      </w:r>
      <w:r w:rsidR="00207DCF" w:rsidRPr="00327B3A">
        <w:rPr>
          <w:rFonts w:asciiTheme="majorHAnsi" w:hAnsiTheme="majorHAnsi" w:cstheme="majorHAnsi"/>
          <w:sz w:val="28"/>
          <w:szCs w:val="28"/>
        </w:rPr>
        <w:t xml:space="preserve">  At the same time, however, t</w:t>
      </w:r>
      <w:r w:rsidRPr="00327B3A">
        <w:rPr>
          <w:rFonts w:asciiTheme="majorHAnsi" w:hAnsiTheme="majorHAnsi" w:cstheme="majorHAnsi"/>
          <w:sz w:val="28"/>
          <w:szCs w:val="28"/>
        </w:rPr>
        <w:t>he Report recognises that ‘national averages mask considerable inequality in access and completion at the secondary level’</w:t>
      </w:r>
      <w:r w:rsidR="00207DCF" w:rsidRPr="00327B3A">
        <w:rPr>
          <w:rFonts w:asciiTheme="majorHAnsi" w:hAnsiTheme="majorHAnsi" w:cstheme="majorHAnsi"/>
          <w:sz w:val="28"/>
          <w:szCs w:val="28"/>
        </w:rPr>
        <w:t>.</w:t>
      </w:r>
      <w:r w:rsidRPr="00327B3A">
        <w:rPr>
          <w:rFonts w:asciiTheme="majorHAnsi" w:hAnsiTheme="majorHAnsi" w:cstheme="majorHAnsi"/>
          <w:sz w:val="28"/>
          <w:szCs w:val="28"/>
        </w:rPr>
        <w:t xml:space="preserve"> It notes, in particular, that ‘there are more than 15 countries where less than</w:t>
      </w:r>
      <w:r w:rsidR="00A723EC" w:rsidRPr="00327B3A">
        <w:rPr>
          <w:rFonts w:asciiTheme="majorHAnsi" w:hAnsiTheme="majorHAnsi" w:cstheme="majorHAnsi"/>
          <w:sz w:val="28"/>
          <w:szCs w:val="28"/>
        </w:rPr>
        <w:t xml:space="preserve"> 5% of the poorest rural girls complete lower secondary’ (p.65</w:t>
      </w:r>
      <w:r w:rsidRPr="00327B3A">
        <w:rPr>
          <w:rFonts w:asciiTheme="majorHAnsi" w:hAnsiTheme="majorHAnsi" w:cstheme="majorHAnsi"/>
          <w:sz w:val="28"/>
          <w:szCs w:val="28"/>
        </w:rPr>
        <w:t xml:space="preserve">). </w:t>
      </w:r>
      <w:r w:rsidR="00A723EC" w:rsidRPr="00327B3A">
        <w:rPr>
          <w:rFonts w:asciiTheme="majorHAnsi" w:hAnsiTheme="majorHAnsi" w:cstheme="majorHAnsi"/>
          <w:sz w:val="28"/>
          <w:szCs w:val="28"/>
        </w:rPr>
        <w:t xml:space="preserve">  </w:t>
      </w:r>
    </w:p>
    <w:tbl>
      <w:tblPr>
        <w:tblW w:w="7921" w:type="dxa"/>
        <w:tblLook w:val="04A0" w:firstRow="1" w:lastRow="0" w:firstColumn="1" w:lastColumn="0" w:noHBand="0" w:noVBand="1"/>
      </w:tblPr>
      <w:tblGrid>
        <w:gridCol w:w="1713"/>
        <w:gridCol w:w="1793"/>
        <w:gridCol w:w="1738"/>
        <w:gridCol w:w="1664"/>
        <w:gridCol w:w="222"/>
        <w:gridCol w:w="960"/>
      </w:tblGrid>
      <w:tr w:rsidR="00AF2B30" w:rsidRPr="00AF2B30" w:rsidTr="00AF2B30">
        <w:trPr>
          <w:trHeight w:val="288"/>
        </w:trPr>
        <w:tc>
          <w:tcPr>
            <w:tcW w:w="6961" w:type="dxa"/>
            <w:gridSpan w:val="5"/>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Calibri" w:eastAsia="Times New Roman" w:hAnsi="Calibri" w:cs="Calibri"/>
                <w:color w:val="000000"/>
                <w:lang w:eastAsia="en-GB"/>
              </w:rPr>
            </w:pPr>
            <w:r w:rsidRPr="00AF2B30">
              <w:rPr>
                <w:rFonts w:ascii="Calibri" w:eastAsia="Times New Roman" w:hAnsi="Calibri" w:cs="Calibri"/>
                <w:color w:val="000000"/>
                <w:lang w:eastAsia="en-GB"/>
              </w:rPr>
              <w:t xml:space="preserve">Table 1: Current level and recent trend in gross enrolment rates for lower </w:t>
            </w: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Calibri" w:eastAsia="Times New Roman" w:hAnsi="Calibri" w:cs="Calibri"/>
                <w:color w:val="000000"/>
                <w:lang w:eastAsia="en-GB"/>
              </w:rPr>
            </w:pPr>
          </w:p>
        </w:tc>
      </w:tr>
      <w:tr w:rsidR="00AF2B30" w:rsidRPr="00AF2B30" w:rsidTr="00AF2B30">
        <w:trPr>
          <w:trHeight w:val="300"/>
        </w:trPr>
        <w:tc>
          <w:tcPr>
            <w:tcW w:w="5244" w:type="dxa"/>
            <w:gridSpan w:val="3"/>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Calibri" w:eastAsia="Times New Roman" w:hAnsi="Calibri" w:cs="Calibri"/>
                <w:color w:val="000000"/>
                <w:lang w:eastAsia="en-GB"/>
              </w:rPr>
            </w:pPr>
            <w:r w:rsidRPr="00AF2B30">
              <w:rPr>
                <w:rFonts w:ascii="Calibri" w:eastAsia="Times New Roman" w:hAnsi="Calibri" w:cs="Calibri"/>
                <w:color w:val="000000"/>
                <w:lang w:eastAsia="en-GB"/>
              </w:rPr>
              <w:t>secondary education in SSA, 2014-2018/lya (%)</w:t>
            </w:r>
          </w:p>
        </w:tc>
        <w:tc>
          <w:tcPr>
            <w:tcW w:w="1664"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Calibri" w:eastAsia="Times New Roman" w:hAnsi="Calibri" w:cs="Calibri"/>
                <w:color w:val="000000"/>
                <w:lang w:eastAsia="en-GB"/>
              </w:rPr>
            </w:pP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single" w:sz="8" w:space="0" w:color="auto"/>
              <w:left w:val="single" w:sz="8" w:space="0" w:color="auto"/>
              <w:bottom w:val="single" w:sz="4" w:space="0" w:color="auto"/>
              <w:right w:val="nil"/>
            </w:tcBorders>
            <w:shd w:val="clear" w:color="000000" w:fill="F2F2F2"/>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&lt;30</w:t>
            </w:r>
          </w:p>
        </w:tc>
        <w:tc>
          <w:tcPr>
            <w:tcW w:w="1793" w:type="dxa"/>
            <w:tcBorders>
              <w:top w:val="single" w:sz="8" w:space="0" w:color="auto"/>
              <w:left w:val="nil"/>
              <w:bottom w:val="single" w:sz="4" w:space="0" w:color="auto"/>
              <w:right w:val="nil"/>
            </w:tcBorders>
            <w:shd w:val="clear" w:color="000000" w:fill="F2F2F2"/>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30-49</w:t>
            </w:r>
          </w:p>
        </w:tc>
        <w:tc>
          <w:tcPr>
            <w:tcW w:w="1738" w:type="dxa"/>
            <w:tcBorders>
              <w:top w:val="single" w:sz="8" w:space="0" w:color="auto"/>
              <w:left w:val="nil"/>
              <w:bottom w:val="single" w:sz="4" w:space="0" w:color="auto"/>
              <w:right w:val="nil"/>
            </w:tcBorders>
            <w:shd w:val="clear" w:color="000000" w:fill="F2F2F2"/>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50-75</w:t>
            </w:r>
          </w:p>
        </w:tc>
        <w:tc>
          <w:tcPr>
            <w:tcW w:w="1664" w:type="dxa"/>
            <w:tcBorders>
              <w:top w:val="single" w:sz="8" w:space="0" w:color="auto"/>
              <w:left w:val="nil"/>
              <w:bottom w:val="single" w:sz="4" w:space="0" w:color="auto"/>
              <w:right w:val="single" w:sz="8" w:space="0" w:color="auto"/>
            </w:tcBorders>
            <w:shd w:val="clear" w:color="000000" w:fill="F2F2F2"/>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75&gt;</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CAR</w:t>
            </w:r>
          </w:p>
        </w:tc>
        <w:tc>
          <w:tcPr>
            <w:tcW w:w="1793" w:type="dxa"/>
            <w:tcBorders>
              <w:top w:val="nil"/>
              <w:left w:val="nil"/>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Ethiopia</w:t>
            </w:r>
          </w:p>
        </w:tc>
        <w:tc>
          <w:tcPr>
            <w:tcW w:w="1738" w:type="dxa"/>
            <w:tcBorders>
              <w:top w:val="nil"/>
              <w:left w:val="nil"/>
              <w:bottom w:val="nil"/>
              <w:right w:val="nil"/>
            </w:tcBorders>
            <w:shd w:val="clear" w:color="000000" w:fill="C6E0B4"/>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Burkina Faso</w:t>
            </w:r>
          </w:p>
        </w:tc>
        <w:tc>
          <w:tcPr>
            <w:tcW w:w="1664" w:type="dxa"/>
            <w:tcBorders>
              <w:top w:val="nil"/>
              <w:left w:val="nil"/>
              <w:bottom w:val="nil"/>
              <w:right w:val="single" w:sz="8" w:space="0" w:color="auto"/>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Angola</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Chad</w:t>
            </w:r>
          </w:p>
        </w:tc>
        <w:tc>
          <w:tcPr>
            <w:tcW w:w="1793" w:type="dxa"/>
            <w:tcBorders>
              <w:top w:val="nil"/>
              <w:left w:val="nil"/>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Guinea</w:t>
            </w:r>
          </w:p>
        </w:tc>
        <w:tc>
          <w:tcPr>
            <w:tcW w:w="1738" w:type="dxa"/>
            <w:tcBorders>
              <w:top w:val="nil"/>
              <w:left w:val="nil"/>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Burundi</w:t>
            </w:r>
          </w:p>
        </w:tc>
        <w:tc>
          <w:tcPr>
            <w:tcW w:w="1664" w:type="dxa"/>
            <w:tcBorders>
              <w:top w:val="nil"/>
              <w:left w:val="nil"/>
              <w:bottom w:val="nil"/>
              <w:right w:val="single" w:sz="8" w:space="0" w:color="auto"/>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Benin</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Somalia</w:t>
            </w:r>
          </w:p>
        </w:tc>
        <w:tc>
          <w:tcPr>
            <w:tcW w:w="1793" w:type="dxa"/>
            <w:tcBorders>
              <w:top w:val="nil"/>
              <w:left w:val="nil"/>
              <w:bottom w:val="nil"/>
              <w:right w:val="nil"/>
            </w:tcBorders>
            <w:shd w:val="clear" w:color="000000" w:fill="FFFF00"/>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Madagascar</w:t>
            </w:r>
          </w:p>
        </w:tc>
        <w:tc>
          <w:tcPr>
            <w:tcW w:w="1738" w:type="dxa"/>
            <w:tcBorders>
              <w:top w:val="nil"/>
              <w:left w:val="nil"/>
              <w:bottom w:val="nil"/>
              <w:right w:val="nil"/>
            </w:tcBorders>
            <w:shd w:val="clear" w:color="000000" w:fill="C6E0B4"/>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Cameroon</w:t>
            </w:r>
          </w:p>
        </w:tc>
        <w:tc>
          <w:tcPr>
            <w:tcW w:w="1664" w:type="dxa"/>
            <w:tcBorders>
              <w:top w:val="nil"/>
              <w:left w:val="nil"/>
              <w:bottom w:val="nil"/>
              <w:right w:val="single" w:sz="8" w:space="0" w:color="auto"/>
            </w:tcBorders>
            <w:shd w:val="clear" w:color="000000" w:fill="D9E1F2"/>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Botswana</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South Sudan</w:t>
            </w:r>
          </w:p>
        </w:tc>
        <w:tc>
          <w:tcPr>
            <w:tcW w:w="1793" w:type="dxa"/>
            <w:tcBorders>
              <w:top w:val="nil"/>
              <w:left w:val="nil"/>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Malawi</w:t>
            </w:r>
          </w:p>
        </w:tc>
        <w:tc>
          <w:tcPr>
            <w:tcW w:w="1738" w:type="dxa"/>
            <w:tcBorders>
              <w:top w:val="nil"/>
              <w:left w:val="nil"/>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Congo</w:t>
            </w:r>
          </w:p>
        </w:tc>
        <w:tc>
          <w:tcPr>
            <w:tcW w:w="1664" w:type="dxa"/>
            <w:tcBorders>
              <w:top w:val="nil"/>
              <w:left w:val="nil"/>
              <w:bottom w:val="nil"/>
              <w:right w:val="single" w:sz="8" w:space="0" w:color="auto"/>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Ghana</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93" w:type="dxa"/>
            <w:tcBorders>
              <w:top w:val="nil"/>
              <w:left w:val="nil"/>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Mozambique</w:t>
            </w:r>
          </w:p>
        </w:tc>
        <w:tc>
          <w:tcPr>
            <w:tcW w:w="1738" w:type="dxa"/>
            <w:tcBorders>
              <w:top w:val="nil"/>
              <w:left w:val="nil"/>
              <w:bottom w:val="nil"/>
              <w:right w:val="nil"/>
            </w:tcBorders>
            <w:shd w:val="clear" w:color="000000" w:fill="C6E0B4"/>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Cote d'Ivoire</w:t>
            </w:r>
          </w:p>
        </w:tc>
        <w:tc>
          <w:tcPr>
            <w:tcW w:w="1664" w:type="dxa"/>
            <w:tcBorders>
              <w:top w:val="nil"/>
              <w:left w:val="nil"/>
              <w:bottom w:val="nil"/>
              <w:right w:val="single" w:sz="8" w:space="0" w:color="auto"/>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Kenya</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93" w:type="dxa"/>
            <w:tcBorders>
              <w:top w:val="nil"/>
              <w:left w:val="nil"/>
              <w:bottom w:val="nil"/>
              <w:right w:val="nil"/>
            </w:tcBorders>
            <w:shd w:val="clear" w:color="000000" w:fill="C6E0B4"/>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Niger</w:t>
            </w:r>
          </w:p>
        </w:tc>
        <w:tc>
          <w:tcPr>
            <w:tcW w:w="1738"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DRC</w:t>
            </w:r>
          </w:p>
        </w:tc>
        <w:tc>
          <w:tcPr>
            <w:tcW w:w="1664" w:type="dxa"/>
            <w:tcBorders>
              <w:top w:val="nil"/>
              <w:left w:val="nil"/>
              <w:bottom w:val="nil"/>
              <w:right w:val="single" w:sz="8" w:space="0" w:color="auto"/>
            </w:tcBorders>
            <w:shd w:val="clear" w:color="000000" w:fill="C6E0B4"/>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Namibia</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93" w:type="dxa"/>
            <w:tcBorders>
              <w:top w:val="nil"/>
              <w:left w:val="nil"/>
              <w:bottom w:val="nil"/>
              <w:right w:val="nil"/>
            </w:tcBorders>
            <w:shd w:val="clear" w:color="000000" w:fill="FFFF00"/>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Nigeria</w:t>
            </w:r>
          </w:p>
        </w:tc>
        <w:tc>
          <w:tcPr>
            <w:tcW w:w="1738" w:type="dxa"/>
            <w:tcBorders>
              <w:top w:val="nil"/>
              <w:left w:val="nil"/>
              <w:bottom w:val="nil"/>
              <w:right w:val="nil"/>
            </w:tcBorders>
            <w:shd w:val="clear" w:color="000000" w:fill="FFFF00"/>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Eritrea</w:t>
            </w:r>
          </w:p>
        </w:tc>
        <w:tc>
          <w:tcPr>
            <w:tcW w:w="1664" w:type="dxa"/>
            <w:tcBorders>
              <w:top w:val="nil"/>
              <w:left w:val="nil"/>
              <w:bottom w:val="nil"/>
              <w:right w:val="single" w:sz="8" w:space="0" w:color="auto"/>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South Africa</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9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Uganda</w:t>
            </w:r>
          </w:p>
        </w:tc>
        <w:tc>
          <w:tcPr>
            <w:tcW w:w="1738" w:type="dxa"/>
            <w:tcBorders>
              <w:top w:val="nil"/>
              <w:left w:val="nil"/>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Gambia</w:t>
            </w:r>
          </w:p>
        </w:tc>
        <w:tc>
          <w:tcPr>
            <w:tcW w:w="1664" w:type="dxa"/>
            <w:tcBorders>
              <w:top w:val="nil"/>
              <w:left w:val="nil"/>
              <w:bottom w:val="nil"/>
              <w:right w:val="single" w:sz="8" w:space="0" w:color="auto"/>
            </w:tcBorders>
            <w:shd w:val="clear" w:color="000000" w:fill="C6E0B4"/>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Swaziland</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93" w:type="dxa"/>
            <w:tcBorders>
              <w:top w:val="nil"/>
              <w:left w:val="nil"/>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Tanzania</w:t>
            </w:r>
          </w:p>
        </w:tc>
        <w:tc>
          <w:tcPr>
            <w:tcW w:w="1738" w:type="dxa"/>
            <w:tcBorders>
              <w:top w:val="nil"/>
              <w:left w:val="nil"/>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Lesotho</w:t>
            </w:r>
          </w:p>
        </w:tc>
        <w:tc>
          <w:tcPr>
            <w:tcW w:w="1664" w:type="dxa"/>
            <w:tcBorders>
              <w:top w:val="nil"/>
              <w:left w:val="nil"/>
              <w:bottom w:val="nil"/>
              <w:right w:val="single" w:sz="8" w:space="0" w:color="auto"/>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Togo</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9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1738" w:type="dxa"/>
            <w:tcBorders>
              <w:top w:val="nil"/>
              <w:left w:val="nil"/>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Liberia</w:t>
            </w:r>
          </w:p>
        </w:tc>
        <w:tc>
          <w:tcPr>
            <w:tcW w:w="1664" w:type="dxa"/>
            <w:tcBorders>
              <w:top w:val="nil"/>
              <w:left w:val="nil"/>
              <w:bottom w:val="nil"/>
              <w:right w:val="single" w:sz="8" w:space="0" w:color="auto"/>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9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1738" w:type="dxa"/>
            <w:tcBorders>
              <w:top w:val="nil"/>
              <w:left w:val="nil"/>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Rwanda</w:t>
            </w:r>
          </w:p>
        </w:tc>
        <w:tc>
          <w:tcPr>
            <w:tcW w:w="1664" w:type="dxa"/>
            <w:tcBorders>
              <w:top w:val="nil"/>
              <w:left w:val="nil"/>
              <w:bottom w:val="nil"/>
              <w:right w:val="single" w:sz="8" w:space="0" w:color="auto"/>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9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1738"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Senegal</w:t>
            </w:r>
          </w:p>
        </w:tc>
        <w:tc>
          <w:tcPr>
            <w:tcW w:w="1664" w:type="dxa"/>
            <w:tcBorders>
              <w:top w:val="nil"/>
              <w:left w:val="nil"/>
              <w:bottom w:val="nil"/>
              <w:right w:val="single" w:sz="8" w:space="0" w:color="auto"/>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9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1738" w:type="dxa"/>
            <w:tcBorders>
              <w:top w:val="nil"/>
              <w:left w:val="nil"/>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Sierra Leone</w:t>
            </w:r>
          </w:p>
        </w:tc>
        <w:tc>
          <w:tcPr>
            <w:tcW w:w="1664" w:type="dxa"/>
            <w:tcBorders>
              <w:top w:val="nil"/>
              <w:left w:val="nil"/>
              <w:bottom w:val="nil"/>
              <w:right w:val="single" w:sz="8" w:space="0" w:color="auto"/>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9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1738" w:type="dxa"/>
            <w:tcBorders>
              <w:top w:val="nil"/>
              <w:left w:val="nil"/>
              <w:bottom w:val="nil"/>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Sudan</w:t>
            </w:r>
          </w:p>
        </w:tc>
        <w:tc>
          <w:tcPr>
            <w:tcW w:w="1664" w:type="dxa"/>
            <w:tcBorders>
              <w:top w:val="nil"/>
              <w:left w:val="nil"/>
              <w:bottom w:val="nil"/>
              <w:right w:val="single" w:sz="8" w:space="0" w:color="auto"/>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9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1738" w:type="dxa"/>
            <w:tcBorders>
              <w:top w:val="nil"/>
              <w:left w:val="nil"/>
              <w:bottom w:val="nil"/>
              <w:right w:val="nil"/>
            </w:tcBorders>
            <w:shd w:val="clear" w:color="000000" w:fill="FFFF00"/>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Zambia</w:t>
            </w:r>
          </w:p>
        </w:tc>
        <w:tc>
          <w:tcPr>
            <w:tcW w:w="1664" w:type="dxa"/>
            <w:tcBorders>
              <w:top w:val="nil"/>
              <w:left w:val="nil"/>
              <w:bottom w:val="nil"/>
              <w:right w:val="single" w:sz="8" w:space="0" w:color="auto"/>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1713" w:type="dxa"/>
            <w:tcBorders>
              <w:top w:val="nil"/>
              <w:left w:val="single" w:sz="8" w:space="0" w:color="auto"/>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9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1738"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Zimbabwe</w:t>
            </w:r>
          </w:p>
        </w:tc>
        <w:tc>
          <w:tcPr>
            <w:tcW w:w="1664" w:type="dxa"/>
            <w:tcBorders>
              <w:top w:val="nil"/>
              <w:left w:val="nil"/>
              <w:bottom w:val="nil"/>
              <w:right w:val="single" w:sz="8" w:space="0" w:color="auto"/>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300"/>
        </w:trPr>
        <w:tc>
          <w:tcPr>
            <w:tcW w:w="1713" w:type="dxa"/>
            <w:tcBorders>
              <w:top w:val="nil"/>
              <w:left w:val="single" w:sz="8" w:space="0" w:color="auto"/>
              <w:bottom w:val="single" w:sz="8" w:space="0" w:color="auto"/>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93" w:type="dxa"/>
            <w:tcBorders>
              <w:top w:val="nil"/>
              <w:left w:val="nil"/>
              <w:bottom w:val="single" w:sz="8" w:space="0" w:color="auto"/>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1738" w:type="dxa"/>
            <w:tcBorders>
              <w:top w:val="nil"/>
              <w:left w:val="nil"/>
              <w:bottom w:val="single" w:sz="8" w:space="0" w:color="auto"/>
              <w:right w:val="nil"/>
            </w:tcBorders>
            <w:shd w:val="clear" w:color="000000" w:fill="BDD7EE"/>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SSA</w:t>
            </w:r>
          </w:p>
        </w:tc>
        <w:tc>
          <w:tcPr>
            <w:tcW w:w="1664" w:type="dxa"/>
            <w:tcBorders>
              <w:top w:val="nil"/>
              <w:left w:val="nil"/>
              <w:bottom w:val="single" w:sz="8" w:space="0" w:color="auto"/>
              <w:right w:val="single" w:sz="8" w:space="0" w:color="auto"/>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r w:rsidRPr="00AF2B30">
              <w:rPr>
                <w:rFonts w:ascii="Calibri" w:eastAsia="Times New Roman" w:hAnsi="Calibri" w:cs="Calibri"/>
                <w:color w:val="000000"/>
                <w:lang w:eastAsia="en-GB"/>
              </w:rPr>
              <w:t> </w:t>
            </w:r>
          </w:p>
        </w:tc>
        <w:tc>
          <w:tcPr>
            <w:tcW w:w="53"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Times New Roman" w:eastAsia="Times New Roman" w:hAnsi="Times New Roman" w:cs="Times New Roman"/>
                <w:sz w:val="20"/>
                <w:szCs w:val="20"/>
                <w:lang w:eastAsia="en-GB"/>
              </w:rPr>
            </w:pPr>
          </w:p>
        </w:tc>
      </w:tr>
      <w:tr w:rsidR="00AF2B30" w:rsidRPr="00AF2B30" w:rsidTr="00AF2B30">
        <w:trPr>
          <w:trHeight w:val="288"/>
        </w:trPr>
        <w:tc>
          <w:tcPr>
            <w:tcW w:w="6961" w:type="dxa"/>
            <w:gridSpan w:val="5"/>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Calibri" w:eastAsia="Times New Roman" w:hAnsi="Calibri" w:cs="Calibri"/>
                <w:color w:val="000000"/>
                <w:lang w:eastAsia="en-GB"/>
              </w:rPr>
            </w:pPr>
            <w:r w:rsidRPr="00AF2B30">
              <w:rPr>
                <w:rFonts w:ascii="Calibri" w:eastAsia="Times New Roman" w:hAnsi="Calibri" w:cs="Calibri"/>
                <w:color w:val="000000"/>
                <w:lang w:eastAsia="en-GB"/>
              </w:rPr>
              <w:t xml:space="preserve">Notes: During the most recent five years for which data is available, </w:t>
            </w:r>
          </w:p>
        </w:tc>
        <w:tc>
          <w:tcPr>
            <w:tcW w:w="960" w:type="dxa"/>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Calibri" w:eastAsia="Times New Roman" w:hAnsi="Calibri" w:cs="Calibri"/>
                <w:color w:val="000000"/>
                <w:lang w:eastAsia="en-GB"/>
              </w:rPr>
            </w:pPr>
          </w:p>
        </w:tc>
      </w:tr>
      <w:tr w:rsidR="00AF2B30" w:rsidRPr="00AF2B30" w:rsidTr="00AF2B30">
        <w:trPr>
          <w:trHeight w:val="288"/>
        </w:trPr>
        <w:tc>
          <w:tcPr>
            <w:tcW w:w="7921" w:type="dxa"/>
            <w:gridSpan w:val="6"/>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Calibri" w:eastAsia="Times New Roman" w:hAnsi="Calibri" w:cs="Calibri"/>
                <w:color w:val="000000"/>
                <w:lang w:eastAsia="en-GB"/>
              </w:rPr>
            </w:pPr>
            <w:r w:rsidRPr="00AF2B30">
              <w:rPr>
                <w:rFonts w:ascii="Calibri" w:eastAsia="Times New Roman" w:hAnsi="Calibri" w:cs="Calibri"/>
                <w:color w:val="000000"/>
                <w:lang w:eastAsia="en-GB"/>
              </w:rPr>
              <w:t xml:space="preserve">blue countries &lt;5pp increase in GER (stagnant growth), yellow countries &gt;5pp decrease, </w:t>
            </w:r>
          </w:p>
        </w:tc>
      </w:tr>
      <w:tr w:rsidR="00AF2B30" w:rsidRPr="00AF2B30" w:rsidTr="00AF2B30">
        <w:trPr>
          <w:trHeight w:val="288"/>
        </w:trPr>
        <w:tc>
          <w:tcPr>
            <w:tcW w:w="7921" w:type="dxa"/>
            <w:gridSpan w:val="6"/>
            <w:tcBorders>
              <w:top w:val="nil"/>
              <w:left w:val="nil"/>
              <w:bottom w:val="nil"/>
              <w:right w:val="nil"/>
            </w:tcBorders>
            <w:shd w:val="clear" w:color="auto" w:fill="auto"/>
            <w:noWrap/>
            <w:vAlign w:val="bottom"/>
            <w:hideMark/>
          </w:tcPr>
          <w:p w:rsidR="00AF2B30" w:rsidRPr="00AF2B30" w:rsidRDefault="00AF2B30" w:rsidP="00AF2B30">
            <w:pPr>
              <w:spacing w:after="0" w:line="240" w:lineRule="auto"/>
              <w:rPr>
                <w:rFonts w:ascii="Calibri" w:eastAsia="Times New Roman" w:hAnsi="Calibri" w:cs="Calibri"/>
                <w:color w:val="000000"/>
                <w:lang w:eastAsia="en-GB"/>
              </w:rPr>
            </w:pPr>
            <w:r w:rsidRPr="00AF2B30">
              <w:rPr>
                <w:rFonts w:ascii="Calibri" w:eastAsia="Times New Roman" w:hAnsi="Calibri" w:cs="Calibri"/>
                <w:color w:val="000000"/>
                <w:lang w:eastAsia="en-GB"/>
              </w:rPr>
              <w:t xml:space="preserve">and green countries&gt;5pp increase. No colour cell countries have insufficient data. </w:t>
            </w:r>
          </w:p>
        </w:tc>
      </w:tr>
    </w:tbl>
    <w:p w:rsidR="00AF2B30" w:rsidRDefault="00AF2B30" w:rsidP="00720162">
      <w:pPr>
        <w:jc w:val="both"/>
        <w:rPr>
          <w:rFonts w:asciiTheme="majorHAnsi" w:hAnsiTheme="majorHAnsi" w:cstheme="majorHAnsi"/>
          <w:sz w:val="28"/>
          <w:szCs w:val="28"/>
        </w:rPr>
      </w:pPr>
    </w:p>
    <w:p w:rsidR="005C725F" w:rsidRDefault="00720162" w:rsidP="005C725F">
      <w:pPr>
        <w:jc w:val="both"/>
        <w:rPr>
          <w:rFonts w:asciiTheme="majorHAnsi" w:hAnsiTheme="majorHAnsi" w:cstheme="majorHAnsi"/>
          <w:sz w:val="28"/>
          <w:szCs w:val="28"/>
        </w:rPr>
      </w:pPr>
      <w:r w:rsidRPr="00327B3A">
        <w:rPr>
          <w:rFonts w:asciiTheme="majorHAnsi" w:hAnsiTheme="majorHAnsi" w:cstheme="majorHAnsi"/>
          <w:sz w:val="28"/>
          <w:szCs w:val="28"/>
        </w:rPr>
        <w:t xml:space="preserve">In many ways, relying on overall secondary education enrolment and completion rates for the continent as a whole is fairly meaningless given the </w:t>
      </w:r>
      <w:r w:rsidR="005318B9">
        <w:rPr>
          <w:rFonts w:asciiTheme="majorHAnsi" w:hAnsiTheme="majorHAnsi" w:cstheme="majorHAnsi"/>
          <w:sz w:val="28"/>
          <w:szCs w:val="28"/>
        </w:rPr>
        <w:t xml:space="preserve">very large </w:t>
      </w:r>
      <w:r w:rsidRPr="00327B3A">
        <w:rPr>
          <w:rFonts w:asciiTheme="majorHAnsi" w:hAnsiTheme="majorHAnsi" w:cstheme="majorHAnsi"/>
          <w:sz w:val="28"/>
          <w:szCs w:val="28"/>
        </w:rPr>
        <w:t xml:space="preserve">disparities between and within countries. </w:t>
      </w:r>
      <w:r w:rsidR="000C4FAF" w:rsidRPr="00327B3A">
        <w:rPr>
          <w:rFonts w:asciiTheme="majorHAnsi" w:hAnsiTheme="majorHAnsi" w:cstheme="majorHAnsi"/>
          <w:sz w:val="28"/>
          <w:szCs w:val="28"/>
        </w:rPr>
        <w:t xml:space="preserve">Tables </w:t>
      </w:r>
      <w:r w:rsidR="00390D0B">
        <w:rPr>
          <w:rFonts w:asciiTheme="majorHAnsi" w:hAnsiTheme="majorHAnsi" w:cstheme="majorHAnsi"/>
          <w:sz w:val="28"/>
          <w:szCs w:val="28"/>
        </w:rPr>
        <w:t>1</w:t>
      </w:r>
      <w:r w:rsidR="000C4FAF" w:rsidRPr="00327B3A">
        <w:rPr>
          <w:rFonts w:asciiTheme="majorHAnsi" w:hAnsiTheme="majorHAnsi" w:cstheme="majorHAnsi"/>
          <w:sz w:val="28"/>
          <w:szCs w:val="28"/>
        </w:rPr>
        <w:t xml:space="preserve"> and </w:t>
      </w:r>
      <w:r w:rsidR="00390D0B">
        <w:rPr>
          <w:rFonts w:asciiTheme="majorHAnsi" w:hAnsiTheme="majorHAnsi" w:cstheme="majorHAnsi"/>
          <w:sz w:val="28"/>
          <w:szCs w:val="28"/>
        </w:rPr>
        <w:t>2</w:t>
      </w:r>
      <w:r w:rsidRPr="00327B3A">
        <w:rPr>
          <w:rFonts w:asciiTheme="majorHAnsi" w:hAnsiTheme="majorHAnsi" w:cstheme="majorHAnsi"/>
          <w:sz w:val="28"/>
          <w:szCs w:val="28"/>
        </w:rPr>
        <w:t xml:space="preserve"> show the country breakdown of gross enrolment rates for lower and upper secondary education r</w:t>
      </w:r>
      <w:r w:rsidR="00535FA8">
        <w:rPr>
          <w:rFonts w:asciiTheme="majorHAnsi" w:hAnsiTheme="majorHAnsi" w:cstheme="majorHAnsi"/>
          <w:sz w:val="28"/>
          <w:szCs w:val="28"/>
        </w:rPr>
        <w:t xml:space="preserve">espectively. It is </w:t>
      </w:r>
      <w:r w:rsidRPr="00327B3A">
        <w:rPr>
          <w:rFonts w:asciiTheme="majorHAnsi" w:hAnsiTheme="majorHAnsi" w:cstheme="majorHAnsi"/>
          <w:sz w:val="28"/>
          <w:szCs w:val="28"/>
        </w:rPr>
        <w:t>noticeable that GERs for lower secondary</w:t>
      </w:r>
      <w:r w:rsidR="005C725F">
        <w:rPr>
          <w:rFonts w:asciiTheme="majorHAnsi" w:hAnsiTheme="majorHAnsi" w:cstheme="majorHAnsi"/>
          <w:sz w:val="28"/>
          <w:szCs w:val="28"/>
        </w:rPr>
        <w:t xml:space="preserve"> </w:t>
      </w:r>
      <w:r w:rsidR="00535FA8">
        <w:rPr>
          <w:rFonts w:asciiTheme="majorHAnsi" w:hAnsiTheme="majorHAnsi" w:cstheme="majorHAnsi"/>
          <w:sz w:val="28"/>
          <w:szCs w:val="28"/>
        </w:rPr>
        <w:t>schooling</w:t>
      </w:r>
      <w:r w:rsidR="005C725F" w:rsidRPr="00327B3A">
        <w:rPr>
          <w:rFonts w:asciiTheme="majorHAnsi" w:hAnsiTheme="majorHAnsi" w:cstheme="majorHAnsi"/>
          <w:sz w:val="28"/>
          <w:szCs w:val="28"/>
        </w:rPr>
        <w:t xml:space="preserve"> are still less than 50% for one-third of countries in SSA and that, for upper secondary schooling, nearly 40% of countries have GERs of less than 30%. </w:t>
      </w:r>
    </w:p>
    <w:tbl>
      <w:tblPr>
        <w:tblW w:w="10280" w:type="dxa"/>
        <w:tblLook w:val="04A0" w:firstRow="1" w:lastRow="0" w:firstColumn="1" w:lastColumn="0" w:noHBand="0" w:noVBand="1"/>
      </w:tblPr>
      <w:tblGrid>
        <w:gridCol w:w="1811"/>
        <w:gridCol w:w="1658"/>
        <w:gridCol w:w="1711"/>
        <w:gridCol w:w="1362"/>
        <w:gridCol w:w="1287"/>
        <w:gridCol w:w="864"/>
        <w:gridCol w:w="1587"/>
      </w:tblGrid>
      <w:tr w:rsidR="004B197D" w:rsidRPr="004B197D" w:rsidTr="004B197D">
        <w:trPr>
          <w:trHeight w:val="300"/>
        </w:trPr>
        <w:tc>
          <w:tcPr>
            <w:tcW w:w="10280" w:type="dxa"/>
            <w:gridSpan w:val="7"/>
            <w:tcBorders>
              <w:top w:val="nil"/>
              <w:left w:val="nil"/>
              <w:bottom w:val="nil"/>
              <w:right w:val="nil"/>
            </w:tcBorders>
            <w:shd w:val="clear" w:color="auto" w:fill="auto"/>
            <w:noWrap/>
            <w:vAlign w:val="bottom"/>
            <w:hideMark/>
          </w:tcPr>
          <w:p w:rsidR="004B197D" w:rsidRPr="004B197D" w:rsidRDefault="004B197D" w:rsidP="004B197D">
            <w:pPr>
              <w:spacing w:after="0" w:line="240" w:lineRule="auto"/>
              <w:rPr>
                <w:rFonts w:ascii="Calibri" w:eastAsia="Times New Roman" w:hAnsi="Calibri" w:cs="Calibri"/>
                <w:color w:val="000000"/>
                <w:lang w:eastAsia="en-GB"/>
              </w:rPr>
            </w:pPr>
            <w:r w:rsidRPr="004B197D">
              <w:rPr>
                <w:rFonts w:ascii="Calibri" w:eastAsia="Times New Roman" w:hAnsi="Calibri" w:cs="Calibri"/>
                <w:color w:val="000000"/>
                <w:lang w:eastAsia="en-GB"/>
              </w:rPr>
              <w:lastRenderedPageBreak/>
              <w:t xml:space="preserve">Table 2: Level and trend in gross enrolment rates for upper secondary education in SSA, 2014-2018/lya (%) </w:t>
            </w:r>
          </w:p>
        </w:tc>
      </w:tr>
      <w:tr w:rsidR="004B197D" w:rsidRPr="004B197D" w:rsidTr="004B197D">
        <w:trPr>
          <w:trHeight w:val="288"/>
        </w:trPr>
        <w:tc>
          <w:tcPr>
            <w:tcW w:w="1811" w:type="dxa"/>
            <w:tcBorders>
              <w:top w:val="single" w:sz="8" w:space="0" w:color="auto"/>
              <w:left w:val="single" w:sz="8" w:space="0" w:color="auto"/>
              <w:bottom w:val="single" w:sz="4" w:space="0" w:color="auto"/>
              <w:right w:val="nil"/>
            </w:tcBorders>
            <w:shd w:val="clear" w:color="000000" w:fill="F2F2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&lt;20</w:t>
            </w:r>
          </w:p>
        </w:tc>
        <w:tc>
          <w:tcPr>
            <w:tcW w:w="1658" w:type="dxa"/>
            <w:tcBorders>
              <w:top w:val="single" w:sz="8" w:space="0" w:color="auto"/>
              <w:left w:val="nil"/>
              <w:bottom w:val="single" w:sz="4" w:space="0" w:color="auto"/>
              <w:right w:val="nil"/>
            </w:tcBorders>
            <w:shd w:val="clear" w:color="000000" w:fill="F2F2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20-29</w:t>
            </w:r>
          </w:p>
        </w:tc>
        <w:tc>
          <w:tcPr>
            <w:tcW w:w="1711" w:type="dxa"/>
            <w:tcBorders>
              <w:top w:val="single" w:sz="8" w:space="0" w:color="auto"/>
              <w:left w:val="nil"/>
              <w:bottom w:val="single" w:sz="4" w:space="0" w:color="auto"/>
              <w:right w:val="nil"/>
            </w:tcBorders>
            <w:shd w:val="clear" w:color="000000" w:fill="F2F2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30-39</w:t>
            </w:r>
          </w:p>
        </w:tc>
        <w:tc>
          <w:tcPr>
            <w:tcW w:w="1362" w:type="dxa"/>
            <w:tcBorders>
              <w:top w:val="single" w:sz="8" w:space="0" w:color="auto"/>
              <w:left w:val="nil"/>
              <w:bottom w:val="single" w:sz="4" w:space="0" w:color="auto"/>
              <w:right w:val="nil"/>
            </w:tcBorders>
            <w:shd w:val="clear" w:color="000000" w:fill="F2F2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40-49</w:t>
            </w:r>
          </w:p>
        </w:tc>
        <w:tc>
          <w:tcPr>
            <w:tcW w:w="1287" w:type="dxa"/>
            <w:tcBorders>
              <w:top w:val="single" w:sz="8" w:space="0" w:color="auto"/>
              <w:left w:val="nil"/>
              <w:bottom w:val="single" w:sz="4" w:space="0" w:color="auto"/>
              <w:right w:val="nil"/>
            </w:tcBorders>
            <w:shd w:val="clear" w:color="000000" w:fill="F2F2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50-59</w:t>
            </w:r>
          </w:p>
        </w:tc>
        <w:tc>
          <w:tcPr>
            <w:tcW w:w="864" w:type="dxa"/>
            <w:tcBorders>
              <w:top w:val="single" w:sz="8" w:space="0" w:color="auto"/>
              <w:left w:val="nil"/>
              <w:bottom w:val="single" w:sz="4" w:space="0" w:color="auto"/>
              <w:right w:val="nil"/>
            </w:tcBorders>
            <w:shd w:val="clear" w:color="000000" w:fill="F2F2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60-69</w:t>
            </w:r>
          </w:p>
        </w:tc>
        <w:tc>
          <w:tcPr>
            <w:tcW w:w="1587" w:type="dxa"/>
            <w:tcBorders>
              <w:top w:val="single" w:sz="8" w:space="0" w:color="auto"/>
              <w:left w:val="nil"/>
              <w:bottom w:val="single" w:sz="4" w:space="0" w:color="auto"/>
              <w:right w:val="single" w:sz="8" w:space="0" w:color="auto"/>
            </w:tcBorders>
            <w:shd w:val="clear" w:color="000000" w:fill="F2F2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70&gt;</w:t>
            </w:r>
          </w:p>
        </w:tc>
      </w:tr>
      <w:tr w:rsidR="004B197D" w:rsidRPr="004B197D" w:rsidTr="004B197D">
        <w:trPr>
          <w:trHeight w:val="288"/>
        </w:trPr>
        <w:tc>
          <w:tcPr>
            <w:tcW w:w="1811" w:type="dxa"/>
            <w:tcBorders>
              <w:top w:val="nil"/>
              <w:left w:val="single" w:sz="8" w:space="0" w:color="auto"/>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CAR</w:t>
            </w:r>
          </w:p>
        </w:tc>
        <w:tc>
          <w:tcPr>
            <w:tcW w:w="1658" w:type="dxa"/>
            <w:tcBorders>
              <w:top w:val="nil"/>
              <w:left w:val="nil"/>
              <w:bottom w:val="nil"/>
              <w:right w:val="nil"/>
            </w:tcBorders>
            <w:shd w:val="clear" w:color="000000" w:fill="C6E0B4"/>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Angola</w:t>
            </w:r>
          </w:p>
        </w:tc>
        <w:tc>
          <w:tcPr>
            <w:tcW w:w="1711" w:type="dxa"/>
            <w:tcBorders>
              <w:top w:val="nil"/>
              <w:left w:val="nil"/>
              <w:bottom w:val="nil"/>
              <w:right w:val="nil"/>
            </w:tcBorders>
            <w:shd w:val="clear" w:color="000000" w:fill="C6E0B4"/>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Benin</w:t>
            </w:r>
          </w:p>
        </w:tc>
        <w:tc>
          <w:tcPr>
            <w:tcW w:w="1362" w:type="dxa"/>
            <w:tcBorders>
              <w:top w:val="nil"/>
              <w:left w:val="nil"/>
              <w:bottom w:val="nil"/>
              <w:right w:val="nil"/>
            </w:tcBorders>
            <w:shd w:val="clear" w:color="000000" w:fill="C6E0B4"/>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Burundi</w:t>
            </w:r>
          </w:p>
        </w:tc>
        <w:tc>
          <w:tcPr>
            <w:tcW w:w="1287" w:type="dxa"/>
            <w:tcBorders>
              <w:top w:val="nil"/>
              <w:left w:val="nil"/>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Botswana</w:t>
            </w:r>
          </w:p>
        </w:tc>
        <w:tc>
          <w:tcPr>
            <w:tcW w:w="864" w:type="dxa"/>
            <w:tcBorders>
              <w:top w:val="nil"/>
              <w:left w:val="nil"/>
              <w:bottom w:val="nil"/>
              <w:right w:val="nil"/>
            </w:tcBorders>
            <w:shd w:val="clear" w:color="000000" w:fill="C6E0B4"/>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Ghana</w:t>
            </w:r>
          </w:p>
        </w:tc>
        <w:tc>
          <w:tcPr>
            <w:tcW w:w="1587" w:type="dxa"/>
            <w:tcBorders>
              <w:top w:val="nil"/>
              <w:left w:val="nil"/>
              <w:bottom w:val="nil"/>
              <w:right w:val="single" w:sz="8" w:space="0" w:color="auto"/>
            </w:tcBorders>
            <w:shd w:val="clear" w:color="000000" w:fill="FFFF00"/>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South Africa</w:t>
            </w:r>
          </w:p>
        </w:tc>
      </w:tr>
      <w:tr w:rsidR="004B197D" w:rsidRPr="004B197D" w:rsidTr="004B197D">
        <w:trPr>
          <w:trHeight w:val="288"/>
        </w:trPr>
        <w:tc>
          <w:tcPr>
            <w:tcW w:w="1811" w:type="dxa"/>
            <w:tcBorders>
              <w:top w:val="nil"/>
              <w:left w:val="single" w:sz="8" w:space="0" w:color="auto"/>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Chad</w:t>
            </w:r>
          </w:p>
        </w:tc>
        <w:tc>
          <w:tcPr>
            <w:tcW w:w="1658" w:type="dxa"/>
            <w:tcBorders>
              <w:top w:val="nil"/>
              <w:left w:val="nil"/>
              <w:bottom w:val="nil"/>
              <w:right w:val="nil"/>
            </w:tcBorders>
            <w:shd w:val="clear" w:color="000000" w:fill="C6E0B4"/>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Burkina Faso</w:t>
            </w:r>
          </w:p>
        </w:tc>
        <w:tc>
          <w:tcPr>
            <w:tcW w:w="1711"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Congo</w:t>
            </w:r>
          </w:p>
        </w:tc>
        <w:tc>
          <w:tcPr>
            <w:tcW w:w="1362" w:type="dxa"/>
            <w:tcBorders>
              <w:top w:val="nil"/>
              <w:left w:val="nil"/>
              <w:bottom w:val="nil"/>
              <w:right w:val="nil"/>
            </w:tcBorders>
            <w:shd w:val="clear" w:color="000000" w:fill="C6E0B4"/>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Cameroon</w:t>
            </w:r>
          </w:p>
        </w:tc>
        <w:tc>
          <w:tcPr>
            <w:tcW w:w="12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1587" w:type="dxa"/>
            <w:tcBorders>
              <w:top w:val="nil"/>
              <w:left w:val="nil"/>
              <w:bottom w:val="nil"/>
              <w:right w:val="single" w:sz="8" w:space="0" w:color="auto"/>
            </w:tcBorders>
            <w:shd w:val="clear" w:color="000000" w:fill="C6E0B4"/>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Swaziland</w:t>
            </w:r>
          </w:p>
        </w:tc>
      </w:tr>
      <w:tr w:rsidR="004B197D" w:rsidRPr="004B197D" w:rsidTr="004B197D">
        <w:trPr>
          <w:trHeight w:val="288"/>
        </w:trPr>
        <w:tc>
          <w:tcPr>
            <w:tcW w:w="1811" w:type="dxa"/>
            <w:tcBorders>
              <w:top w:val="nil"/>
              <w:left w:val="single" w:sz="8" w:space="0" w:color="auto"/>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Ethiopia</w:t>
            </w:r>
          </w:p>
        </w:tc>
        <w:tc>
          <w:tcPr>
            <w:tcW w:w="1658" w:type="dxa"/>
            <w:tcBorders>
              <w:top w:val="nil"/>
              <w:left w:val="nil"/>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Madagascar</w:t>
            </w:r>
          </w:p>
        </w:tc>
        <w:tc>
          <w:tcPr>
            <w:tcW w:w="1711" w:type="dxa"/>
            <w:tcBorders>
              <w:top w:val="nil"/>
              <w:left w:val="nil"/>
              <w:bottom w:val="nil"/>
              <w:right w:val="nil"/>
            </w:tcBorders>
            <w:shd w:val="clear" w:color="000000" w:fill="C6E0B4"/>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Cote d'Ivoire</w:t>
            </w:r>
          </w:p>
        </w:tc>
        <w:tc>
          <w:tcPr>
            <w:tcW w:w="1362" w:type="dxa"/>
            <w:tcBorders>
              <w:top w:val="nil"/>
              <w:left w:val="nil"/>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Gambia</w:t>
            </w:r>
          </w:p>
        </w:tc>
        <w:tc>
          <w:tcPr>
            <w:tcW w:w="12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1587" w:type="dxa"/>
            <w:tcBorders>
              <w:top w:val="nil"/>
              <w:left w:val="nil"/>
              <w:bottom w:val="nil"/>
              <w:right w:val="single" w:sz="8" w:space="0" w:color="auto"/>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r>
      <w:tr w:rsidR="004B197D" w:rsidRPr="004B197D" w:rsidTr="004B197D">
        <w:trPr>
          <w:trHeight w:val="288"/>
        </w:trPr>
        <w:tc>
          <w:tcPr>
            <w:tcW w:w="1811" w:type="dxa"/>
            <w:tcBorders>
              <w:top w:val="nil"/>
              <w:left w:val="single" w:sz="8" w:space="0" w:color="auto"/>
              <w:bottom w:val="nil"/>
              <w:right w:val="nil"/>
            </w:tcBorders>
            <w:shd w:val="clear" w:color="000000" w:fill="D6DCE4"/>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Guinea Bissau</w:t>
            </w:r>
          </w:p>
        </w:tc>
        <w:tc>
          <w:tcPr>
            <w:tcW w:w="1658" w:type="dxa"/>
            <w:tcBorders>
              <w:top w:val="nil"/>
              <w:left w:val="nil"/>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Malawi</w:t>
            </w:r>
          </w:p>
        </w:tc>
        <w:tc>
          <w:tcPr>
            <w:tcW w:w="1711" w:type="dxa"/>
            <w:tcBorders>
              <w:top w:val="nil"/>
              <w:left w:val="nil"/>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DRC</w:t>
            </w:r>
          </w:p>
        </w:tc>
        <w:tc>
          <w:tcPr>
            <w:tcW w:w="1362" w:type="dxa"/>
            <w:tcBorders>
              <w:top w:val="nil"/>
              <w:left w:val="nil"/>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Lesotho</w:t>
            </w:r>
          </w:p>
        </w:tc>
        <w:tc>
          <w:tcPr>
            <w:tcW w:w="12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1587" w:type="dxa"/>
            <w:tcBorders>
              <w:top w:val="nil"/>
              <w:left w:val="nil"/>
              <w:bottom w:val="nil"/>
              <w:right w:val="single" w:sz="8" w:space="0" w:color="auto"/>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r>
      <w:tr w:rsidR="004B197D" w:rsidRPr="004B197D" w:rsidTr="004B197D">
        <w:trPr>
          <w:trHeight w:val="288"/>
        </w:trPr>
        <w:tc>
          <w:tcPr>
            <w:tcW w:w="1811" w:type="dxa"/>
            <w:tcBorders>
              <w:top w:val="nil"/>
              <w:left w:val="single" w:sz="8" w:space="0" w:color="auto"/>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Niger</w:t>
            </w:r>
          </w:p>
        </w:tc>
        <w:tc>
          <w:tcPr>
            <w:tcW w:w="1658" w:type="dxa"/>
            <w:tcBorders>
              <w:top w:val="nil"/>
              <w:left w:val="nil"/>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Mali</w:t>
            </w:r>
          </w:p>
        </w:tc>
        <w:tc>
          <w:tcPr>
            <w:tcW w:w="1711" w:type="dxa"/>
            <w:tcBorders>
              <w:top w:val="nil"/>
              <w:left w:val="nil"/>
              <w:bottom w:val="nil"/>
              <w:right w:val="nil"/>
            </w:tcBorders>
            <w:shd w:val="clear" w:color="000000" w:fill="FFFF00"/>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Eritrea</w:t>
            </w:r>
          </w:p>
        </w:tc>
        <w:tc>
          <w:tcPr>
            <w:tcW w:w="1362" w:type="dxa"/>
            <w:tcBorders>
              <w:top w:val="nil"/>
              <w:left w:val="nil"/>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Zimbabwe</w:t>
            </w:r>
          </w:p>
        </w:tc>
        <w:tc>
          <w:tcPr>
            <w:tcW w:w="12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1587" w:type="dxa"/>
            <w:tcBorders>
              <w:top w:val="nil"/>
              <w:left w:val="nil"/>
              <w:bottom w:val="nil"/>
              <w:right w:val="single" w:sz="8" w:space="0" w:color="auto"/>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r>
      <w:tr w:rsidR="004B197D" w:rsidRPr="004B197D" w:rsidTr="004B197D">
        <w:trPr>
          <w:trHeight w:val="288"/>
        </w:trPr>
        <w:tc>
          <w:tcPr>
            <w:tcW w:w="1811" w:type="dxa"/>
            <w:tcBorders>
              <w:top w:val="nil"/>
              <w:left w:val="single" w:sz="8" w:space="0" w:color="auto"/>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Somalia</w:t>
            </w:r>
          </w:p>
        </w:tc>
        <w:tc>
          <w:tcPr>
            <w:tcW w:w="1658"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711" w:type="dxa"/>
            <w:tcBorders>
              <w:top w:val="nil"/>
              <w:left w:val="nil"/>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Guinea</w:t>
            </w:r>
          </w:p>
        </w:tc>
        <w:tc>
          <w:tcPr>
            <w:tcW w:w="1362"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2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1587" w:type="dxa"/>
            <w:tcBorders>
              <w:top w:val="nil"/>
              <w:left w:val="nil"/>
              <w:bottom w:val="nil"/>
              <w:right w:val="single" w:sz="8" w:space="0" w:color="auto"/>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r>
      <w:tr w:rsidR="004B197D" w:rsidRPr="004B197D" w:rsidTr="004B197D">
        <w:trPr>
          <w:trHeight w:val="288"/>
        </w:trPr>
        <w:tc>
          <w:tcPr>
            <w:tcW w:w="1811" w:type="dxa"/>
            <w:tcBorders>
              <w:top w:val="nil"/>
              <w:left w:val="single" w:sz="8" w:space="0" w:color="auto"/>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South Sudan</w:t>
            </w:r>
          </w:p>
        </w:tc>
        <w:tc>
          <w:tcPr>
            <w:tcW w:w="1658"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711"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Liberia</w:t>
            </w:r>
          </w:p>
        </w:tc>
        <w:tc>
          <w:tcPr>
            <w:tcW w:w="1362"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2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1587" w:type="dxa"/>
            <w:tcBorders>
              <w:top w:val="nil"/>
              <w:left w:val="nil"/>
              <w:bottom w:val="nil"/>
              <w:right w:val="single" w:sz="8" w:space="0" w:color="auto"/>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r>
      <w:tr w:rsidR="004B197D" w:rsidRPr="004B197D" w:rsidTr="004B197D">
        <w:trPr>
          <w:trHeight w:val="288"/>
        </w:trPr>
        <w:tc>
          <w:tcPr>
            <w:tcW w:w="1811" w:type="dxa"/>
            <w:tcBorders>
              <w:top w:val="nil"/>
              <w:left w:val="single" w:sz="8" w:space="0" w:color="auto"/>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Uganda</w:t>
            </w:r>
          </w:p>
        </w:tc>
        <w:tc>
          <w:tcPr>
            <w:tcW w:w="1658"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711" w:type="dxa"/>
            <w:tcBorders>
              <w:top w:val="nil"/>
              <w:left w:val="nil"/>
              <w:bottom w:val="nil"/>
              <w:right w:val="nil"/>
            </w:tcBorders>
            <w:shd w:val="clear" w:color="000000" w:fill="C6E0B4"/>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Mozambique</w:t>
            </w:r>
          </w:p>
        </w:tc>
        <w:tc>
          <w:tcPr>
            <w:tcW w:w="1362"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2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1587" w:type="dxa"/>
            <w:tcBorders>
              <w:top w:val="nil"/>
              <w:left w:val="nil"/>
              <w:bottom w:val="nil"/>
              <w:right w:val="single" w:sz="8" w:space="0" w:color="auto"/>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r>
      <w:tr w:rsidR="004B197D" w:rsidRPr="004B197D" w:rsidTr="004B197D">
        <w:trPr>
          <w:trHeight w:val="288"/>
        </w:trPr>
        <w:tc>
          <w:tcPr>
            <w:tcW w:w="1811" w:type="dxa"/>
            <w:tcBorders>
              <w:top w:val="nil"/>
              <w:left w:val="single" w:sz="8" w:space="0" w:color="auto"/>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Tanzania</w:t>
            </w:r>
          </w:p>
        </w:tc>
        <w:tc>
          <w:tcPr>
            <w:tcW w:w="1658"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711"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Namibia</w:t>
            </w:r>
          </w:p>
        </w:tc>
        <w:tc>
          <w:tcPr>
            <w:tcW w:w="1362"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2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1587" w:type="dxa"/>
            <w:tcBorders>
              <w:top w:val="nil"/>
              <w:left w:val="nil"/>
              <w:bottom w:val="nil"/>
              <w:right w:val="single" w:sz="8" w:space="0" w:color="auto"/>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r>
      <w:tr w:rsidR="004B197D" w:rsidRPr="004B197D" w:rsidTr="004B197D">
        <w:trPr>
          <w:trHeight w:val="288"/>
        </w:trPr>
        <w:tc>
          <w:tcPr>
            <w:tcW w:w="1811" w:type="dxa"/>
            <w:tcBorders>
              <w:top w:val="nil"/>
              <w:left w:val="single" w:sz="8" w:space="0" w:color="auto"/>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c>
          <w:tcPr>
            <w:tcW w:w="1658"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711" w:type="dxa"/>
            <w:tcBorders>
              <w:top w:val="nil"/>
              <w:left w:val="nil"/>
              <w:bottom w:val="nil"/>
              <w:right w:val="nil"/>
            </w:tcBorders>
            <w:shd w:val="clear" w:color="000000" w:fill="FFFF00"/>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Nigeria</w:t>
            </w:r>
          </w:p>
        </w:tc>
        <w:tc>
          <w:tcPr>
            <w:tcW w:w="1362"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2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1587" w:type="dxa"/>
            <w:tcBorders>
              <w:top w:val="nil"/>
              <w:left w:val="nil"/>
              <w:bottom w:val="nil"/>
              <w:right w:val="single" w:sz="8" w:space="0" w:color="auto"/>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r>
      <w:tr w:rsidR="004B197D" w:rsidRPr="004B197D" w:rsidTr="004B197D">
        <w:trPr>
          <w:trHeight w:val="288"/>
        </w:trPr>
        <w:tc>
          <w:tcPr>
            <w:tcW w:w="1811" w:type="dxa"/>
            <w:tcBorders>
              <w:top w:val="nil"/>
              <w:left w:val="single" w:sz="8" w:space="0" w:color="auto"/>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c>
          <w:tcPr>
            <w:tcW w:w="1658"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711" w:type="dxa"/>
            <w:tcBorders>
              <w:top w:val="nil"/>
              <w:left w:val="nil"/>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Rwanda</w:t>
            </w:r>
          </w:p>
        </w:tc>
        <w:tc>
          <w:tcPr>
            <w:tcW w:w="1362"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2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1587" w:type="dxa"/>
            <w:tcBorders>
              <w:top w:val="nil"/>
              <w:left w:val="nil"/>
              <w:bottom w:val="nil"/>
              <w:right w:val="single" w:sz="8" w:space="0" w:color="auto"/>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r>
      <w:tr w:rsidR="004B197D" w:rsidRPr="004B197D" w:rsidTr="004B197D">
        <w:trPr>
          <w:trHeight w:val="288"/>
        </w:trPr>
        <w:tc>
          <w:tcPr>
            <w:tcW w:w="1811" w:type="dxa"/>
            <w:tcBorders>
              <w:top w:val="nil"/>
              <w:left w:val="single" w:sz="8" w:space="0" w:color="auto"/>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c>
          <w:tcPr>
            <w:tcW w:w="1658"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711" w:type="dxa"/>
            <w:tcBorders>
              <w:top w:val="nil"/>
              <w:left w:val="nil"/>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Senegal</w:t>
            </w:r>
          </w:p>
        </w:tc>
        <w:tc>
          <w:tcPr>
            <w:tcW w:w="1362"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2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1587" w:type="dxa"/>
            <w:tcBorders>
              <w:top w:val="nil"/>
              <w:left w:val="nil"/>
              <w:bottom w:val="nil"/>
              <w:right w:val="single" w:sz="8" w:space="0" w:color="auto"/>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r>
      <w:tr w:rsidR="004B197D" w:rsidRPr="004B197D" w:rsidTr="004B197D">
        <w:trPr>
          <w:trHeight w:val="288"/>
        </w:trPr>
        <w:tc>
          <w:tcPr>
            <w:tcW w:w="1811" w:type="dxa"/>
            <w:tcBorders>
              <w:top w:val="nil"/>
              <w:left w:val="single" w:sz="8" w:space="0" w:color="auto"/>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c>
          <w:tcPr>
            <w:tcW w:w="1658"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711" w:type="dxa"/>
            <w:tcBorders>
              <w:top w:val="nil"/>
              <w:left w:val="nil"/>
              <w:bottom w:val="nil"/>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Sudan</w:t>
            </w:r>
          </w:p>
        </w:tc>
        <w:tc>
          <w:tcPr>
            <w:tcW w:w="1362"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p>
        </w:tc>
        <w:tc>
          <w:tcPr>
            <w:tcW w:w="12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jc w:val="center"/>
              <w:rPr>
                <w:rFonts w:ascii="Times New Roman" w:eastAsia="Times New Roman" w:hAnsi="Times New Roman" w:cs="Times New Roman"/>
                <w:sz w:val="20"/>
                <w:szCs w:val="20"/>
                <w:lang w:eastAsia="en-GB"/>
              </w:rPr>
            </w:pPr>
          </w:p>
        </w:tc>
        <w:tc>
          <w:tcPr>
            <w:tcW w:w="1587" w:type="dxa"/>
            <w:tcBorders>
              <w:top w:val="nil"/>
              <w:left w:val="nil"/>
              <w:bottom w:val="nil"/>
              <w:right w:val="single" w:sz="8" w:space="0" w:color="auto"/>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r>
      <w:tr w:rsidR="004B197D" w:rsidRPr="004B197D" w:rsidTr="004B197D">
        <w:trPr>
          <w:trHeight w:val="300"/>
        </w:trPr>
        <w:tc>
          <w:tcPr>
            <w:tcW w:w="1811" w:type="dxa"/>
            <w:tcBorders>
              <w:top w:val="nil"/>
              <w:left w:val="single" w:sz="8" w:space="0" w:color="auto"/>
              <w:bottom w:val="single" w:sz="8" w:space="0" w:color="auto"/>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c>
          <w:tcPr>
            <w:tcW w:w="1658" w:type="dxa"/>
            <w:tcBorders>
              <w:top w:val="nil"/>
              <w:left w:val="nil"/>
              <w:bottom w:val="single" w:sz="8" w:space="0" w:color="auto"/>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c>
          <w:tcPr>
            <w:tcW w:w="1711" w:type="dxa"/>
            <w:tcBorders>
              <w:top w:val="nil"/>
              <w:left w:val="nil"/>
              <w:bottom w:val="single" w:sz="8" w:space="0" w:color="auto"/>
              <w:right w:val="nil"/>
            </w:tcBorders>
            <w:shd w:val="clear" w:color="000000" w:fill="D9E1F2"/>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Togo</w:t>
            </w:r>
          </w:p>
        </w:tc>
        <w:tc>
          <w:tcPr>
            <w:tcW w:w="1362" w:type="dxa"/>
            <w:tcBorders>
              <w:top w:val="nil"/>
              <w:left w:val="nil"/>
              <w:bottom w:val="single" w:sz="8" w:space="0" w:color="auto"/>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c>
          <w:tcPr>
            <w:tcW w:w="1287" w:type="dxa"/>
            <w:tcBorders>
              <w:top w:val="nil"/>
              <w:left w:val="nil"/>
              <w:bottom w:val="single" w:sz="8" w:space="0" w:color="auto"/>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c>
          <w:tcPr>
            <w:tcW w:w="864" w:type="dxa"/>
            <w:tcBorders>
              <w:top w:val="nil"/>
              <w:left w:val="nil"/>
              <w:bottom w:val="single" w:sz="8" w:space="0" w:color="auto"/>
              <w:right w:val="nil"/>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c>
          <w:tcPr>
            <w:tcW w:w="1587" w:type="dxa"/>
            <w:tcBorders>
              <w:top w:val="nil"/>
              <w:left w:val="nil"/>
              <w:bottom w:val="single" w:sz="8" w:space="0" w:color="auto"/>
              <w:right w:val="single" w:sz="8" w:space="0" w:color="auto"/>
            </w:tcBorders>
            <w:shd w:val="clear" w:color="auto" w:fill="auto"/>
            <w:noWrap/>
            <w:vAlign w:val="bottom"/>
            <w:hideMark/>
          </w:tcPr>
          <w:p w:rsidR="004B197D" w:rsidRPr="004B197D" w:rsidRDefault="004B197D" w:rsidP="004B197D">
            <w:pPr>
              <w:spacing w:after="0" w:line="240" w:lineRule="auto"/>
              <w:jc w:val="center"/>
              <w:rPr>
                <w:rFonts w:ascii="Calibri" w:eastAsia="Times New Roman" w:hAnsi="Calibri" w:cs="Calibri"/>
                <w:color w:val="000000"/>
                <w:lang w:eastAsia="en-GB"/>
              </w:rPr>
            </w:pPr>
            <w:r w:rsidRPr="004B197D">
              <w:rPr>
                <w:rFonts w:ascii="Calibri" w:eastAsia="Times New Roman" w:hAnsi="Calibri" w:cs="Calibri"/>
                <w:color w:val="000000"/>
                <w:lang w:eastAsia="en-GB"/>
              </w:rPr>
              <w:t> </w:t>
            </w:r>
          </w:p>
        </w:tc>
      </w:tr>
      <w:tr w:rsidR="004B197D" w:rsidRPr="004B197D" w:rsidTr="004B197D">
        <w:trPr>
          <w:trHeight w:val="288"/>
        </w:trPr>
        <w:tc>
          <w:tcPr>
            <w:tcW w:w="6542" w:type="dxa"/>
            <w:gridSpan w:val="4"/>
            <w:tcBorders>
              <w:top w:val="nil"/>
              <w:left w:val="nil"/>
              <w:bottom w:val="nil"/>
              <w:right w:val="nil"/>
            </w:tcBorders>
            <w:shd w:val="clear" w:color="auto" w:fill="auto"/>
            <w:noWrap/>
            <w:vAlign w:val="bottom"/>
            <w:hideMark/>
          </w:tcPr>
          <w:p w:rsidR="004B197D" w:rsidRPr="004B197D" w:rsidRDefault="004B197D" w:rsidP="004B197D">
            <w:pPr>
              <w:spacing w:after="0" w:line="240" w:lineRule="auto"/>
              <w:rPr>
                <w:rFonts w:ascii="Calibri" w:eastAsia="Times New Roman" w:hAnsi="Calibri" w:cs="Calibri"/>
                <w:color w:val="000000"/>
                <w:lang w:eastAsia="en-GB"/>
              </w:rPr>
            </w:pPr>
            <w:r w:rsidRPr="004B197D">
              <w:rPr>
                <w:rFonts w:ascii="Calibri" w:eastAsia="Times New Roman" w:hAnsi="Calibri" w:cs="Calibri"/>
                <w:color w:val="000000"/>
                <w:lang w:eastAsia="en-GB"/>
              </w:rPr>
              <w:t xml:space="preserve">Notes: During the most recent five years for which data is available, </w:t>
            </w:r>
          </w:p>
        </w:tc>
        <w:tc>
          <w:tcPr>
            <w:tcW w:w="12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rPr>
                <w:rFonts w:ascii="Calibri" w:eastAsia="Times New Roman" w:hAnsi="Calibri" w:cs="Calibri"/>
                <w:color w:val="000000"/>
                <w:lang w:eastAsia="en-GB"/>
              </w:rPr>
            </w:pP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rPr>
                <w:rFonts w:ascii="Times New Roman" w:eastAsia="Times New Roman" w:hAnsi="Times New Roman" w:cs="Times New Roman"/>
                <w:sz w:val="20"/>
                <w:szCs w:val="20"/>
                <w:lang w:eastAsia="en-GB"/>
              </w:rPr>
            </w:pPr>
          </w:p>
        </w:tc>
        <w:tc>
          <w:tcPr>
            <w:tcW w:w="15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rPr>
                <w:rFonts w:ascii="Times New Roman" w:eastAsia="Times New Roman" w:hAnsi="Times New Roman" w:cs="Times New Roman"/>
                <w:sz w:val="20"/>
                <w:szCs w:val="20"/>
                <w:lang w:eastAsia="en-GB"/>
              </w:rPr>
            </w:pPr>
          </w:p>
        </w:tc>
      </w:tr>
      <w:tr w:rsidR="004B197D" w:rsidRPr="004B197D" w:rsidTr="004B197D">
        <w:trPr>
          <w:trHeight w:val="288"/>
        </w:trPr>
        <w:tc>
          <w:tcPr>
            <w:tcW w:w="8693" w:type="dxa"/>
            <w:gridSpan w:val="6"/>
            <w:tcBorders>
              <w:top w:val="nil"/>
              <w:left w:val="nil"/>
              <w:bottom w:val="nil"/>
              <w:right w:val="nil"/>
            </w:tcBorders>
            <w:shd w:val="clear" w:color="auto" w:fill="auto"/>
            <w:noWrap/>
            <w:vAlign w:val="bottom"/>
            <w:hideMark/>
          </w:tcPr>
          <w:p w:rsidR="004B197D" w:rsidRPr="004B197D" w:rsidRDefault="004B197D" w:rsidP="004B197D">
            <w:pPr>
              <w:spacing w:after="0" w:line="240" w:lineRule="auto"/>
              <w:rPr>
                <w:rFonts w:ascii="Calibri" w:eastAsia="Times New Roman" w:hAnsi="Calibri" w:cs="Calibri"/>
                <w:color w:val="000000"/>
                <w:lang w:eastAsia="en-GB"/>
              </w:rPr>
            </w:pPr>
            <w:r w:rsidRPr="004B197D">
              <w:rPr>
                <w:rFonts w:ascii="Calibri" w:eastAsia="Times New Roman" w:hAnsi="Calibri" w:cs="Calibri"/>
                <w:color w:val="000000"/>
                <w:lang w:eastAsia="en-GB"/>
              </w:rPr>
              <w:t xml:space="preserve">blue countries &lt;5pp increase in GER (stagnant growth), yellow countries &gt;5pp decrease, </w:t>
            </w:r>
          </w:p>
        </w:tc>
        <w:tc>
          <w:tcPr>
            <w:tcW w:w="15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rPr>
                <w:rFonts w:ascii="Calibri" w:eastAsia="Times New Roman" w:hAnsi="Calibri" w:cs="Calibri"/>
                <w:color w:val="000000"/>
                <w:lang w:eastAsia="en-GB"/>
              </w:rPr>
            </w:pPr>
          </w:p>
        </w:tc>
      </w:tr>
      <w:tr w:rsidR="004B197D" w:rsidRPr="004B197D" w:rsidTr="004B197D">
        <w:trPr>
          <w:trHeight w:val="288"/>
        </w:trPr>
        <w:tc>
          <w:tcPr>
            <w:tcW w:w="7829" w:type="dxa"/>
            <w:gridSpan w:val="5"/>
            <w:tcBorders>
              <w:top w:val="nil"/>
              <w:left w:val="nil"/>
              <w:bottom w:val="nil"/>
              <w:right w:val="nil"/>
            </w:tcBorders>
            <w:shd w:val="clear" w:color="auto" w:fill="auto"/>
            <w:noWrap/>
            <w:vAlign w:val="bottom"/>
            <w:hideMark/>
          </w:tcPr>
          <w:p w:rsidR="004B197D" w:rsidRPr="004B197D" w:rsidRDefault="004B197D" w:rsidP="004B197D">
            <w:pPr>
              <w:spacing w:after="0" w:line="240" w:lineRule="auto"/>
              <w:rPr>
                <w:rFonts w:ascii="Calibri" w:eastAsia="Times New Roman" w:hAnsi="Calibri" w:cs="Calibri"/>
                <w:color w:val="000000"/>
                <w:lang w:eastAsia="en-GB"/>
              </w:rPr>
            </w:pPr>
            <w:r w:rsidRPr="004B197D">
              <w:rPr>
                <w:rFonts w:ascii="Calibri" w:eastAsia="Times New Roman" w:hAnsi="Calibri" w:cs="Calibri"/>
                <w:color w:val="000000"/>
                <w:lang w:eastAsia="en-GB"/>
              </w:rPr>
              <w:t xml:space="preserve">and green countries&gt;5pp increase. No colour cell countries have insufficient data. </w:t>
            </w:r>
          </w:p>
        </w:tc>
        <w:tc>
          <w:tcPr>
            <w:tcW w:w="864"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rPr>
                <w:rFonts w:ascii="Calibri" w:eastAsia="Times New Roman" w:hAnsi="Calibri" w:cs="Calibri"/>
                <w:color w:val="000000"/>
                <w:lang w:eastAsia="en-GB"/>
              </w:rPr>
            </w:pPr>
          </w:p>
        </w:tc>
        <w:tc>
          <w:tcPr>
            <w:tcW w:w="1587" w:type="dxa"/>
            <w:tcBorders>
              <w:top w:val="nil"/>
              <w:left w:val="nil"/>
              <w:bottom w:val="nil"/>
              <w:right w:val="nil"/>
            </w:tcBorders>
            <w:shd w:val="clear" w:color="auto" w:fill="auto"/>
            <w:noWrap/>
            <w:vAlign w:val="bottom"/>
            <w:hideMark/>
          </w:tcPr>
          <w:p w:rsidR="004B197D" w:rsidRPr="004B197D" w:rsidRDefault="004B197D" w:rsidP="004B197D">
            <w:pPr>
              <w:spacing w:after="0" w:line="240" w:lineRule="auto"/>
              <w:rPr>
                <w:rFonts w:ascii="Times New Roman" w:eastAsia="Times New Roman" w:hAnsi="Times New Roman" w:cs="Times New Roman"/>
                <w:sz w:val="20"/>
                <w:szCs w:val="20"/>
                <w:lang w:eastAsia="en-GB"/>
              </w:rPr>
            </w:pPr>
          </w:p>
        </w:tc>
      </w:tr>
    </w:tbl>
    <w:p w:rsidR="004B197D" w:rsidRDefault="004B197D" w:rsidP="00720162">
      <w:pPr>
        <w:jc w:val="both"/>
        <w:rPr>
          <w:rFonts w:asciiTheme="majorHAnsi" w:hAnsiTheme="majorHAnsi" w:cstheme="majorHAnsi"/>
          <w:sz w:val="28"/>
          <w:szCs w:val="28"/>
        </w:rPr>
      </w:pPr>
    </w:p>
    <w:p w:rsidR="00720162" w:rsidRPr="00327B3A" w:rsidRDefault="00720162" w:rsidP="00720162">
      <w:pPr>
        <w:jc w:val="both"/>
        <w:rPr>
          <w:rFonts w:asciiTheme="majorHAnsi" w:hAnsiTheme="majorHAnsi" w:cstheme="majorHAnsi"/>
          <w:sz w:val="28"/>
          <w:szCs w:val="28"/>
        </w:rPr>
      </w:pPr>
      <w:r w:rsidRPr="00327B3A">
        <w:rPr>
          <w:rFonts w:asciiTheme="majorHAnsi" w:hAnsiTheme="majorHAnsi" w:cstheme="majorHAnsi"/>
          <w:sz w:val="28"/>
          <w:szCs w:val="28"/>
        </w:rPr>
        <w:t xml:space="preserve">Completion rates are much lower still. Almost three-quarters of countries have lower secondary </w:t>
      </w:r>
      <w:r w:rsidR="000C4FAF" w:rsidRPr="00327B3A">
        <w:rPr>
          <w:rFonts w:asciiTheme="majorHAnsi" w:hAnsiTheme="majorHAnsi" w:cstheme="majorHAnsi"/>
          <w:sz w:val="28"/>
          <w:szCs w:val="28"/>
        </w:rPr>
        <w:t xml:space="preserve">school </w:t>
      </w:r>
      <w:r w:rsidRPr="00327B3A">
        <w:rPr>
          <w:rFonts w:asciiTheme="majorHAnsi" w:hAnsiTheme="majorHAnsi" w:cstheme="majorHAnsi"/>
          <w:sz w:val="28"/>
          <w:szCs w:val="28"/>
        </w:rPr>
        <w:t xml:space="preserve">completion rates of less than 50% and upper secondary </w:t>
      </w:r>
      <w:r w:rsidR="00207DCF" w:rsidRPr="00327B3A">
        <w:rPr>
          <w:rFonts w:asciiTheme="majorHAnsi" w:hAnsiTheme="majorHAnsi" w:cstheme="majorHAnsi"/>
          <w:sz w:val="28"/>
          <w:szCs w:val="28"/>
        </w:rPr>
        <w:t xml:space="preserve">school </w:t>
      </w:r>
      <w:r w:rsidRPr="00327B3A">
        <w:rPr>
          <w:rFonts w:asciiTheme="majorHAnsi" w:hAnsiTheme="majorHAnsi" w:cstheme="majorHAnsi"/>
          <w:sz w:val="28"/>
          <w:szCs w:val="28"/>
        </w:rPr>
        <w:t>completion rates of less than 25%</w:t>
      </w:r>
      <w:r w:rsidR="00782CAB">
        <w:rPr>
          <w:rFonts w:asciiTheme="majorHAnsi" w:hAnsiTheme="majorHAnsi" w:cstheme="majorHAnsi"/>
          <w:sz w:val="28"/>
          <w:szCs w:val="28"/>
        </w:rPr>
        <w:t xml:space="preserve"> (see tables 3 and 4)</w:t>
      </w:r>
      <w:r w:rsidRPr="00327B3A">
        <w:rPr>
          <w:rFonts w:asciiTheme="majorHAnsi" w:hAnsiTheme="majorHAnsi" w:cstheme="majorHAnsi"/>
          <w:sz w:val="28"/>
          <w:szCs w:val="28"/>
        </w:rPr>
        <w:t xml:space="preserve">. The </w:t>
      </w:r>
      <w:r w:rsidR="004470B9" w:rsidRPr="00327B3A">
        <w:rPr>
          <w:rFonts w:asciiTheme="majorHAnsi" w:hAnsiTheme="majorHAnsi" w:cstheme="majorHAnsi"/>
          <w:sz w:val="28"/>
          <w:szCs w:val="28"/>
        </w:rPr>
        <w:t xml:space="preserve">enrolment </w:t>
      </w:r>
      <w:r w:rsidRPr="00327B3A">
        <w:rPr>
          <w:rFonts w:asciiTheme="majorHAnsi" w:hAnsiTheme="majorHAnsi" w:cstheme="majorHAnsi"/>
          <w:sz w:val="28"/>
          <w:szCs w:val="28"/>
        </w:rPr>
        <w:t xml:space="preserve">situation </w:t>
      </w:r>
      <w:r w:rsidR="000C4FAF" w:rsidRPr="00327B3A">
        <w:rPr>
          <w:rFonts w:asciiTheme="majorHAnsi" w:hAnsiTheme="majorHAnsi" w:cstheme="majorHAnsi"/>
          <w:sz w:val="28"/>
          <w:szCs w:val="28"/>
        </w:rPr>
        <w:t xml:space="preserve">of </w:t>
      </w:r>
      <w:r w:rsidRPr="00327B3A">
        <w:rPr>
          <w:rFonts w:asciiTheme="majorHAnsi" w:hAnsiTheme="majorHAnsi" w:cstheme="majorHAnsi"/>
          <w:sz w:val="28"/>
          <w:szCs w:val="28"/>
        </w:rPr>
        <w:t>girls in rural areas is</w:t>
      </w:r>
      <w:r w:rsidR="00832821" w:rsidRPr="00327B3A">
        <w:rPr>
          <w:rFonts w:asciiTheme="majorHAnsi" w:hAnsiTheme="majorHAnsi" w:cstheme="majorHAnsi"/>
          <w:sz w:val="28"/>
          <w:szCs w:val="28"/>
        </w:rPr>
        <w:t xml:space="preserve"> </w:t>
      </w:r>
      <w:r w:rsidR="004470B9" w:rsidRPr="00327B3A">
        <w:rPr>
          <w:rFonts w:asciiTheme="majorHAnsi" w:hAnsiTheme="majorHAnsi" w:cstheme="majorHAnsi"/>
          <w:sz w:val="28"/>
          <w:szCs w:val="28"/>
        </w:rPr>
        <w:t xml:space="preserve">even worse than described in the Report; their </w:t>
      </w:r>
      <w:r w:rsidRPr="00327B3A">
        <w:rPr>
          <w:rFonts w:asciiTheme="majorHAnsi" w:hAnsiTheme="majorHAnsi" w:cstheme="majorHAnsi"/>
          <w:sz w:val="28"/>
          <w:szCs w:val="28"/>
        </w:rPr>
        <w:t xml:space="preserve">completion rates for the full cycle of secondary education </w:t>
      </w:r>
      <w:r w:rsidR="004470B9" w:rsidRPr="00327B3A">
        <w:rPr>
          <w:rFonts w:asciiTheme="majorHAnsi" w:hAnsiTheme="majorHAnsi" w:cstheme="majorHAnsi"/>
          <w:sz w:val="28"/>
          <w:szCs w:val="28"/>
        </w:rPr>
        <w:t xml:space="preserve">are </w:t>
      </w:r>
      <w:r w:rsidRPr="00327B3A">
        <w:rPr>
          <w:rFonts w:asciiTheme="majorHAnsi" w:hAnsiTheme="majorHAnsi" w:cstheme="majorHAnsi"/>
          <w:sz w:val="28"/>
          <w:szCs w:val="28"/>
        </w:rPr>
        <w:t>less than 10% in over three-quarters of all countries</w:t>
      </w:r>
      <w:r w:rsidR="00253C4D">
        <w:rPr>
          <w:rFonts w:asciiTheme="majorHAnsi" w:hAnsiTheme="majorHAnsi" w:cstheme="majorHAnsi"/>
          <w:sz w:val="28"/>
          <w:szCs w:val="28"/>
        </w:rPr>
        <w:t xml:space="preserve"> in SSA and less than 5% in most of West Africa</w:t>
      </w:r>
      <w:r w:rsidRPr="00327B3A">
        <w:rPr>
          <w:rFonts w:asciiTheme="majorHAnsi" w:hAnsiTheme="majorHAnsi" w:cstheme="majorHAnsi"/>
          <w:sz w:val="28"/>
          <w:szCs w:val="28"/>
        </w:rPr>
        <w:t xml:space="preserve"> (see </w:t>
      </w:r>
      <w:r w:rsidR="004F5D4C">
        <w:rPr>
          <w:rFonts w:asciiTheme="majorHAnsi" w:hAnsiTheme="majorHAnsi" w:cstheme="majorHAnsi"/>
          <w:sz w:val="28"/>
          <w:szCs w:val="28"/>
        </w:rPr>
        <w:t>annex table 3</w:t>
      </w:r>
      <w:r w:rsidRPr="00327B3A">
        <w:rPr>
          <w:rFonts w:asciiTheme="majorHAnsi" w:hAnsiTheme="majorHAnsi" w:cstheme="majorHAnsi"/>
          <w:sz w:val="28"/>
          <w:szCs w:val="28"/>
        </w:rPr>
        <w:t xml:space="preserve">). </w:t>
      </w:r>
    </w:p>
    <w:p w:rsidR="00535FA8" w:rsidRDefault="00720162" w:rsidP="00535FA8">
      <w:pPr>
        <w:jc w:val="both"/>
        <w:rPr>
          <w:rFonts w:asciiTheme="majorHAnsi" w:hAnsiTheme="majorHAnsi" w:cstheme="majorHAnsi"/>
          <w:sz w:val="28"/>
          <w:szCs w:val="28"/>
        </w:rPr>
      </w:pPr>
      <w:r w:rsidRPr="00327B3A">
        <w:rPr>
          <w:rFonts w:asciiTheme="majorHAnsi" w:hAnsiTheme="majorHAnsi" w:cstheme="majorHAnsi"/>
          <w:sz w:val="28"/>
          <w:szCs w:val="28"/>
        </w:rPr>
        <w:t>The large divergence between enrolment and completion rates is due to very high drop-out rates</w:t>
      </w:r>
      <w:r w:rsidR="004470B9" w:rsidRPr="00327B3A">
        <w:rPr>
          <w:rFonts w:asciiTheme="majorHAnsi" w:hAnsiTheme="majorHAnsi" w:cstheme="majorHAnsi"/>
          <w:sz w:val="28"/>
          <w:szCs w:val="28"/>
        </w:rPr>
        <w:t xml:space="preserve"> which receive</w:t>
      </w:r>
      <w:r w:rsidR="00535FA8">
        <w:rPr>
          <w:rFonts w:asciiTheme="majorHAnsi" w:hAnsiTheme="majorHAnsi" w:cstheme="majorHAnsi"/>
          <w:sz w:val="28"/>
          <w:szCs w:val="28"/>
        </w:rPr>
        <w:t>s</w:t>
      </w:r>
      <w:r w:rsidR="004470B9" w:rsidRPr="00327B3A">
        <w:rPr>
          <w:rFonts w:asciiTheme="majorHAnsi" w:hAnsiTheme="majorHAnsi" w:cstheme="majorHAnsi"/>
          <w:sz w:val="28"/>
          <w:szCs w:val="28"/>
        </w:rPr>
        <w:t xml:space="preserve"> very little explicit attention in the Report</w:t>
      </w:r>
      <w:r w:rsidRPr="00327B3A">
        <w:rPr>
          <w:rFonts w:asciiTheme="majorHAnsi" w:hAnsiTheme="majorHAnsi" w:cstheme="majorHAnsi"/>
          <w:sz w:val="28"/>
          <w:szCs w:val="28"/>
        </w:rPr>
        <w:t xml:space="preserve">. Figure </w:t>
      </w:r>
      <w:r w:rsidR="0004348E" w:rsidRPr="00327B3A">
        <w:rPr>
          <w:rFonts w:asciiTheme="majorHAnsi" w:hAnsiTheme="majorHAnsi" w:cstheme="majorHAnsi"/>
          <w:sz w:val="28"/>
          <w:szCs w:val="28"/>
        </w:rPr>
        <w:t>1</w:t>
      </w:r>
      <w:r w:rsidRPr="00327B3A">
        <w:rPr>
          <w:rFonts w:asciiTheme="majorHAnsi" w:hAnsiTheme="majorHAnsi" w:cstheme="majorHAnsi"/>
          <w:sz w:val="28"/>
          <w:szCs w:val="28"/>
        </w:rPr>
        <w:t xml:space="preserve"> shows that (imputed)</w:t>
      </w:r>
      <w:r w:rsidR="006A0542">
        <w:rPr>
          <w:rStyle w:val="FootnoteReference"/>
          <w:rFonts w:asciiTheme="majorHAnsi" w:hAnsiTheme="majorHAnsi" w:cstheme="majorHAnsi"/>
          <w:sz w:val="28"/>
          <w:szCs w:val="28"/>
        </w:rPr>
        <w:footnoteReference w:id="8"/>
      </w:r>
      <w:r w:rsidRPr="00327B3A">
        <w:rPr>
          <w:rFonts w:asciiTheme="majorHAnsi" w:hAnsiTheme="majorHAnsi" w:cstheme="majorHAnsi"/>
          <w:sz w:val="28"/>
          <w:szCs w:val="28"/>
        </w:rPr>
        <w:t xml:space="preserve"> drop-out rates for lower secondary schooling are well over 25% for most </w:t>
      </w:r>
      <w:r w:rsidR="00253C4D">
        <w:rPr>
          <w:rFonts w:asciiTheme="majorHAnsi" w:hAnsiTheme="majorHAnsi" w:cstheme="majorHAnsi"/>
          <w:sz w:val="28"/>
          <w:szCs w:val="28"/>
        </w:rPr>
        <w:t>of the countries for which data are available</w:t>
      </w:r>
      <w:r w:rsidRPr="00327B3A">
        <w:rPr>
          <w:rFonts w:asciiTheme="majorHAnsi" w:hAnsiTheme="majorHAnsi" w:cstheme="majorHAnsi"/>
          <w:sz w:val="28"/>
          <w:szCs w:val="28"/>
        </w:rPr>
        <w:t xml:space="preserve">. They are over 40% in </w:t>
      </w:r>
      <w:r w:rsidR="00F55693">
        <w:rPr>
          <w:rFonts w:asciiTheme="majorHAnsi" w:hAnsiTheme="majorHAnsi" w:cstheme="majorHAnsi"/>
          <w:sz w:val="28"/>
          <w:szCs w:val="28"/>
        </w:rPr>
        <w:t xml:space="preserve">nearly half </w:t>
      </w:r>
      <w:r w:rsidR="0004348E" w:rsidRPr="00327B3A">
        <w:rPr>
          <w:rFonts w:asciiTheme="majorHAnsi" w:hAnsiTheme="majorHAnsi" w:cstheme="majorHAnsi"/>
          <w:sz w:val="28"/>
          <w:szCs w:val="28"/>
        </w:rPr>
        <w:t xml:space="preserve">of </w:t>
      </w:r>
      <w:r w:rsidR="000D6DFD">
        <w:rPr>
          <w:rFonts w:asciiTheme="majorHAnsi" w:hAnsiTheme="majorHAnsi" w:cstheme="majorHAnsi"/>
          <w:sz w:val="28"/>
          <w:szCs w:val="28"/>
        </w:rPr>
        <w:t xml:space="preserve">these </w:t>
      </w:r>
      <w:r w:rsidRPr="00327B3A">
        <w:rPr>
          <w:rFonts w:asciiTheme="majorHAnsi" w:hAnsiTheme="majorHAnsi" w:cstheme="majorHAnsi"/>
          <w:sz w:val="28"/>
          <w:szCs w:val="28"/>
        </w:rPr>
        <w:t>countries including Cote d’Ivoire</w:t>
      </w:r>
      <w:r w:rsidR="000B1F0B" w:rsidRPr="00327B3A">
        <w:rPr>
          <w:rFonts w:asciiTheme="majorHAnsi" w:hAnsiTheme="majorHAnsi" w:cstheme="majorHAnsi"/>
          <w:sz w:val="28"/>
          <w:szCs w:val="28"/>
        </w:rPr>
        <w:t>,</w:t>
      </w:r>
      <w:r w:rsidRPr="00327B3A">
        <w:rPr>
          <w:rFonts w:asciiTheme="majorHAnsi" w:hAnsiTheme="majorHAnsi" w:cstheme="majorHAnsi"/>
          <w:sz w:val="28"/>
          <w:szCs w:val="28"/>
        </w:rPr>
        <w:t xml:space="preserve"> Ethiopia, Ghana, Madagascar, Malawi and Senegal. Poor schooling quality</w:t>
      </w:r>
      <w:r w:rsidR="004470B9" w:rsidRPr="00327B3A">
        <w:rPr>
          <w:rFonts w:asciiTheme="majorHAnsi" w:hAnsiTheme="majorHAnsi" w:cstheme="majorHAnsi"/>
          <w:sz w:val="28"/>
          <w:szCs w:val="28"/>
        </w:rPr>
        <w:t xml:space="preserve"> (with very low examination pass rates)</w:t>
      </w:r>
      <w:r w:rsidRPr="00327B3A">
        <w:rPr>
          <w:rFonts w:asciiTheme="majorHAnsi" w:hAnsiTheme="majorHAnsi" w:cstheme="majorHAnsi"/>
          <w:sz w:val="28"/>
          <w:szCs w:val="28"/>
        </w:rPr>
        <w:t xml:space="preserve"> and high direct schooling costs are </w:t>
      </w:r>
      <w:r w:rsidR="000C4FAF" w:rsidRPr="00327B3A">
        <w:rPr>
          <w:rFonts w:asciiTheme="majorHAnsi" w:hAnsiTheme="majorHAnsi" w:cstheme="majorHAnsi"/>
          <w:sz w:val="28"/>
          <w:szCs w:val="28"/>
        </w:rPr>
        <w:t xml:space="preserve">two </w:t>
      </w:r>
      <w:r w:rsidRPr="00327B3A">
        <w:rPr>
          <w:rFonts w:asciiTheme="majorHAnsi" w:hAnsiTheme="majorHAnsi" w:cstheme="majorHAnsi"/>
          <w:sz w:val="28"/>
          <w:szCs w:val="28"/>
        </w:rPr>
        <w:t>major factors. However, there are other deep-seated economic and social/cultural demand-side reasons for such high dropout rates</w:t>
      </w:r>
      <w:r w:rsidR="00535FA8">
        <w:rPr>
          <w:rFonts w:asciiTheme="majorHAnsi" w:hAnsiTheme="majorHAnsi" w:cstheme="majorHAnsi"/>
          <w:sz w:val="28"/>
          <w:szCs w:val="28"/>
        </w:rPr>
        <w:t>,</w:t>
      </w:r>
      <w:r w:rsidRPr="00327B3A">
        <w:rPr>
          <w:rFonts w:asciiTheme="majorHAnsi" w:hAnsiTheme="majorHAnsi" w:cstheme="majorHAnsi"/>
          <w:sz w:val="28"/>
          <w:szCs w:val="28"/>
        </w:rPr>
        <w:t xml:space="preserve"> many of which are not directly amenable</w:t>
      </w:r>
      <w:r w:rsidR="00535FA8">
        <w:rPr>
          <w:rFonts w:asciiTheme="majorHAnsi" w:hAnsiTheme="majorHAnsi" w:cstheme="majorHAnsi"/>
          <w:sz w:val="28"/>
          <w:szCs w:val="28"/>
        </w:rPr>
        <w:t xml:space="preserve"> </w:t>
      </w:r>
      <w:r w:rsidR="00535FA8" w:rsidRPr="00327B3A">
        <w:rPr>
          <w:rFonts w:asciiTheme="majorHAnsi" w:hAnsiTheme="majorHAnsi" w:cstheme="majorHAnsi"/>
          <w:sz w:val="28"/>
          <w:szCs w:val="28"/>
        </w:rPr>
        <w:t xml:space="preserve">to short-term policy interventions. These include the still very high </w:t>
      </w:r>
      <w:r w:rsidR="00535FA8">
        <w:rPr>
          <w:rFonts w:asciiTheme="majorHAnsi" w:hAnsiTheme="majorHAnsi" w:cstheme="majorHAnsi"/>
          <w:sz w:val="28"/>
          <w:szCs w:val="28"/>
        </w:rPr>
        <w:br w:type="page"/>
      </w:r>
    </w:p>
    <w:tbl>
      <w:tblPr>
        <w:tblW w:w="10481" w:type="dxa"/>
        <w:tblInd w:w="-30" w:type="dxa"/>
        <w:tblLayout w:type="fixed"/>
        <w:tblCellMar>
          <w:left w:w="30" w:type="dxa"/>
          <w:right w:w="30" w:type="dxa"/>
        </w:tblCellMar>
        <w:tblLook w:val="0000" w:firstRow="0" w:lastRow="0" w:firstColumn="0" w:lastColumn="0" w:noHBand="0" w:noVBand="0"/>
      </w:tblPr>
      <w:tblGrid>
        <w:gridCol w:w="29"/>
        <w:gridCol w:w="1968"/>
        <w:gridCol w:w="140"/>
        <w:gridCol w:w="1658"/>
        <w:gridCol w:w="121"/>
        <w:gridCol w:w="1607"/>
        <w:gridCol w:w="383"/>
        <w:gridCol w:w="1019"/>
        <w:gridCol w:w="236"/>
        <w:gridCol w:w="313"/>
        <w:gridCol w:w="1002"/>
        <w:gridCol w:w="1003"/>
        <w:gridCol w:w="1002"/>
      </w:tblGrid>
      <w:tr w:rsidR="00782CAB" w:rsidRPr="00782CAB" w:rsidTr="004F5D4C">
        <w:trPr>
          <w:trHeight w:val="302"/>
        </w:trPr>
        <w:tc>
          <w:tcPr>
            <w:tcW w:w="10481" w:type="dxa"/>
            <w:gridSpan w:val="13"/>
            <w:tcBorders>
              <w:top w:val="nil"/>
              <w:left w:val="nil"/>
              <w:bottom w:val="nil"/>
              <w:right w:val="nil"/>
            </w:tcBorders>
          </w:tcPr>
          <w:p w:rsidR="00782CAB" w:rsidRPr="00782CAB" w:rsidRDefault="00782CAB" w:rsidP="004F5D4C">
            <w:pPr>
              <w:autoSpaceDE w:val="0"/>
              <w:autoSpaceDN w:val="0"/>
              <w:adjustRightInd w:val="0"/>
              <w:spacing w:after="0" w:line="240" w:lineRule="auto"/>
              <w:rPr>
                <w:rFonts w:ascii="Calibri" w:hAnsi="Calibri" w:cs="Calibri"/>
                <w:color w:val="000000"/>
              </w:rPr>
            </w:pPr>
            <w:r w:rsidRPr="00782CAB">
              <w:rPr>
                <w:rFonts w:ascii="Calibri" w:hAnsi="Calibri" w:cs="Calibri"/>
                <w:color w:val="000000"/>
              </w:rPr>
              <w:lastRenderedPageBreak/>
              <w:t>Table 3: Level and percentage point change in lower secondary school completion rates in SSA, 2000-2018</w:t>
            </w:r>
          </w:p>
        </w:tc>
      </w:tr>
      <w:tr w:rsidR="00782CAB" w:rsidRPr="00782CAB" w:rsidTr="00253C4D">
        <w:trPr>
          <w:trHeight w:val="290"/>
        </w:trPr>
        <w:tc>
          <w:tcPr>
            <w:tcW w:w="2137" w:type="dxa"/>
            <w:gridSpan w:val="3"/>
            <w:tcBorders>
              <w:top w:val="single" w:sz="12" w:space="0" w:color="auto"/>
              <w:left w:val="single" w:sz="12" w:space="0" w:color="auto"/>
              <w:bottom w:val="single" w:sz="6" w:space="0" w:color="auto"/>
              <w:right w:val="nil"/>
            </w:tcBorders>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&lt;25</w:t>
            </w:r>
          </w:p>
        </w:tc>
        <w:tc>
          <w:tcPr>
            <w:tcW w:w="1779" w:type="dxa"/>
            <w:gridSpan w:val="2"/>
            <w:tcBorders>
              <w:top w:val="single" w:sz="12" w:space="0" w:color="auto"/>
              <w:left w:val="nil"/>
              <w:bottom w:val="single" w:sz="6" w:space="0" w:color="auto"/>
              <w:right w:val="nil"/>
            </w:tcBorders>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26-50</w:t>
            </w:r>
          </w:p>
        </w:tc>
        <w:tc>
          <w:tcPr>
            <w:tcW w:w="1990" w:type="dxa"/>
            <w:gridSpan w:val="2"/>
            <w:tcBorders>
              <w:top w:val="single" w:sz="12" w:space="0" w:color="auto"/>
              <w:left w:val="nil"/>
              <w:bottom w:val="single" w:sz="6" w:space="0" w:color="auto"/>
              <w:right w:val="nil"/>
            </w:tcBorders>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50-75</w:t>
            </w:r>
          </w:p>
        </w:tc>
        <w:tc>
          <w:tcPr>
            <w:tcW w:w="1568" w:type="dxa"/>
            <w:gridSpan w:val="3"/>
            <w:tcBorders>
              <w:top w:val="single" w:sz="12" w:space="0" w:color="auto"/>
              <w:left w:val="nil"/>
              <w:bottom w:val="single" w:sz="6" w:space="0" w:color="auto"/>
              <w:right w:val="single" w:sz="12" w:space="0" w:color="auto"/>
            </w:tcBorders>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75&gt;</w:t>
            </w: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99CC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Benin</w:t>
            </w:r>
          </w:p>
        </w:tc>
        <w:tc>
          <w:tcPr>
            <w:tcW w:w="1779" w:type="dxa"/>
            <w:gridSpan w:val="2"/>
            <w:tcBorders>
              <w:top w:val="nil"/>
              <w:left w:val="nil"/>
              <w:bottom w:val="nil"/>
              <w:right w:val="nil"/>
            </w:tcBorders>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Angola</w:t>
            </w:r>
          </w:p>
        </w:tc>
        <w:tc>
          <w:tcPr>
            <w:tcW w:w="1990"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Botswana</w:t>
            </w: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Botswana</w:t>
            </w: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99CC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Burkina Faso</w:t>
            </w:r>
          </w:p>
        </w:tc>
        <w:tc>
          <w:tcPr>
            <w:tcW w:w="1779" w:type="dxa"/>
            <w:gridSpan w:val="2"/>
            <w:tcBorders>
              <w:top w:val="nil"/>
              <w:left w:val="nil"/>
              <w:bottom w:val="nil"/>
              <w:right w:val="nil"/>
            </w:tcBorders>
            <w:shd w:val="solid" w:color="FFFF00"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Burundi</w:t>
            </w:r>
          </w:p>
        </w:tc>
        <w:tc>
          <w:tcPr>
            <w:tcW w:w="1990" w:type="dxa"/>
            <w:gridSpan w:val="2"/>
            <w:tcBorders>
              <w:top w:val="nil"/>
              <w:left w:val="nil"/>
              <w:bottom w:val="nil"/>
              <w:right w:val="nil"/>
            </w:tcBorders>
            <w:shd w:val="solid" w:color="FFFF00"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Congo</w:t>
            </w: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South Africa</w:t>
            </w: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FFFF99"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CAR</w:t>
            </w:r>
          </w:p>
        </w:tc>
        <w:tc>
          <w:tcPr>
            <w:tcW w:w="1779" w:type="dxa"/>
            <w:gridSpan w:val="2"/>
            <w:tcBorders>
              <w:top w:val="nil"/>
              <w:left w:val="nil"/>
              <w:bottom w:val="nil"/>
              <w:right w:val="nil"/>
            </w:tcBorders>
            <w:shd w:val="solid" w:color="FFFF00"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Cameroon</w:t>
            </w:r>
          </w:p>
        </w:tc>
        <w:tc>
          <w:tcPr>
            <w:tcW w:w="1990" w:type="dxa"/>
            <w:gridSpan w:val="2"/>
            <w:tcBorders>
              <w:top w:val="nil"/>
              <w:left w:val="nil"/>
              <w:bottom w:val="nil"/>
              <w:right w:val="nil"/>
            </w:tcBorders>
            <w:shd w:val="solid" w:color="FFFF00"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DRC</w:t>
            </w: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99CC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Chad</w:t>
            </w:r>
          </w:p>
        </w:tc>
        <w:tc>
          <w:tcPr>
            <w:tcW w:w="1779" w:type="dxa"/>
            <w:gridSpan w:val="2"/>
            <w:tcBorders>
              <w:top w:val="nil"/>
              <w:left w:val="nil"/>
              <w:bottom w:val="nil"/>
              <w:right w:val="nil"/>
            </w:tcBorders>
            <w:shd w:val="solid" w:color="FFFF99"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Cote d'Ivoire</w:t>
            </w:r>
          </w:p>
        </w:tc>
        <w:tc>
          <w:tcPr>
            <w:tcW w:w="1990"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Eswatini</w:t>
            </w: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FFFF99"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Ethiopia</w:t>
            </w:r>
          </w:p>
        </w:tc>
        <w:tc>
          <w:tcPr>
            <w:tcW w:w="1779"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Gabon</w:t>
            </w:r>
          </w:p>
        </w:tc>
        <w:tc>
          <w:tcPr>
            <w:tcW w:w="1990"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Kenya</w:t>
            </w: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FFFF99"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Guinea Bissau</w:t>
            </w:r>
          </w:p>
        </w:tc>
        <w:tc>
          <w:tcPr>
            <w:tcW w:w="1779" w:type="dxa"/>
            <w:gridSpan w:val="2"/>
            <w:tcBorders>
              <w:top w:val="nil"/>
              <w:left w:val="nil"/>
              <w:bottom w:val="nil"/>
              <w:right w:val="nil"/>
            </w:tcBorders>
            <w:shd w:val="solid" w:color="FFFF99"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Gambia</w:t>
            </w:r>
          </w:p>
        </w:tc>
        <w:tc>
          <w:tcPr>
            <w:tcW w:w="1990"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Namibia</w:t>
            </w: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99CC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Malawi</w:t>
            </w:r>
          </w:p>
        </w:tc>
        <w:tc>
          <w:tcPr>
            <w:tcW w:w="1779" w:type="dxa"/>
            <w:gridSpan w:val="2"/>
            <w:tcBorders>
              <w:top w:val="nil"/>
              <w:left w:val="nil"/>
              <w:bottom w:val="nil"/>
              <w:right w:val="nil"/>
            </w:tcBorders>
            <w:shd w:val="solid" w:color="99CC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Ghana</w:t>
            </w:r>
          </w:p>
        </w:tc>
        <w:tc>
          <w:tcPr>
            <w:tcW w:w="1990" w:type="dxa"/>
            <w:gridSpan w:val="2"/>
            <w:tcBorders>
              <w:top w:val="nil"/>
              <w:left w:val="nil"/>
              <w:bottom w:val="nil"/>
              <w:right w:val="nil"/>
            </w:tcBorders>
            <w:shd w:val="solid" w:color="FFFF00"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Nigeria</w:t>
            </w: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FFFF99"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Mozambique</w:t>
            </w:r>
          </w:p>
        </w:tc>
        <w:tc>
          <w:tcPr>
            <w:tcW w:w="1779" w:type="dxa"/>
            <w:gridSpan w:val="2"/>
            <w:tcBorders>
              <w:top w:val="nil"/>
              <w:left w:val="nil"/>
              <w:bottom w:val="nil"/>
              <w:right w:val="nil"/>
            </w:tcBorders>
            <w:shd w:val="solid" w:color="FFFF99"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Guinea</w:t>
            </w:r>
          </w:p>
        </w:tc>
        <w:tc>
          <w:tcPr>
            <w:tcW w:w="1990" w:type="dxa"/>
            <w:gridSpan w:val="2"/>
            <w:tcBorders>
              <w:top w:val="nil"/>
              <w:left w:val="nil"/>
              <w:bottom w:val="nil"/>
              <w:right w:val="nil"/>
            </w:tcBorders>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Sudan</w:t>
            </w: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Niger</w:t>
            </w:r>
          </w:p>
        </w:tc>
        <w:tc>
          <w:tcPr>
            <w:tcW w:w="1779" w:type="dxa"/>
            <w:gridSpan w:val="2"/>
            <w:tcBorders>
              <w:top w:val="nil"/>
              <w:left w:val="nil"/>
              <w:bottom w:val="nil"/>
              <w:right w:val="nil"/>
            </w:tcBorders>
            <w:shd w:val="solid" w:color="FFFF00"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Lesotho</w:t>
            </w:r>
          </w:p>
        </w:tc>
        <w:tc>
          <w:tcPr>
            <w:tcW w:w="1990" w:type="dxa"/>
            <w:gridSpan w:val="2"/>
            <w:tcBorders>
              <w:top w:val="nil"/>
              <w:left w:val="nil"/>
              <w:bottom w:val="nil"/>
              <w:right w:val="nil"/>
            </w:tcBorders>
            <w:shd w:val="solid" w:color="FFFF99"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Zambia</w:t>
            </w: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Somalia</w:t>
            </w:r>
          </w:p>
        </w:tc>
        <w:tc>
          <w:tcPr>
            <w:tcW w:w="1779"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Liberia</w:t>
            </w:r>
          </w:p>
        </w:tc>
        <w:tc>
          <w:tcPr>
            <w:tcW w:w="1990" w:type="dxa"/>
            <w:gridSpan w:val="2"/>
            <w:tcBorders>
              <w:top w:val="nil"/>
              <w:left w:val="nil"/>
              <w:bottom w:val="nil"/>
              <w:right w:val="nil"/>
            </w:tcBorders>
            <w:shd w:val="solid" w:color="99CC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Zimbabwe</w:t>
            </w: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South Sudan</w:t>
            </w:r>
          </w:p>
        </w:tc>
        <w:tc>
          <w:tcPr>
            <w:tcW w:w="1779" w:type="dxa"/>
            <w:gridSpan w:val="2"/>
            <w:tcBorders>
              <w:top w:val="nil"/>
              <w:left w:val="nil"/>
              <w:bottom w:val="nil"/>
              <w:right w:val="nil"/>
            </w:tcBorders>
            <w:shd w:val="solid" w:color="FFFF99"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Madagascar</w:t>
            </w:r>
          </w:p>
        </w:tc>
        <w:tc>
          <w:tcPr>
            <w:tcW w:w="1990"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779" w:type="dxa"/>
            <w:gridSpan w:val="2"/>
            <w:tcBorders>
              <w:top w:val="nil"/>
              <w:left w:val="nil"/>
              <w:bottom w:val="nil"/>
              <w:right w:val="nil"/>
            </w:tcBorders>
            <w:shd w:val="solid" w:color="FFFF99"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Mali</w:t>
            </w:r>
          </w:p>
        </w:tc>
        <w:tc>
          <w:tcPr>
            <w:tcW w:w="1990"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779"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Namibia</w:t>
            </w:r>
          </w:p>
        </w:tc>
        <w:tc>
          <w:tcPr>
            <w:tcW w:w="1990"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779" w:type="dxa"/>
            <w:gridSpan w:val="2"/>
            <w:tcBorders>
              <w:top w:val="nil"/>
              <w:left w:val="nil"/>
              <w:bottom w:val="nil"/>
              <w:right w:val="nil"/>
            </w:tcBorders>
            <w:shd w:val="solid" w:color="FFFF00"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Rwanda</w:t>
            </w:r>
          </w:p>
        </w:tc>
        <w:tc>
          <w:tcPr>
            <w:tcW w:w="1990"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779" w:type="dxa"/>
            <w:gridSpan w:val="2"/>
            <w:tcBorders>
              <w:top w:val="nil"/>
              <w:left w:val="nil"/>
              <w:bottom w:val="nil"/>
              <w:right w:val="nil"/>
            </w:tcBorders>
            <w:shd w:val="solid" w:color="FFFF99"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Senegal</w:t>
            </w:r>
          </w:p>
        </w:tc>
        <w:tc>
          <w:tcPr>
            <w:tcW w:w="1990"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779" w:type="dxa"/>
            <w:gridSpan w:val="2"/>
            <w:tcBorders>
              <w:top w:val="nil"/>
              <w:left w:val="nil"/>
              <w:bottom w:val="nil"/>
              <w:right w:val="nil"/>
            </w:tcBorders>
            <w:shd w:val="solid" w:color="FFFF00"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Sierra Leone</w:t>
            </w:r>
          </w:p>
        </w:tc>
        <w:tc>
          <w:tcPr>
            <w:tcW w:w="1990"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single" w:sz="12" w:space="0" w:color="auto"/>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779" w:type="dxa"/>
            <w:gridSpan w:val="2"/>
            <w:tcBorders>
              <w:top w:val="nil"/>
              <w:left w:val="nil"/>
              <w:bottom w:val="nil"/>
              <w:right w:val="nil"/>
            </w:tcBorders>
            <w:shd w:val="solid" w:color="FFFF00"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Tanzania</w:t>
            </w:r>
          </w:p>
        </w:tc>
        <w:tc>
          <w:tcPr>
            <w:tcW w:w="1990" w:type="dxa"/>
            <w:gridSpan w:val="2"/>
            <w:tcBorders>
              <w:top w:val="nil"/>
              <w:left w:val="nil"/>
              <w:bottom w:val="nil"/>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568" w:type="dxa"/>
            <w:gridSpan w:val="3"/>
            <w:tcBorders>
              <w:top w:val="nil"/>
              <w:left w:val="nil"/>
              <w:bottom w:val="nil"/>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302"/>
        </w:trPr>
        <w:tc>
          <w:tcPr>
            <w:tcW w:w="2137" w:type="dxa"/>
            <w:gridSpan w:val="3"/>
            <w:tcBorders>
              <w:top w:val="nil"/>
              <w:left w:val="single" w:sz="12" w:space="0" w:color="auto"/>
              <w:bottom w:val="single" w:sz="12" w:space="0" w:color="auto"/>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779" w:type="dxa"/>
            <w:gridSpan w:val="2"/>
            <w:tcBorders>
              <w:top w:val="nil"/>
              <w:left w:val="nil"/>
              <w:bottom w:val="single" w:sz="12" w:space="0" w:color="auto"/>
              <w:right w:val="nil"/>
            </w:tcBorders>
            <w:shd w:val="solid" w:color="FFFF00"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r w:rsidRPr="00782CAB">
              <w:rPr>
                <w:rFonts w:ascii="Calibri" w:hAnsi="Calibri" w:cs="Calibri"/>
                <w:color w:val="000000"/>
              </w:rPr>
              <w:t>Togo</w:t>
            </w:r>
          </w:p>
        </w:tc>
        <w:tc>
          <w:tcPr>
            <w:tcW w:w="1990" w:type="dxa"/>
            <w:gridSpan w:val="2"/>
            <w:tcBorders>
              <w:top w:val="nil"/>
              <w:left w:val="nil"/>
              <w:bottom w:val="single" w:sz="12" w:space="0" w:color="auto"/>
              <w:right w:val="nil"/>
            </w:tcBorders>
            <w:shd w:val="solid" w:color="FFFFFF" w:fill="auto"/>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568" w:type="dxa"/>
            <w:gridSpan w:val="3"/>
            <w:tcBorders>
              <w:top w:val="nil"/>
              <w:left w:val="nil"/>
              <w:bottom w:val="single" w:sz="12" w:space="0" w:color="auto"/>
              <w:right w:val="single" w:sz="12" w:space="0" w:color="auto"/>
            </w:tcBorders>
            <w:shd w:val="solid" w:color="FFFFFF" w:fill="auto"/>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7474" w:type="dxa"/>
            <w:gridSpan w:val="10"/>
            <w:tcBorders>
              <w:top w:val="nil"/>
              <w:left w:val="nil"/>
              <w:bottom w:val="nil"/>
              <w:right w:val="nil"/>
            </w:tcBorders>
          </w:tcPr>
          <w:p w:rsidR="00782CAB" w:rsidRPr="00782CAB" w:rsidRDefault="00782CAB" w:rsidP="004F5D4C">
            <w:pPr>
              <w:autoSpaceDE w:val="0"/>
              <w:autoSpaceDN w:val="0"/>
              <w:adjustRightInd w:val="0"/>
              <w:spacing w:after="0" w:line="240" w:lineRule="auto"/>
              <w:rPr>
                <w:rFonts w:ascii="Calibri" w:hAnsi="Calibri" w:cs="Calibri"/>
                <w:color w:val="000000"/>
              </w:rPr>
            </w:pPr>
            <w:r w:rsidRPr="00782CAB">
              <w:rPr>
                <w:rFonts w:ascii="Calibri" w:hAnsi="Calibri" w:cs="Calibri"/>
                <w:color w:val="000000"/>
              </w:rPr>
              <w:t>Notes: Blue countries &lt;10 pp change, green countries 10-20pp change</w:t>
            </w: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5906" w:type="dxa"/>
            <w:gridSpan w:val="7"/>
            <w:tcBorders>
              <w:top w:val="nil"/>
              <w:left w:val="nil"/>
              <w:bottom w:val="nil"/>
              <w:right w:val="nil"/>
            </w:tcBorders>
          </w:tcPr>
          <w:p w:rsidR="00782CAB" w:rsidRPr="00782CAB" w:rsidRDefault="00782CAB" w:rsidP="004F5D4C">
            <w:pPr>
              <w:autoSpaceDE w:val="0"/>
              <w:autoSpaceDN w:val="0"/>
              <w:adjustRightInd w:val="0"/>
              <w:spacing w:after="0" w:line="240" w:lineRule="auto"/>
              <w:rPr>
                <w:rFonts w:ascii="Calibri" w:hAnsi="Calibri" w:cs="Calibri"/>
                <w:color w:val="000000"/>
              </w:rPr>
            </w:pPr>
            <w:r w:rsidRPr="00782CAB">
              <w:rPr>
                <w:rFonts w:ascii="Calibri" w:hAnsi="Calibri" w:cs="Calibri"/>
                <w:color w:val="000000"/>
              </w:rPr>
              <w:t>and yellow countries &gt; 20pp change. No colour cell countries</w:t>
            </w:r>
          </w:p>
        </w:tc>
        <w:tc>
          <w:tcPr>
            <w:tcW w:w="1568" w:type="dxa"/>
            <w:gridSpan w:val="3"/>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782CAB" w:rsidRPr="00782CAB" w:rsidTr="00253C4D">
        <w:trPr>
          <w:trHeight w:val="290"/>
        </w:trPr>
        <w:tc>
          <w:tcPr>
            <w:tcW w:w="2137" w:type="dxa"/>
            <w:gridSpan w:val="3"/>
            <w:tcBorders>
              <w:top w:val="nil"/>
              <w:left w:val="nil"/>
              <w:bottom w:val="nil"/>
              <w:right w:val="nil"/>
            </w:tcBorders>
          </w:tcPr>
          <w:p w:rsidR="00782CAB" w:rsidRPr="00782CAB" w:rsidRDefault="00782CAB" w:rsidP="004F5D4C">
            <w:pPr>
              <w:autoSpaceDE w:val="0"/>
              <w:autoSpaceDN w:val="0"/>
              <w:adjustRightInd w:val="0"/>
              <w:spacing w:after="0" w:line="240" w:lineRule="auto"/>
              <w:rPr>
                <w:rFonts w:ascii="Calibri" w:hAnsi="Calibri" w:cs="Calibri"/>
                <w:color w:val="000000"/>
              </w:rPr>
            </w:pPr>
            <w:r w:rsidRPr="00782CAB">
              <w:rPr>
                <w:rFonts w:ascii="Calibri" w:hAnsi="Calibri" w:cs="Calibri"/>
                <w:color w:val="000000"/>
              </w:rPr>
              <w:t>have insufficient data.</w:t>
            </w:r>
          </w:p>
        </w:tc>
        <w:tc>
          <w:tcPr>
            <w:tcW w:w="1779" w:type="dxa"/>
            <w:gridSpan w:val="2"/>
            <w:tcBorders>
              <w:top w:val="nil"/>
              <w:left w:val="nil"/>
              <w:bottom w:val="nil"/>
              <w:right w:val="nil"/>
            </w:tcBorders>
          </w:tcPr>
          <w:p w:rsidR="00782CAB" w:rsidRPr="00782CAB" w:rsidRDefault="00782CAB" w:rsidP="004F5D4C">
            <w:pPr>
              <w:autoSpaceDE w:val="0"/>
              <w:autoSpaceDN w:val="0"/>
              <w:adjustRightInd w:val="0"/>
              <w:spacing w:after="0" w:line="240" w:lineRule="auto"/>
              <w:jc w:val="center"/>
              <w:rPr>
                <w:rFonts w:ascii="Calibri" w:hAnsi="Calibri" w:cs="Calibri"/>
                <w:color w:val="000000"/>
              </w:rPr>
            </w:pPr>
          </w:p>
        </w:tc>
        <w:tc>
          <w:tcPr>
            <w:tcW w:w="1990" w:type="dxa"/>
            <w:gridSpan w:val="2"/>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568" w:type="dxa"/>
            <w:gridSpan w:val="3"/>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782CAB" w:rsidRPr="00782CAB" w:rsidRDefault="00782CAB" w:rsidP="004F5D4C">
            <w:pPr>
              <w:autoSpaceDE w:val="0"/>
              <w:autoSpaceDN w:val="0"/>
              <w:adjustRightInd w:val="0"/>
              <w:spacing w:after="0" w:line="240" w:lineRule="auto"/>
              <w:jc w:val="right"/>
              <w:rPr>
                <w:rFonts w:ascii="Calibri" w:hAnsi="Calibri" w:cs="Calibri"/>
                <w:color w:val="000000"/>
              </w:rPr>
            </w:pPr>
          </w:p>
        </w:tc>
      </w:tr>
      <w:tr w:rsidR="004F5D4C" w:rsidRPr="00782CAB" w:rsidTr="00253C4D">
        <w:trPr>
          <w:trHeight w:val="290"/>
        </w:trPr>
        <w:tc>
          <w:tcPr>
            <w:tcW w:w="2137" w:type="dxa"/>
            <w:gridSpan w:val="3"/>
            <w:tcBorders>
              <w:top w:val="nil"/>
              <w:left w:val="nil"/>
              <w:bottom w:val="nil"/>
              <w:right w:val="nil"/>
            </w:tcBorders>
          </w:tcPr>
          <w:p w:rsidR="004F5D4C" w:rsidRPr="00782CAB" w:rsidRDefault="004F5D4C" w:rsidP="004F5D4C">
            <w:pPr>
              <w:autoSpaceDE w:val="0"/>
              <w:autoSpaceDN w:val="0"/>
              <w:adjustRightInd w:val="0"/>
              <w:spacing w:after="0" w:line="240" w:lineRule="auto"/>
              <w:rPr>
                <w:rFonts w:ascii="Calibri" w:hAnsi="Calibri" w:cs="Calibri"/>
                <w:color w:val="000000"/>
              </w:rPr>
            </w:pPr>
          </w:p>
        </w:tc>
        <w:tc>
          <w:tcPr>
            <w:tcW w:w="1779" w:type="dxa"/>
            <w:gridSpan w:val="2"/>
            <w:tcBorders>
              <w:top w:val="nil"/>
              <w:left w:val="nil"/>
              <w:bottom w:val="nil"/>
              <w:right w:val="nil"/>
            </w:tcBorders>
          </w:tcPr>
          <w:p w:rsidR="004F5D4C" w:rsidRPr="00782CAB" w:rsidRDefault="004F5D4C" w:rsidP="004F5D4C">
            <w:pPr>
              <w:autoSpaceDE w:val="0"/>
              <w:autoSpaceDN w:val="0"/>
              <w:adjustRightInd w:val="0"/>
              <w:spacing w:after="0" w:line="240" w:lineRule="auto"/>
              <w:jc w:val="center"/>
              <w:rPr>
                <w:rFonts w:ascii="Calibri" w:hAnsi="Calibri" w:cs="Calibri"/>
                <w:color w:val="000000"/>
              </w:rPr>
            </w:pPr>
          </w:p>
        </w:tc>
        <w:tc>
          <w:tcPr>
            <w:tcW w:w="1990" w:type="dxa"/>
            <w:gridSpan w:val="2"/>
            <w:tcBorders>
              <w:top w:val="nil"/>
              <w:left w:val="nil"/>
              <w:bottom w:val="nil"/>
              <w:right w:val="nil"/>
            </w:tcBorders>
          </w:tcPr>
          <w:p w:rsidR="004F5D4C" w:rsidRPr="00782CAB" w:rsidRDefault="004F5D4C" w:rsidP="004F5D4C">
            <w:pPr>
              <w:autoSpaceDE w:val="0"/>
              <w:autoSpaceDN w:val="0"/>
              <w:adjustRightInd w:val="0"/>
              <w:spacing w:after="0" w:line="240" w:lineRule="auto"/>
              <w:jc w:val="right"/>
              <w:rPr>
                <w:rFonts w:ascii="Calibri" w:hAnsi="Calibri" w:cs="Calibri"/>
                <w:color w:val="000000"/>
              </w:rPr>
            </w:pPr>
          </w:p>
        </w:tc>
        <w:tc>
          <w:tcPr>
            <w:tcW w:w="1568" w:type="dxa"/>
            <w:gridSpan w:val="3"/>
            <w:tcBorders>
              <w:top w:val="nil"/>
              <w:left w:val="nil"/>
              <w:bottom w:val="nil"/>
              <w:right w:val="nil"/>
            </w:tcBorders>
          </w:tcPr>
          <w:p w:rsidR="004F5D4C" w:rsidRPr="00782CAB" w:rsidRDefault="004F5D4C"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4F5D4C" w:rsidRPr="00782CAB" w:rsidRDefault="004F5D4C" w:rsidP="004F5D4C">
            <w:pPr>
              <w:autoSpaceDE w:val="0"/>
              <w:autoSpaceDN w:val="0"/>
              <w:adjustRightInd w:val="0"/>
              <w:spacing w:after="0" w:line="240" w:lineRule="auto"/>
              <w:jc w:val="right"/>
              <w:rPr>
                <w:rFonts w:ascii="Calibri" w:hAnsi="Calibri" w:cs="Calibri"/>
                <w:color w:val="000000"/>
              </w:rPr>
            </w:pPr>
          </w:p>
        </w:tc>
        <w:tc>
          <w:tcPr>
            <w:tcW w:w="1003" w:type="dxa"/>
            <w:tcBorders>
              <w:top w:val="nil"/>
              <w:left w:val="nil"/>
              <w:bottom w:val="nil"/>
              <w:right w:val="nil"/>
            </w:tcBorders>
          </w:tcPr>
          <w:p w:rsidR="004F5D4C" w:rsidRPr="00782CAB" w:rsidRDefault="004F5D4C" w:rsidP="004F5D4C">
            <w:pPr>
              <w:autoSpaceDE w:val="0"/>
              <w:autoSpaceDN w:val="0"/>
              <w:adjustRightInd w:val="0"/>
              <w:spacing w:after="0" w:line="240" w:lineRule="auto"/>
              <w:jc w:val="right"/>
              <w:rPr>
                <w:rFonts w:ascii="Calibri" w:hAnsi="Calibri" w:cs="Calibri"/>
                <w:color w:val="000000"/>
              </w:rPr>
            </w:pPr>
          </w:p>
        </w:tc>
        <w:tc>
          <w:tcPr>
            <w:tcW w:w="1002" w:type="dxa"/>
            <w:tcBorders>
              <w:top w:val="nil"/>
              <w:left w:val="nil"/>
              <w:bottom w:val="nil"/>
              <w:right w:val="nil"/>
            </w:tcBorders>
          </w:tcPr>
          <w:p w:rsidR="004F5D4C" w:rsidRPr="00782CAB" w:rsidRDefault="004F5D4C" w:rsidP="004F5D4C">
            <w:pPr>
              <w:autoSpaceDE w:val="0"/>
              <w:autoSpaceDN w:val="0"/>
              <w:adjustRightInd w:val="0"/>
              <w:spacing w:after="0" w:line="240" w:lineRule="auto"/>
              <w:jc w:val="right"/>
              <w:rPr>
                <w:rFonts w:ascii="Calibri" w:hAnsi="Calibri" w:cs="Calibri"/>
                <w:color w:val="000000"/>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7132" w:type="dxa"/>
            <w:gridSpan w:val="8"/>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w:t>
            </w:r>
            <w:r w:rsidRPr="004F5D4C">
              <w:rPr>
                <w:rFonts w:ascii="Calibri" w:eastAsia="Times New Roman" w:hAnsi="Calibri" w:cs="Calibri"/>
                <w:color w:val="000000"/>
                <w:lang w:eastAsia="en-GB"/>
              </w:rPr>
              <w:t xml:space="preserve">able 4: Level and percentage point change in upper secondary school </w:t>
            </w: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300"/>
        </w:trPr>
        <w:tc>
          <w:tcPr>
            <w:tcW w:w="5494" w:type="dxa"/>
            <w:gridSpan w:val="5"/>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completion rates in SSA, 2000-2018/lya</w:t>
            </w:r>
          </w:p>
        </w:tc>
        <w:tc>
          <w:tcPr>
            <w:tcW w:w="1402" w:type="dxa"/>
            <w:gridSpan w:val="2"/>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Times New Roman" w:eastAsia="Times New Roman" w:hAnsi="Times New Roman" w:cs="Times New Roman"/>
                <w:sz w:val="20"/>
                <w:szCs w:val="2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single" w:sz="8" w:space="0" w:color="auto"/>
              <w:left w:val="single" w:sz="8" w:space="0" w:color="auto"/>
              <w:bottom w:val="single" w:sz="4" w:space="0" w:color="auto"/>
              <w:right w:val="nil"/>
            </w:tcBorders>
            <w:shd w:val="clear" w:color="auto" w:fill="auto"/>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&lt;10</w:t>
            </w:r>
          </w:p>
        </w:tc>
        <w:tc>
          <w:tcPr>
            <w:tcW w:w="1798" w:type="dxa"/>
            <w:gridSpan w:val="2"/>
            <w:tcBorders>
              <w:top w:val="single" w:sz="8" w:space="0" w:color="auto"/>
              <w:left w:val="nil"/>
              <w:bottom w:val="single" w:sz="4" w:space="0" w:color="auto"/>
              <w:right w:val="nil"/>
            </w:tcBorders>
            <w:shd w:val="clear" w:color="auto" w:fill="auto"/>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10-24.9</w:t>
            </w:r>
          </w:p>
        </w:tc>
        <w:tc>
          <w:tcPr>
            <w:tcW w:w="1728" w:type="dxa"/>
            <w:gridSpan w:val="2"/>
            <w:tcBorders>
              <w:top w:val="single" w:sz="8" w:space="0" w:color="auto"/>
              <w:left w:val="nil"/>
              <w:bottom w:val="single" w:sz="4" w:space="0" w:color="auto"/>
              <w:right w:val="nil"/>
            </w:tcBorders>
            <w:shd w:val="clear" w:color="auto" w:fill="auto"/>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25-49.9</w:t>
            </w:r>
          </w:p>
        </w:tc>
        <w:tc>
          <w:tcPr>
            <w:tcW w:w="1402" w:type="dxa"/>
            <w:gridSpan w:val="2"/>
            <w:tcBorders>
              <w:top w:val="single" w:sz="8" w:space="0" w:color="auto"/>
              <w:left w:val="nil"/>
              <w:bottom w:val="single" w:sz="4" w:space="0" w:color="auto"/>
              <w:right w:val="single" w:sz="8" w:space="0" w:color="auto"/>
            </w:tcBorders>
            <w:shd w:val="clear" w:color="auto" w:fill="auto"/>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50&gt;</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Benin</w:t>
            </w:r>
          </w:p>
        </w:tc>
        <w:tc>
          <w:tcPr>
            <w:tcW w:w="1798" w:type="dxa"/>
            <w:gridSpan w:val="2"/>
            <w:tcBorders>
              <w:top w:val="nil"/>
              <w:left w:val="nil"/>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Angola</w:t>
            </w:r>
          </w:p>
        </w:tc>
        <w:tc>
          <w:tcPr>
            <w:tcW w:w="1728" w:type="dxa"/>
            <w:gridSpan w:val="2"/>
            <w:tcBorders>
              <w:top w:val="nil"/>
              <w:left w:val="nil"/>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Eswatini</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Botswana</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Burkina Faso</w:t>
            </w:r>
          </w:p>
        </w:tc>
        <w:tc>
          <w:tcPr>
            <w:tcW w:w="1798" w:type="dxa"/>
            <w:gridSpan w:val="2"/>
            <w:tcBorders>
              <w:top w:val="nil"/>
              <w:left w:val="nil"/>
              <w:bottom w:val="nil"/>
              <w:right w:val="nil"/>
            </w:tcBorders>
            <w:shd w:val="clear" w:color="000000" w:fill="C6E0B4"/>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Cameroon</w:t>
            </w:r>
          </w:p>
        </w:tc>
        <w:tc>
          <w:tcPr>
            <w:tcW w:w="1728" w:type="dxa"/>
            <w:gridSpan w:val="2"/>
            <w:tcBorders>
              <w:top w:val="nil"/>
              <w:left w:val="nil"/>
              <w:bottom w:val="nil"/>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Gambia</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Burundi</w:t>
            </w:r>
          </w:p>
        </w:tc>
        <w:tc>
          <w:tcPr>
            <w:tcW w:w="1798" w:type="dxa"/>
            <w:gridSpan w:val="2"/>
            <w:tcBorders>
              <w:top w:val="nil"/>
              <w:left w:val="nil"/>
              <w:bottom w:val="nil"/>
              <w:right w:val="nil"/>
            </w:tcBorders>
            <w:shd w:val="clear" w:color="000000" w:fill="C6E0B4"/>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Congo</w:t>
            </w:r>
          </w:p>
        </w:tc>
        <w:tc>
          <w:tcPr>
            <w:tcW w:w="1728" w:type="dxa"/>
            <w:gridSpan w:val="2"/>
            <w:tcBorders>
              <w:top w:val="nil"/>
              <w:left w:val="nil"/>
              <w:bottom w:val="nil"/>
              <w:right w:val="nil"/>
            </w:tcBorders>
            <w:shd w:val="clear" w:color="000000" w:fill="FFFF00"/>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Ghana</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CAR</w:t>
            </w:r>
          </w:p>
        </w:tc>
        <w:tc>
          <w:tcPr>
            <w:tcW w:w="1798" w:type="dxa"/>
            <w:gridSpan w:val="2"/>
            <w:tcBorders>
              <w:top w:val="nil"/>
              <w:left w:val="nil"/>
              <w:bottom w:val="nil"/>
              <w:right w:val="nil"/>
            </w:tcBorders>
            <w:shd w:val="clear" w:color="000000" w:fill="C6E0B4"/>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Cote d'Ivoire</w:t>
            </w:r>
          </w:p>
        </w:tc>
        <w:tc>
          <w:tcPr>
            <w:tcW w:w="1728" w:type="dxa"/>
            <w:gridSpan w:val="2"/>
            <w:tcBorders>
              <w:top w:val="nil"/>
              <w:left w:val="nil"/>
              <w:bottom w:val="nil"/>
              <w:right w:val="nil"/>
            </w:tcBorders>
            <w:shd w:val="clear" w:color="000000" w:fill="C6E0B4"/>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Kenya</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Chad</w:t>
            </w:r>
          </w:p>
        </w:tc>
        <w:tc>
          <w:tcPr>
            <w:tcW w:w="1798" w:type="dxa"/>
            <w:gridSpan w:val="2"/>
            <w:tcBorders>
              <w:top w:val="nil"/>
              <w:left w:val="nil"/>
              <w:bottom w:val="nil"/>
              <w:right w:val="nil"/>
            </w:tcBorders>
            <w:shd w:val="clear" w:color="000000" w:fill="FFFF00"/>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DRC</w:t>
            </w:r>
          </w:p>
        </w:tc>
        <w:tc>
          <w:tcPr>
            <w:tcW w:w="1728" w:type="dxa"/>
            <w:gridSpan w:val="2"/>
            <w:tcBorders>
              <w:top w:val="nil"/>
              <w:left w:val="nil"/>
              <w:bottom w:val="nil"/>
              <w:right w:val="nil"/>
            </w:tcBorders>
            <w:shd w:val="clear" w:color="000000" w:fill="C6E0B4"/>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Lesotho</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Guinea Bissau</w:t>
            </w:r>
          </w:p>
        </w:tc>
        <w:tc>
          <w:tcPr>
            <w:tcW w:w="1798" w:type="dxa"/>
            <w:gridSpan w:val="2"/>
            <w:tcBorders>
              <w:top w:val="nil"/>
              <w:left w:val="nil"/>
              <w:bottom w:val="nil"/>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Ethiopia</w:t>
            </w:r>
          </w:p>
        </w:tc>
        <w:tc>
          <w:tcPr>
            <w:tcW w:w="1728" w:type="dxa"/>
            <w:gridSpan w:val="2"/>
            <w:tcBorders>
              <w:top w:val="nil"/>
              <w:left w:val="nil"/>
              <w:bottom w:val="nil"/>
              <w:right w:val="nil"/>
            </w:tcBorders>
            <w:shd w:val="clear" w:color="000000" w:fill="C6E0B4"/>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Namibia</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Somalia</w:t>
            </w:r>
          </w:p>
        </w:tc>
        <w:tc>
          <w:tcPr>
            <w:tcW w:w="1798" w:type="dxa"/>
            <w:gridSpan w:val="2"/>
            <w:tcBorders>
              <w:top w:val="nil"/>
              <w:left w:val="nil"/>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Gabon</w:t>
            </w:r>
          </w:p>
        </w:tc>
        <w:tc>
          <w:tcPr>
            <w:tcW w:w="1728" w:type="dxa"/>
            <w:gridSpan w:val="2"/>
            <w:tcBorders>
              <w:top w:val="nil"/>
              <w:left w:val="nil"/>
              <w:bottom w:val="nil"/>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Nigeria</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South Sudan</w:t>
            </w:r>
          </w:p>
        </w:tc>
        <w:tc>
          <w:tcPr>
            <w:tcW w:w="1798" w:type="dxa"/>
            <w:gridSpan w:val="2"/>
            <w:tcBorders>
              <w:top w:val="nil"/>
              <w:left w:val="nil"/>
              <w:bottom w:val="nil"/>
              <w:right w:val="nil"/>
            </w:tcBorders>
            <w:shd w:val="clear" w:color="000000" w:fill="C6E0B4"/>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Guinea</w:t>
            </w:r>
          </w:p>
        </w:tc>
        <w:tc>
          <w:tcPr>
            <w:tcW w:w="1728" w:type="dxa"/>
            <w:gridSpan w:val="2"/>
            <w:tcBorders>
              <w:top w:val="nil"/>
              <w:left w:val="nil"/>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South Africa</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798" w:type="dxa"/>
            <w:gridSpan w:val="2"/>
            <w:tcBorders>
              <w:top w:val="nil"/>
              <w:left w:val="nil"/>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Liberia</w:t>
            </w:r>
          </w:p>
        </w:tc>
        <w:tc>
          <w:tcPr>
            <w:tcW w:w="1728" w:type="dxa"/>
            <w:gridSpan w:val="2"/>
            <w:tcBorders>
              <w:top w:val="nil"/>
              <w:left w:val="nil"/>
              <w:bottom w:val="nil"/>
              <w:right w:val="nil"/>
            </w:tcBorders>
            <w:shd w:val="clear" w:color="000000" w:fill="FFFF00"/>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Sudan</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798" w:type="dxa"/>
            <w:gridSpan w:val="2"/>
            <w:tcBorders>
              <w:top w:val="nil"/>
              <w:left w:val="nil"/>
              <w:bottom w:val="nil"/>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Madagascar</w:t>
            </w:r>
          </w:p>
        </w:tc>
        <w:tc>
          <w:tcPr>
            <w:tcW w:w="1728" w:type="dxa"/>
            <w:gridSpan w:val="2"/>
            <w:tcBorders>
              <w:top w:val="nil"/>
              <w:left w:val="nil"/>
              <w:bottom w:val="nil"/>
              <w:right w:val="nil"/>
            </w:tcBorders>
            <w:shd w:val="clear" w:color="000000" w:fill="C6E0B4"/>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Zambia</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798" w:type="dxa"/>
            <w:gridSpan w:val="2"/>
            <w:tcBorders>
              <w:top w:val="nil"/>
              <w:left w:val="nil"/>
              <w:bottom w:val="nil"/>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Malawi</w:t>
            </w:r>
          </w:p>
        </w:tc>
        <w:tc>
          <w:tcPr>
            <w:tcW w:w="1728" w:type="dxa"/>
            <w:gridSpan w:val="2"/>
            <w:tcBorders>
              <w:top w:val="nil"/>
              <w:left w:val="nil"/>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798" w:type="dxa"/>
            <w:gridSpan w:val="2"/>
            <w:tcBorders>
              <w:top w:val="nil"/>
              <w:left w:val="nil"/>
              <w:bottom w:val="nil"/>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Mali</w:t>
            </w:r>
          </w:p>
        </w:tc>
        <w:tc>
          <w:tcPr>
            <w:tcW w:w="1728" w:type="dxa"/>
            <w:gridSpan w:val="2"/>
            <w:tcBorders>
              <w:top w:val="nil"/>
              <w:left w:val="nil"/>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798" w:type="dxa"/>
            <w:gridSpan w:val="2"/>
            <w:tcBorders>
              <w:top w:val="nil"/>
              <w:left w:val="nil"/>
              <w:bottom w:val="nil"/>
              <w:right w:val="nil"/>
            </w:tcBorders>
            <w:shd w:val="clear" w:color="000000" w:fill="C6E0B4"/>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Rwanda</w:t>
            </w:r>
          </w:p>
        </w:tc>
        <w:tc>
          <w:tcPr>
            <w:tcW w:w="1728" w:type="dxa"/>
            <w:gridSpan w:val="2"/>
            <w:tcBorders>
              <w:top w:val="nil"/>
              <w:left w:val="nil"/>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798" w:type="dxa"/>
            <w:gridSpan w:val="2"/>
            <w:tcBorders>
              <w:top w:val="nil"/>
              <w:left w:val="nil"/>
              <w:bottom w:val="nil"/>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Senegal</w:t>
            </w:r>
          </w:p>
        </w:tc>
        <w:tc>
          <w:tcPr>
            <w:tcW w:w="1728" w:type="dxa"/>
            <w:gridSpan w:val="2"/>
            <w:tcBorders>
              <w:top w:val="nil"/>
              <w:left w:val="nil"/>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798" w:type="dxa"/>
            <w:gridSpan w:val="2"/>
            <w:tcBorders>
              <w:top w:val="nil"/>
              <w:left w:val="nil"/>
              <w:bottom w:val="nil"/>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Tanzania</w:t>
            </w:r>
          </w:p>
        </w:tc>
        <w:tc>
          <w:tcPr>
            <w:tcW w:w="1728" w:type="dxa"/>
            <w:gridSpan w:val="2"/>
            <w:tcBorders>
              <w:top w:val="nil"/>
              <w:left w:val="nil"/>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798" w:type="dxa"/>
            <w:gridSpan w:val="2"/>
            <w:tcBorders>
              <w:top w:val="nil"/>
              <w:left w:val="nil"/>
              <w:bottom w:val="nil"/>
              <w:right w:val="nil"/>
            </w:tcBorders>
            <w:shd w:val="clear" w:color="000000" w:fill="FFFF00"/>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Togo</w:t>
            </w:r>
          </w:p>
        </w:tc>
        <w:tc>
          <w:tcPr>
            <w:tcW w:w="1728" w:type="dxa"/>
            <w:gridSpan w:val="2"/>
            <w:tcBorders>
              <w:top w:val="nil"/>
              <w:left w:val="nil"/>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1968" w:type="dxa"/>
            <w:tcBorders>
              <w:top w:val="nil"/>
              <w:left w:val="single" w:sz="8" w:space="0" w:color="auto"/>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798" w:type="dxa"/>
            <w:gridSpan w:val="2"/>
            <w:tcBorders>
              <w:top w:val="nil"/>
              <w:left w:val="nil"/>
              <w:bottom w:val="nil"/>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Uganda</w:t>
            </w:r>
          </w:p>
        </w:tc>
        <w:tc>
          <w:tcPr>
            <w:tcW w:w="1728" w:type="dxa"/>
            <w:gridSpan w:val="2"/>
            <w:tcBorders>
              <w:top w:val="nil"/>
              <w:left w:val="nil"/>
              <w:bottom w:val="nil"/>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402" w:type="dxa"/>
            <w:gridSpan w:val="2"/>
            <w:tcBorders>
              <w:top w:val="nil"/>
              <w:left w:val="nil"/>
              <w:bottom w:val="nil"/>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300"/>
        </w:trPr>
        <w:tc>
          <w:tcPr>
            <w:tcW w:w="1968" w:type="dxa"/>
            <w:tcBorders>
              <w:top w:val="nil"/>
              <w:left w:val="single" w:sz="8" w:space="0" w:color="auto"/>
              <w:bottom w:val="single" w:sz="8" w:space="0" w:color="auto"/>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798" w:type="dxa"/>
            <w:gridSpan w:val="2"/>
            <w:tcBorders>
              <w:top w:val="nil"/>
              <w:left w:val="nil"/>
              <w:bottom w:val="single" w:sz="8" w:space="0" w:color="auto"/>
              <w:right w:val="nil"/>
            </w:tcBorders>
            <w:shd w:val="clear" w:color="000000" w:fill="BDD7EE"/>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Zimbabwe</w:t>
            </w:r>
          </w:p>
        </w:tc>
        <w:tc>
          <w:tcPr>
            <w:tcW w:w="1728" w:type="dxa"/>
            <w:gridSpan w:val="2"/>
            <w:tcBorders>
              <w:top w:val="nil"/>
              <w:left w:val="nil"/>
              <w:bottom w:val="single" w:sz="8" w:space="0" w:color="auto"/>
              <w:right w:val="nil"/>
            </w:tcBorders>
            <w:shd w:val="clear" w:color="000000" w:fill="FFFFFF"/>
            <w:noWrap/>
            <w:vAlign w:val="bottom"/>
            <w:hideMark/>
          </w:tcPr>
          <w:p w:rsidR="004F5D4C" w:rsidRPr="004F5D4C" w:rsidRDefault="004F5D4C" w:rsidP="004F5D4C">
            <w:pPr>
              <w:spacing w:after="0" w:line="240" w:lineRule="auto"/>
              <w:jc w:val="center"/>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1402" w:type="dxa"/>
            <w:gridSpan w:val="2"/>
            <w:tcBorders>
              <w:top w:val="nil"/>
              <w:left w:val="nil"/>
              <w:bottom w:val="single" w:sz="8" w:space="0" w:color="auto"/>
              <w:right w:val="single" w:sz="8" w:space="0" w:color="auto"/>
            </w:tcBorders>
            <w:shd w:val="clear" w:color="000000" w:fill="FFFFFF"/>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 </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7132" w:type="dxa"/>
            <w:gridSpan w:val="8"/>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Notes: Blue countries &lt;10 pp change, green countries 10-20pp change</w:t>
            </w: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6896" w:type="dxa"/>
            <w:gridSpan w:val="7"/>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r w:rsidRPr="004F5D4C">
              <w:rPr>
                <w:rFonts w:ascii="Calibri" w:eastAsia="Times New Roman" w:hAnsi="Calibri" w:cs="Calibri"/>
                <w:color w:val="000000"/>
                <w:lang w:eastAsia="en-GB"/>
              </w:rPr>
              <w:t>and yellow countries &gt; 20pp change. No colour cell countries</w:t>
            </w:r>
            <w:r>
              <w:rPr>
                <w:rFonts w:ascii="Calibri" w:eastAsia="Times New Roman" w:hAnsi="Calibri" w:cs="Calibri"/>
                <w:color w:val="000000"/>
                <w:lang w:eastAsia="en-GB"/>
              </w:rPr>
              <w:t xml:space="preserve"> no data.</w:t>
            </w: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r>
      <w:tr w:rsidR="004F5D4C" w:rsidRPr="004F5D4C" w:rsidTr="00253C4D">
        <w:tblPrEx>
          <w:tblCellMar>
            <w:left w:w="108" w:type="dxa"/>
            <w:right w:w="108" w:type="dxa"/>
          </w:tblCellMar>
          <w:tblLook w:val="04A0" w:firstRow="1" w:lastRow="0" w:firstColumn="1" w:lastColumn="0" w:noHBand="0" w:noVBand="1"/>
        </w:tblPrEx>
        <w:trPr>
          <w:gridBefore w:val="1"/>
          <w:gridAfter w:val="4"/>
          <w:wBefore w:w="29" w:type="dxa"/>
          <w:wAfter w:w="3320" w:type="dxa"/>
          <w:trHeight w:val="288"/>
        </w:trPr>
        <w:tc>
          <w:tcPr>
            <w:tcW w:w="3766" w:type="dxa"/>
            <w:gridSpan w:val="3"/>
            <w:tcBorders>
              <w:top w:val="nil"/>
              <w:left w:val="nil"/>
              <w:bottom w:val="nil"/>
              <w:right w:val="nil"/>
            </w:tcBorders>
            <w:shd w:val="clear" w:color="auto" w:fill="auto"/>
            <w:noWrap/>
            <w:vAlign w:val="bottom"/>
          </w:tcPr>
          <w:p w:rsidR="004F5D4C" w:rsidRPr="004F5D4C" w:rsidRDefault="004F5D4C" w:rsidP="004F5D4C">
            <w:pPr>
              <w:spacing w:after="0" w:line="240" w:lineRule="auto"/>
              <w:rPr>
                <w:rFonts w:ascii="Calibri" w:eastAsia="Times New Roman" w:hAnsi="Calibri" w:cs="Calibri"/>
                <w:color w:val="000000"/>
                <w:lang w:eastAsia="en-GB"/>
              </w:rPr>
            </w:pPr>
          </w:p>
        </w:tc>
        <w:tc>
          <w:tcPr>
            <w:tcW w:w="1728" w:type="dxa"/>
            <w:gridSpan w:val="2"/>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Calibri" w:eastAsia="Times New Roman" w:hAnsi="Calibri" w:cs="Calibri"/>
                <w:color w:val="000000"/>
                <w:lang w:eastAsia="en-GB"/>
              </w:rPr>
            </w:pPr>
          </w:p>
        </w:tc>
        <w:tc>
          <w:tcPr>
            <w:tcW w:w="1402" w:type="dxa"/>
            <w:gridSpan w:val="2"/>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rsidR="004F5D4C" w:rsidRPr="004F5D4C" w:rsidRDefault="004F5D4C" w:rsidP="004F5D4C">
            <w:pPr>
              <w:spacing w:after="0" w:line="240" w:lineRule="auto"/>
              <w:rPr>
                <w:rFonts w:ascii="Times New Roman" w:eastAsia="Times New Roman" w:hAnsi="Times New Roman" w:cs="Times New Roman"/>
                <w:sz w:val="20"/>
                <w:szCs w:val="20"/>
                <w:lang w:eastAsia="en-GB"/>
              </w:rPr>
            </w:pPr>
          </w:p>
        </w:tc>
      </w:tr>
    </w:tbl>
    <w:p w:rsidR="00253C4D" w:rsidRDefault="00535FA8" w:rsidP="00720162">
      <w:pPr>
        <w:jc w:val="both"/>
        <w:rPr>
          <w:rFonts w:asciiTheme="majorHAnsi" w:hAnsiTheme="majorHAnsi" w:cstheme="majorHAnsi"/>
          <w:sz w:val="28"/>
          <w:szCs w:val="28"/>
        </w:rPr>
      </w:pPr>
      <w:r w:rsidRPr="00327B3A">
        <w:rPr>
          <w:rFonts w:asciiTheme="majorHAnsi" w:hAnsiTheme="majorHAnsi" w:cstheme="majorHAnsi"/>
          <w:sz w:val="28"/>
          <w:szCs w:val="28"/>
        </w:rPr>
        <w:t>incidence of early marriage and teenage pregnancy and</w:t>
      </w:r>
      <w:r>
        <w:rPr>
          <w:rFonts w:asciiTheme="majorHAnsi" w:hAnsiTheme="majorHAnsi" w:cstheme="majorHAnsi"/>
          <w:sz w:val="28"/>
          <w:szCs w:val="28"/>
        </w:rPr>
        <w:t xml:space="preserve"> </w:t>
      </w:r>
      <w:r w:rsidRPr="00327B3A">
        <w:rPr>
          <w:rFonts w:asciiTheme="majorHAnsi" w:hAnsiTheme="majorHAnsi" w:cstheme="majorHAnsi"/>
          <w:sz w:val="28"/>
          <w:szCs w:val="28"/>
        </w:rPr>
        <w:t xml:space="preserve">the high opportunity costs </w:t>
      </w:r>
      <w:r w:rsidR="00253C4D" w:rsidRPr="00327B3A">
        <w:rPr>
          <w:rFonts w:asciiTheme="majorHAnsi" w:hAnsiTheme="majorHAnsi" w:cstheme="majorHAnsi"/>
          <w:sz w:val="28"/>
          <w:szCs w:val="28"/>
        </w:rPr>
        <w:t xml:space="preserve">of secondary schooling resulting from the heavy involvement of adolescents in SSA in household productive activities.      </w:t>
      </w:r>
    </w:p>
    <w:p w:rsidR="00535FA8" w:rsidRPr="00CC0CAD" w:rsidRDefault="00720162" w:rsidP="00720162">
      <w:pPr>
        <w:jc w:val="both"/>
        <w:rPr>
          <w:rFonts w:asciiTheme="majorHAnsi" w:hAnsiTheme="majorHAnsi" w:cstheme="majorHAnsi"/>
          <w:sz w:val="28"/>
          <w:szCs w:val="28"/>
        </w:rPr>
      </w:pPr>
      <w:r w:rsidRPr="00327B3A">
        <w:rPr>
          <w:rFonts w:asciiTheme="majorHAnsi" w:hAnsiTheme="majorHAnsi" w:cstheme="majorHAnsi"/>
          <w:sz w:val="28"/>
          <w:szCs w:val="28"/>
        </w:rPr>
        <w:t>Progress in increasing enrolment and completion rat</w:t>
      </w:r>
      <w:r w:rsidR="009E5321" w:rsidRPr="00327B3A">
        <w:rPr>
          <w:rFonts w:asciiTheme="majorHAnsi" w:hAnsiTheme="majorHAnsi" w:cstheme="majorHAnsi"/>
          <w:sz w:val="28"/>
          <w:szCs w:val="28"/>
        </w:rPr>
        <w:t xml:space="preserve">es has also been generally </w:t>
      </w:r>
      <w:r w:rsidRPr="00327B3A">
        <w:rPr>
          <w:rFonts w:asciiTheme="majorHAnsi" w:hAnsiTheme="majorHAnsi" w:cstheme="majorHAnsi"/>
          <w:sz w:val="28"/>
          <w:szCs w:val="28"/>
        </w:rPr>
        <w:t>limited. Completion rates for both lower and upper secondary</w:t>
      </w:r>
      <w:r w:rsidR="00731F8B" w:rsidRPr="00327B3A">
        <w:rPr>
          <w:rFonts w:asciiTheme="majorHAnsi" w:hAnsiTheme="majorHAnsi" w:cstheme="majorHAnsi"/>
          <w:sz w:val="28"/>
          <w:szCs w:val="28"/>
        </w:rPr>
        <w:t xml:space="preserve"> schooling </w:t>
      </w:r>
      <w:r w:rsidRPr="00327B3A">
        <w:rPr>
          <w:rFonts w:asciiTheme="majorHAnsi" w:hAnsiTheme="majorHAnsi" w:cstheme="majorHAnsi"/>
          <w:sz w:val="28"/>
          <w:szCs w:val="28"/>
        </w:rPr>
        <w:t>increased by less than 10 percentage points</w:t>
      </w:r>
      <w:r w:rsidR="00731F8B" w:rsidRPr="00327B3A">
        <w:rPr>
          <w:rFonts w:asciiTheme="majorHAnsi" w:hAnsiTheme="majorHAnsi" w:cstheme="majorHAnsi"/>
          <w:sz w:val="28"/>
          <w:szCs w:val="28"/>
        </w:rPr>
        <w:t xml:space="preserve"> (pp)</w:t>
      </w:r>
      <w:r w:rsidRPr="00327B3A">
        <w:rPr>
          <w:rFonts w:asciiTheme="majorHAnsi" w:hAnsiTheme="majorHAnsi" w:cstheme="majorHAnsi"/>
          <w:sz w:val="28"/>
          <w:szCs w:val="28"/>
        </w:rPr>
        <w:t xml:space="preserve"> in around 40% of countries between 2000 and 2018. The two standout best performers for lower secondary education are DRC and Togo (</w:t>
      </w:r>
      <w:r w:rsidR="00731F8B" w:rsidRPr="00327B3A">
        <w:rPr>
          <w:rFonts w:asciiTheme="majorHAnsi" w:hAnsiTheme="majorHAnsi" w:cstheme="majorHAnsi"/>
          <w:sz w:val="28"/>
          <w:szCs w:val="28"/>
        </w:rPr>
        <w:t xml:space="preserve">with </w:t>
      </w:r>
      <w:r w:rsidR="009E5321" w:rsidRPr="00327B3A">
        <w:rPr>
          <w:rFonts w:asciiTheme="majorHAnsi" w:hAnsiTheme="majorHAnsi" w:cstheme="majorHAnsi"/>
          <w:sz w:val="28"/>
          <w:szCs w:val="28"/>
        </w:rPr>
        <w:t>30 and 36</w:t>
      </w:r>
      <w:r w:rsidRPr="00327B3A">
        <w:rPr>
          <w:rFonts w:asciiTheme="majorHAnsi" w:hAnsiTheme="majorHAnsi" w:cstheme="majorHAnsi"/>
          <w:sz w:val="28"/>
          <w:szCs w:val="28"/>
        </w:rPr>
        <w:t xml:space="preserve">pp increases respectively) and </w:t>
      </w:r>
      <w:r w:rsidR="00731F8B" w:rsidRPr="00327B3A">
        <w:rPr>
          <w:rFonts w:asciiTheme="majorHAnsi" w:hAnsiTheme="majorHAnsi" w:cstheme="majorHAnsi"/>
          <w:sz w:val="28"/>
          <w:szCs w:val="28"/>
        </w:rPr>
        <w:t xml:space="preserve">Ghana </w:t>
      </w:r>
      <w:r w:rsidRPr="00327B3A">
        <w:rPr>
          <w:rFonts w:asciiTheme="majorHAnsi" w:hAnsiTheme="majorHAnsi" w:cstheme="majorHAnsi"/>
          <w:sz w:val="28"/>
          <w:szCs w:val="28"/>
        </w:rPr>
        <w:t>for upper secondary</w:t>
      </w:r>
      <w:r w:rsidR="00731F8B" w:rsidRPr="00327B3A">
        <w:rPr>
          <w:rFonts w:asciiTheme="majorHAnsi" w:hAnsiTheme="majorHAnsi" w:cstheme="majorHAnsi"/>
          <w:sz w:val="28"/>
          <w:szCs w:val="28"/>
        </w:rPr>
        <w:t xml:space="preserve"> education</w:t>
      </w:r>
      <w:r w:rsidR="009E5321" w:rsidRPr="00327B3A">
        <w:rPr>
          <w:rFonts w:asciiTheme="majorHAnsi" w:hAnsiTheme="majorHAnsi" w:cstheme="majorHAnsi"/>
          <w:sz w:val="28"/>
          <w:szCs w:val="28"/>
        </w:rPr>
        <w:t xml:space="preserve"> (31pp</w:t>
      </w:r>
      <w:r w:rsidR="00916021">
        <w:rPr>
          <w:rFonts w:asciiTheme="majorHAnsi" w:hAnsiTheme="majorHAnsi" w:cstheme="majorHAnsi"/>
          <w:sz w:val="28"/>
          <w:szCs w:val="28"/>
        </w:rPr>
        <w:t xml:space="preserve">) (see </w:t>
      </w:r>
      <w:r w:rsidRPr="00327B3A">
        <w:rPr>
          <w:rFonts w:asciiTheme="majorHAnsi" w:hAnsiTheme="majorHAnsi" w:cstheme="majorHAnsi"/>
          <w:sz w:val="28"/>
          <w:szCs w:val="28"/>
        </w:rPr>
        <w:t xml:space="preserve">tables </w:t>
      </w:r>
      <w:r w:rsidR="00916021">
        <w:rPr>
          <w:rFonts w:asciiTheme="majorHAnsi" w:hAnsiTheme="majorHAnsi" w:cstheme="majorHAnsi"/>
          <w:sz w:val="28"/>
          <w:szCs w:val="28"/>
        </w:rPr>
        <w:t>3 and 4 and annex table 4</w:t>
      </w:r>
      <w:r w:rsidRPr="00327B3A">
        <w:rPr>
          <w:rFonts w:asciiTheme="majorHAnsi" w:hAnsiTheme="majorHAnsi" w:cstheme="majorHAnsi"/>
          <w:sz w:val="28"/>
          <w:szCs w:val="28"/>
        </w:rPr>
        <w:t>). It is important to focus on these countries</w:t>
      </w:r>
      <w:r w:rsidR="00731F8B" w:rsidRPr="00327B3A">
        <w:rPr>
          <w:rFonts w:asciiTheme="majorHAnsi" w:hAnsiTheme="majorHAnsi" w:cstheme="majorHAnsi"/>
          <w:sz w:val="28"/>
          <w:szCs w:val="28"/>
        </w:rPr>
        <w:t xml:space="preserve"> in order </w:t>
      </w:r>
      <w:r w:rsidRPr="00327B3A">
        <w:rPr>
          <w:rFonts w:asciiTheme="majorHAnsi" w:hAnsiTheme="majorHAnsi" w:cstheme="majorHAnsi"/>
          <w:sz w:val="28"/>
          <w:szCs w:val="28"/>
        </w:rPr>
        <w:t xml:space="preserve">to gain an in-depth understanding </w:t>
      </w:r>
      <w:r w:rsidR="009E5321" w:rsidRPr="00327B3A">
        <w:rPr>
          <w:rFonts w:asciiTheme="majorHAnsi" w:hAnsiTheme="majorHAnsi" w:cstheme="majorHAnsi"/>
          <w:sz w:val="28"/>
          <w:szCs w:val="28"/>
        </w:rPr>
        <w:t xml:space="preserve">of </w:t>
      </w:r>
      <w:r w:rsidRPr="00327B3A">
        <w:rPr>
          <w:rFonts w:asciiTheme="majorHAnsi" w:hAnsiTheme="majorHAnsi" w:cstheme="majorHAnsi"/>
          <w:sz w:val="28"/>
          <w:szCs w:val="28"/>
        </w:rPr>
        <w:t xml:space="preserve">why they have managed to achieve such relatively </w:t>
      </w:r>
      <w:r w:rsidR="000C4FAF" w:rsidRPr="00327B3A">
        <w:rPr>
          <w:rFonts w:asciiTheme="majorHAnsi" w:hAnsiTheme="majorHAnsi" w:cstheme="majorHAnsi"/>
          <w:sz w:val="28"/>
          <w:szCs w:val="28"/>
        </w:rPr>
        <w:t xml:space="preserve">large </w:t>
      </w:r>
      <w:r w:rsidRPr="00CC0CAD">
        <w:rPr>
          <w:rFonts w:asciiTheme="majorHAnsi" w:hAnsiTheme="majorHAnsi" w:cstheme="majorHAnsi"/>
          <w:sz w:val="28"/>
          <w:szCs w:val="28"/>
        </w:rPr>
        <w:t xml:space="preserve">improvements in their completion rates. </w:t>
      </w:r>
    </w:p>
    <w:p w:rsidR="004F5D4C" w:rsidRPr="00CC0CAD" w:rsidRDefault="00F55693" w:rsidP="00720162">
      <w:pPr>
        <w:jc w:val="both"/>
        <w:rPr>
          <w:rFonts w:asciiTheme="majorHAnsi" w:hAnsiTheme="majorHAnsi" w:cstheme="majorHAnsi"/>
          <w:sz w:val="28"/>
          <w:szCs w:val="28"/>
        </w:rPr>
      </w:pPr>
      <w:r w:rsidRPr="00CC0CAD">
        <w:rPr>
          <w:rFonts w:asciiTheme="majorHAnsi" w:hAnsiTheme="majorHAnsi" w:cstheme="majorHAnsi"/>
          <w:noProof/>
          <w:lang w:eastAsia="en-GB"/>
        </w:rPr>
        <w:drawing>
          <wp:inline distT="0" distB="0" distL="0" distR="0" wp14:anchorId="787D1071" wp14:editId="441EC19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0162" w:rsidRPr="00327B3A" w:rsidRDefault="00720162" w:rsidP="00720162">
      <w:pPr>
        <w:jc w:val="both"/>
        <w:rPr>
          <w:rFonts w:asciiTheme="majorHAnsi" w:hAnsiTheme="majorHAnsi" w:cstheme="majorHAnsi"/>
          <w:sz w:val="28"/>
          <w:szCs w:val="28"/>
        </w:rPr>
      </w:pPr>
      <w:r w:rsidRPr="00CC0CAD">
        <w:rPr>
          <w:rFonts w:asciiTheme="majorHAnsi" w:hAnsiTheme="majorHAnsi" w:cstheme="majorHAnsi"/>
          <w:sz w:val="28"/>
          <w:szCs w:val="28"/>
        </w:rPr>
        <w:t xml:space="preserve">What is </w:t>
      </w:r>
      <w:r w:rsidR="00535FA8" w:rsidRPr="00CC0CAD">
        <w:rPr>
          <w:rFonts w:asciiTheme="majorHAnsi" w:hAnsiTheme="majorHAnsi" w:cstheme="majorHAnsi"/>
          <w:sz w:val="28"/>
          <w:szCs w:val="28"/>
        </w:rPr>
        <w:t>also very</w:t>
      </w:r>
      <w:r w:rsidRPr="00CC0CAD">
        <w:rPr>
          <w:rFonts w:asciiTheme="majorHAnsi" w:hAnsiTheme="majorHAnsi" w:cstheme="majorHAnsi"/>
          <w:sz w:val="28"/>
          <w:szCs w:val="28"/>
        </w:rPr>
        <w:t xml:space="preserve"> </w:t>
      </w:r>
      <w:r w:rsidR="00DE5781" w:rsidRPr="00CC0CAD">
        <w:rPr>
          <w:rFonts w:asciiTheme="majorHAnsi" w:hAnsiTheme="majorHAnsi" w:cstheme="majorHAnsi"/>
          <w:sz w:val="28"/>
          <w:szCs w:val="28"/>
        </w:rPr>
        <w:t>concerning</w:t>
      </w:r>
      <w:r w:rsidR="00DE5781"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is that increases in gross enrolment rates at both lower and upper secondary school levels have stalled in most </w:t>
      </w:r>
      <w:r w:rsidR="00D519DA" w:rsidRPr="00327B3A">
        <w:rPr>
          <w:rFonts w:asciiTheme="majorHAnsi" w:hAnsiTheme="majorHAnsi" w:cstheme="majorHAnsi"/>
          <w:sz w:val="28"/>
          <w:szCs w:val="28"/>
        </w:rPr>
        <w:t xml:space="preserve">countries </w:t>
      </w:r>
      <w:r w:rsidRPr="00327B3A">
        <w:rPr>
          <w:rFonts w:asciiTheme="majorHAnsi" w:hAnsiTheme="majorHAnsi" w:cstheme="majorHAnsi"/>
          <w:sz w:val="28"/>
          <w:szCs w:val="28"/>
        </w:rPr>
        <w:t>in SSA during the last five years (see Tables 1 and 2)</w:t>
      </w:r>
      <w:r w:rsidR="00731F8B" w:rsidRPr="00327B3A">
        <w:rPr>
          <w:rFonts w:asciiTheme="majorHAnsi" w:hAnsiTheme="majorHAnsi" w:cstheme="majorHAnsi"/>
          <w:sz w:val="28"/>
          <w:szCs w:val="28"/>
        </w:rPr>
        <w:t xml:space="preserve">. This </w:t>
      </w:r>
      <w:r w:rsidRPr="00327B3A">
        <w:rPr>
          <w:rFonts w:asciiTheme="majorHAnsi" w:hAnsiTheme="majorHAnsi" w:cstheme="majorHAnsi"/>
          <w:sz w:val="28"/>
          <w:szCs w:val="28"/>
        </w:rPr>
        <w:t xml:space="preserve">is the reverse of what </w:t>
      </w:r>
      <w:r w:rsidR="00535FA8">
        <w:rPr>
          <w:rFonts w:asciiTheme="majorHAnsi" w:hAnsiTheme="majorHAnsi" w:cstheme="majorHAnsi"/>
          <w:sz w:val="28"/>
          <w:szCs w:val="28"/>
        </w:rPr>
        <w:t xml:space="preserve">one </w:t>
      </w:r>
      <w:r w:rsidRPr="00327B3A">
        <w:rPr>
          <w:rFonts w:asciiTheme="majorHAnsi" w:hAnsiTheme="majorHAnsi" w:cstheme="majorHAnsi"/>
          <w:sz w:val="28"/>
          <w:szCs w:val="28"/>
        </w:rPr>
        <w:t>would expect if government</w:t>
      </w:r>
      <w:r w:rsidR="00535FA8">
        <w:rPr>
          <w:rFonts w:asciiTheme="majorHAnsi" w:hAnsiTheme="majorHAnsi" w:cstheme="majorHAnsi"/>
          <w:sz w:val="28"/>
          <w:szCs w:val="28"/>
        </w:rPr>
        <w:t>s in SSA are</w:t>
      </w:r>
      <w:r w:rsidR="00DE5781" w:rsidRPr="00327B3A">
        <w:rPr>
          <w:rFonts w:asciiTheme="majorHAnsi" w:hAnsiTheme="majorHAnsi" w:cstheme="majorHAnsi"/>
          <w:sz w:val="28"/>
          <w:szCs w:val="28"/>
        </w:rPr>
        <w:t xml:space="preserve"> </w:t>
      </w:r>
      <w:r w:rsidRPr="00327B3A">
        <w:rPr>
          <w:rFonts w:asciiTheme="majorHAnsi" w:hAnsiTheme="majorHAnsi" w:cstheme="majorHAnsi"/>
          <w:sz w:val="28"/>
          <w:szCs w:val="28"/>
        </w:rPr>
        <w:t>commitment to attaining the SDG education goals by 2030. Again, only in-depth analysis which identifies all the key underlying political, social and economic factors ca</w:t>
      </w:r>
      <w:r w:rsidR="000C4FAF" w:rsidRPr="00327B3A">
        <w:rPr>
          <w:rFonts w:asciiTheme="majorHAnsi" w:hAnsiTheme="majorHAnsi" w:cstheme="majorHAnsi"/>
          <w:sz w:val="28"/>
          <w:szCs w:val="28"/>
        </w:rPr>
        <w:t>n</w:t>
      </w:r>
      <w:r w:rsidRPr="00327B3A">
        <w:rPr>
          <w:rFonts w:asciiTheme="majorHAnsi" w:hAnsiTheme="majorHAnsi" w:cstheme="majorHAnsi"/>
          <w:sz w:val="28"/>
          <w:szCs w:val="28"/>
        </w:rPr>
        <w:t xml:space="preserve"> adequately explain the reasons for this apparent slowdown.  </w:t>
      </w:r>
    </w:p>
    <w:p w:rsidR="00D707C6" w:rsidRPr="00327B3A" w:rsidRDefault="00720162" w:rsidP="002052D2">
      <w:pPr>
        <w:jc w:val="both"/>
        <w:rPr>
          <w:rFonts w:asciiTheme="majorHAnsi" w:hAnsiTheme="majorHAnsi" w:cstheme="majorHAnsi"/>
          <w:i/>
          <w:sz w:val="28"/>
          <w:szCs w:val="28"/>
        </w:rPr>
      </w:pPr>
      <w:r w:rsidRPr="00327B3A">
        <w:rPr>
          <w:rFonts w:asciiTheme="majorHAnsi" w:hAnsiTheme="majorHAnsi" w:cstheme="majorHAnsi"/>
          <w:i/>
          <w:sz w:val="28"/>
          <w:szCs w:val="28"/>
        </w:rPr>
        <w:t xml:space="preserve">3.2 </w:t>
      </w:r>
      <w:r w:rsidR="001C6697" w:rsidRPr="00327B3A">
        <w:rPr>
          <w:rFonts w:asciiTheme="majorHAnsi" w:hAnsiTheme="majorHAnsi" w:cstheme="majorHAnsi"/>
          <w:i/>
          <w:sz w:val="28"/>
          <w:szCs w:val="28"/>
        </w:rPr>
        <w:t>The crisis of rural schooling</w:t>
      </w:r>
      <w:r w:rsidR="000B53A3" w:rsidRPr="00327B3A">
        <w:rPr>
          <w:rFonts w:asciiTheme="majorHAnsi" w:hAnsiTheme="majorHAnsi" w:cstheme="majorHAnsi"/>
          <w:i/>
          <w:sz w:val="28"/>
          <w:szCs w:val="28"/>
        </w:rPr>
        <w:t xml:space="preserve"> </w:t>
      </w:r>
    </w:p>
    <w:p w:rsidR="00E04B20" w:rsidRDefault="002474FC" w:rsidP="002052D2">
      <w:pPr>
        <w:jc w:val="both"/>
        <w:rPr>
          <w:rFonts w:asciiTheme="majorHAnsi" w:hAnsiTheme="majorHAnsi" w:cstheme="majorHAnsi"/>
          <w:sz w:val="28"/>
          <w:szCs w:val="28"/>
        </w:rPr>
      </w:pPr>
      <w:r w:rsidRPr="00327B3A">
        <w:rPr>
          <w:rFonts w:asciiTheme="majorHAnsi" w:hAnsiTheme="majorHAnsi" w:cstheme="majorHAnsi"/>
          <w:sz w:val="28"/>
          <w:szCs w:val="28"/>
        </w:rPr>
        <w:t>Over two-thirds of A</w:t>
      </w:r>
      <w:r w:rsidR="00E27AC1" w:rsidRPr="00327B3A">
        <w:rPr>
          <w:rFonts w:asciiTheme="majorHAnsi" w:hAnsiTheme="majorHAnsi" w:cstheme="majorHAnsi"/>
          <w:sz w:val="28"/>
          <w:szCs w:val="28"/>
        </w:rPr>
        <w:t xml:space="preserve">frica’s population continue to live in rural areas. </w:t>
      </w:r>
      <w:r w:rsidR="000C3CB6" w:rsidRPr="00327B3A">
        <w:rPr>
          <w:rFonts w:asciiTheme="majorHAnsi" w:hAnsiTheme="majorHAnsi" w:cstheme="majorHAnsi"/>
          <w:sz w:val="28"/>
          <w:szCs w:val="28"/>
        </w:rPr>
        <w:t xml:space="preserve">The Report notes that ‘rural-urban (enrolment) inequalities are significant’ (p.65) but </w:t>
      </w:r>
      <w:r w:rsidR="0078278A">
        <w:rPr>
          <w:rFonts w:asciiTheme="majorHAnsi" w:hAnsiTheme="majorHAnsi" w:cstheme="majorHAnsi"/>
          <w:sz w:val="28"/>
          <w:szCs w:val="28"/>
        </w:rPr>
        <w:t xml:space="preserve">more </w:t>
      </w:r>
      <w:r w:rsidR="000C3CB6" w:rsidRPr="00327B3A">
        <w:rPr>
          <w:rFonts w:asciiTheme="majorHAnsi" w:hAnsiTheme="majorHAnsi" w:cstheme="majorHAnsi"/>
          <w:sz w:val="28"/>
          <w:szCs w:val="28"/>
        </w:rPr>
        <w:t xml:space="preserve">substantive analysis </w:t>
      </w:r>
      <w:r w:rsidR="0078278A">
        <w:rPr>
          <w:rFonts w:asciiTheme="majorHAnsi" w:hAnsiTheme="majorHAnsi" w:cstheme="majorHAnsi"/>
          <w:sz w:val="28"/>
          <w:szCs w:val="28"/>
        </w:rPr>
        <w:t xml:space="preserve">is needed in order to assess </w:t>
      </w:r>
      <w:r w:rsidR="000C3CB6" w:rsidRPr="00327B3A">
        <w:rPr>
          <w:rFonts w:asciiTheme="majorHAnsi" w:hAnsiTheme="majorHAnsi" w:cstheme="majorHAnsi"/>
          <w:sz w:val="28"/>
          <w:szCs w:val="28"/>
        </w:rPr>
        <w:t xml:space="preserve">the extent of and reasons for </w:t>
      </w:r>
      <w:r w:rsidR="000C3CB6" w:rsidRPr="00327B3A">
        <w:rPr>
          <w:rFonts w:asciiTheme="majorHAnsi" w:hAnsiTheme="majorHAnsi" w:cstheme="majorHAnsi"/>
          <w:sz w:val="28"/>
          <w:szCs w:val="28"/>
        </w:rPr>
        <w:lastRenderedPageBreak/>
        <w:t>these spatial disparities. This is a</w:t>
      </w:r>
      <w:r w:rsidR="00E27AC1" w:rsidRPr="00327B3A">
        <w:rPr>
          <w:rFonts w:asciiTheme="majorHAnsi" w:hAnsiTheme="majorHAnsi" w:cstheme="majorHAnsi"/>
          <w:sz w:val="28"/>
          <w:szCs w:val="28"/>
        </w:rPr>
        <w:t>n important omission</w:t>
      </w:r>
      <w:r w:rsidR="000C3CB6" w:rsidRPr="00327B3A">
        <w:rPr>
          <w:rFonts w:asciiTheme="majorHAnsi" w:hAnsiTheme="majorHAnsi" w:cstheme="majorHAnsi"/>
          <w:sz w:val="28"/>
          <w:szCs w:val="28"/>
        </w:rPr>
        <w:t xml:space="preserve"> since </w:t>
      </w:r>
      <w:r w:rsidR="00731F8B" w:rsidRPr="00327B3A">
        <w:rPr>
          <w:rFonts w:asciiTheme="majorHAnsi" w:hAnsiTheme="majorHAnsi" w:cstheme="majorHAnsi"/>
          <w:sz w:val="28"/>
          <w:szCs w:val="28"/>
        </w:rPr>
        <w:t xml:space="preserve">one of </w:t>
      </w:r>
      <w:r w:rsidR="000C3CB6" w:rsidRPr="00327B3A">
        <w:rPr>
          <w:rFonts w:asciiTheme="majorHAnsi" w:hAnsiTheme="majorHAnsi" w:cstheme="majorHAnsi"/>
          <w:sz w:val="28"/>
          <w:szCs w:val="28"/>
        </w:rPr>
        <w:t>the greatest challenge</w:t>
      </w:r>
      <w:r w:rsidR="00731F8B" w:rsidRPr="00327B3A">
        <w:rPr>
          <w:rFonts w:asciiTheme="majorHAnsi" w:hAnsiTheme="majorHAnsi" w:cstheme="majorHAnsi"/>
          <w:sz w:val="28"/>
          <w:szCs w:val="28"/>
        </w:rPr>
        <w:t>s</w:t>
      </w:r>
      <w:r w:rsidR="000C3CB6" w:rsidRPr="00327B3A">
        <w:rPr>
          <w:rFonts w:asciiTheme="majorHAnsi" w:hAnsiTheme="majorHAnsi" w:cstheme="majorHAnsi"/>
          <w:sz w:val="28"/>
          <w:szCs w:val="28"/>
        </w:rPr>
        <w:t xml:space="preserve"> in attaining USE in SSA is </w:t>
      </w:r>
      <w:r w:rsidR="00731F8B" w:rsidRPr="00327B3A">
        <w:rPr>
          <w:rFonts w:asciiTheme="majorHAnsi" w:hAnsiTheme="majorHAnsi" w:cstheme="majorHAnsi"/>
          <w:sz w:val="28"/>
          <w:szCs w:val="28"/>
        </w:rPr>
        <w:t xml:space="preserve">to </w:t>
      </w:r>
      <w:r w:rsidR="000C3CB6" w:rsidRPr="00327B3A">
        <w:rPr>
          <w:rFonts w:asciiTheme="majorHAnsi" w:hAnsiTheme="majorHAnsi" w:cstheme="majorHAnsi"/>
          <w:sz w:val="28"/>
          <w:szCs w:val="28"/>
        </w:rPr>
        <w:t xml:space="preserve">redress </w:t>
      </w:r>
      <w:r w:rsidR="009E5321" w:rsidRPr="00327B3A">
        <w:rPr>
          <w:rFonts w:asciiTheme="majorHAnsi" w:hAnsiTheme="majorHAnsi" w:cstheme="majorHAnsi"/>
          <w:sz w:val="28"/>
          <w:szCs w:val="28"/>
        </w:rPr>
        <w:t xml:space="preserve">serious </w:t>
      </w:r>
      <w:r w:rsidR="000C3CB6" w:rsidRPr="00327B3A">
        <w:rPr>
          <w:rFonts w:asciiTheme="majorHAnsi" w:hAnsiTheme="majorHAnsi" w:cstheme="majorHAnsi"/>
          <w:sz w:val="28"/>
          <w:szCs w:val="28"/>
        </w:rPr>
        <w:t xml:space="preserve">urban bias in the provision of secondary education. The concept of urban bias focuses in particular on the degree to which </w:t>
      </w:r>
      <w:r w:rsidR="00D15E08" w:rsidRPr="00327B3A">
        <w:rPr>
          <w:rFonts w:asciiTheme="majorHAnsi" w:hAnsiTheme="majorHAnsi" w:cstheme="majorHAnsi"/>
          <w:sz w:val="28"/>
          <w:szCs w:val="28"/>
        </w:rPr>
        <w:t xml:space="preserve">the provision of key </w:t>
      </w:r>
      <w:r w:rsidR="000C3CB6" w:rsidRPr="00327B3A">
        <w:rPr>
          <w:rFonts w:asciiTheme="majorHAnsi" w:hAnsiTheme="majorHAnsi" w:cstheme="majorHAnsi"/>
          <w:sz w:val="28"/>
          <w:szCs w:val="28"/>
        </w:rPr>
        <w:t>public services</w:t>
      </w:r>
      <w:r w:rsidR="00D15E08" w:rsidRPr="00327B3A">
        <w:rPr>
          <w:rFonts w:asciiTheme="majorHAnsi" w:hAnsiTheme="majorHAnsi" w:cstheme="majorHAnsi"/>
          <w:sz w:val="28"/>
          <w:szCs w:val="28"/>
        </w:rPr>
        <w:t xml:space="preserve"> </w:t>
      </w:r>
      <w:r w:rsidR="00E04B20" w:rsidRPr="00327B3A">
        <w:rPr>
          <w:rFonts w:asciiTheme="majorHAnsi" w:hAnsiTheme="majorHAnsi" w:cstheme="majorHAnsi"/>
          <w:sz w:val="28"/>
          <w:szCs w:val="28"/>
        </w:rPr>
        <w:t xml:space="preserve">is </w:t>
      </w:r>
      <w:r w:rsidR="00D15E08" w:rsidRPr="00327B3A">
        <w:rPr>
          <w:rFonts w:asciiTheme="majorHAnsi" w:hAnsiTheme="majorHAnsi" w:cstheme="majorHAnsi"/>
          <w:sz w:val="28"/>
          <w:szCs w:val="28"/>
        </w:rPr>
        <w:t>disproportionately concentrated in urban areas and especially capital cities and large urba</w:t>
      </w:r>
      <w:r w:rsidR="00DC22A8">
        <w:rPr>
          <w:rFonts w:asciiTheme="majorHAnsi" w:hAnsiTheme="majorHAnsi" w:cstheme="majorHAnsi"/>
          <w:sz w:val="28"/>
          <w:szCs w:val="28"/>
        </w:rPr>
        <w:t>n conurbations (See Lipton, 1977</w:t>
      </w:r>
      <w:r w:rsidR="00D15E08" w:rsidRPr="00327B3A">
        <w:rPr>
          <w:rFonts w:asciiTheme="majorHAnsi" w:hAnsiTheme="majorHAnsi" w:cstheme="majorHAnsi"/>
          <w:sz w:val="28"/>
          <w:szCs w:val="28"/>
        </w:rPr>
        <w:t xml:space="preserve">). </w:t>
      </w:r>
    </w:p>
    <w:tbl>
      <w:tblPr>
        <w:tblW w:w="9360" w:type="dxa"/>
        <w:tblLook w:val="04A0" w:firstRow="1" w:lastRow="0" w:firstColumn="1" w:lastColumn="0" w:noHBand="0" w:noVBand="1"/>
      </w:tblPr>
      <w:tblGrid>
        <w:gridCol w:w="3186"/>
        <w:gridCol w:w="1176"/>
        <w:gridCol w:w="1233"/>
        <w:gridCol w:w="1217"/>
        <w:gridCol w:w="987"/>
        <w:gridCol w:w="711"/>
        <w:gridCol w:w="1503"/>
        <w:gridCol w:w="222"/>
      </w:tblGrid>
      <w:tr w:rsidR="006A0542" w:rsidRPr="006A0542" w:rsidTr="006A0542">
        <w:trPr>
          <w:trHeight w:val="288"/>
        </w:trPr>
        <w:tc>
          <w:tcPr>
            <w:tcW w:w="9360" w:type="dxa"/>
            <w:gridSpan w:val="8"/>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 xml:space="preserve">Table 5: Female secondary school age population and enrolments in rural areas in selected </w:t>
            </w:r>
          </w:p>
        </w:tc>
      </w:tr>
      <w:tr w:rsidR="006A0542" w:rsidRPr="006A0542" w:rsidTr="006A0542">
        <w:trPr>
          <w:trHeight w:val="300"/>
        </w:trPr>
        <w:tc>
          <w:tcPr>
            <w:tcW w:w="4266" w:type="dxa"/>
            <w:gridSpan w:val="2"/>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countries in SSA, 2019/lya</w:t>
            </w:r>
          </w:p>
        </w:tc>
        <w:tc>
          <w:tcPr>
            <w:tcW w:w="1080"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p>
        </w:tc>
        <w:tc>
          <w:tcPr>
            <w:tcW w:w="779"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lang w:eastAsia="en-GB"/>
              </w:rPr>
            </w:pPr>
          </w:p>
        </w:tc>
        <w:tc>
          <w:tcPr>
            <w:tcW w:w="987"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lang w:eastAsia="en-GB"/>
              </w:rPr>
            </w:pPr>
          </w:p>
        </w:tc>
        <w:tc>
          <w:tcPr>
            <w:tcW w:w="711"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lang w:eastAsia="en-GB"/>
              </w:rPr>
            </w:pPr>
          </w:p>
        </w:tc>
        <w:tc>
          <w:tcPr>
            <w:tcW w:w="1503"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lang w:eastAsia="en-GB"/>
              </w:rPr>
            </w:pP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lang w:eastAsia="en-GB"/>
              </w:rPr>
            </w:pPr>
          </w:p>
        </w:tc>
      </w:tr>
      <w:tr w:rsidR="006A0542" w:rsidRPr="006A0542" w:rsidTr="006A0542">
        <w:trPr>
          <w:trHeight w:val="288"/>
        </w:trPr>
        <w:tc>
          <w:tcPr>
            <w:tcW w:w="3186" w:type="dxa"/>
            <w:tcBorders>
              <w:top w:val="single" w:sz="8" w:space="0" w:color="auto"/>
              <w:left w:val="single" w:sz="8" w:space="0" w:color="auto"/>
              <w:bottom w:val="nil"/>
              <w:right w:val="nil"/>
            </w:tcBorders>
            <w:shd w:val="clear" w:color="000000" w:fill="F2F2F2"/>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 </w:t>
            </w:r>
          </w:p>
        </w:tc>
        <w:tc>
          <w:tcPr>
            <w:tcW w:w="1080" w:type="dxa"/>
            <w:tcBorders>
              <w:top w:val="single" w:sz="8" w:space="0" w:color="auto"/>
              <w:left w:val="nil"/>
              <w:bottom w:val="nil"/>
              <w:right w:val="nil"/>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 xml:space="preserve">rural % national </w:t>
            </w:r>
          </w:p>
        </w:tc>
        <w:tc>
          <w:tcPr>
            <w:tcW w:w="1080" w:type="dxa"/>
            <w:tcBorders>
              <w:top w:val="single" w:sz="8" w:space="0" w:color="auto"/>
              <w:left w:val="nil"/>
              <w:bottom w:val="nil"/>
              <w:right w:val="nil"/>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rural % national</w:t>
            </w:r>
          </w:p>
        </w:tc>
        <w:tc>
          <w:tcPr>
            <w:tcW w:w="779" w:type="dxa"/>
            <w:tcBorders>
              <w:top w:val="single" w:sz="8" w:space="0" w:color="auto"/>
              <w:left w:val="nil"/>
              <w:bottom w:val="nil"/>
              <w:right w:val="nil"/>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 xml:space="preserve">Percentage </w:t>
            </w:r>
          </w:p>
        </w:tc>
        <w:tc>
          <w:tcPr>
            <w:tcW w:w="3201" w:type="dxa"/>
            <w:gridSpan w:val="3"/>
            <w:tcBorders>
              <w:top w:val="single" w:sz="8" w:space="0" w:color="auto"/>
              <w:left w:val="single" w:sz="4" w:space="0" w:color="auto"/>
              <w:bottom w:val="nil"/>
              <w:right w:val="single" w:sz="8" w:space="0" w:color="000000"/>
            </w:tcBorders>
            <w:shd w:val="clear" w:color="000000" w:fill="F2F2F2"/>
            <w:noWrap/>
            <w:vAlign w:val="bottom"/>
            <w:hideMark/>
          </w:tcPr>
          <w:p w:rsidR="006A0542" w:rsidRPr="006A0542" w:rsidRDefault="006A0542" w:rsidP="006A0542">
            <w:pPr>
              <w:spacing w:after="0" w:line="240" w:lineRule="auto"/>
              <w:ind w:firstLineChars="600" w:firstLine="1320"/>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Urban bias index</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ind w:firstLineChars="600" w:firstLine="1320"/>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2F2F2"/>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Country</w:t>
            </w:r>
          </w:p>
        </w:tc>
        <w:tc>
          <w:tcPr>
            <w:tcW w:w="1080" w:type="dxa"/>
            <w:tcBorders>
              <w:top w:val="nil"/>
              <w:left w:val="nil"/>
              <w:bottom w:val="nil"/>
              <w:right w:val="nil"/>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school age</w:t>
            </w:r>
          </w:p>
        </w:tc>
        <w:tc>
          <w:tcPr>
            <w:tcW w:w="1080" w:type="dxa"/>
            <w:tcBorders>
              <w:top w:val="nil"/>
              <w:left w:val="nil"/>
              <w:bottom w:val="nil"/>
              <w:right w:val="nil"/>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enrolments</w:t>
            </w:r>
          </w:p>
        </w:tc>
        <w:tc>
          <w:tcPr>
            <w:tcW w:w="779" w:type="dxa"/>
            <w:tcBorders>
              <w:top w:val="nil"/>
              <w:left w:val="nil"/>
              <w:bottom w:val="nil"/>
              <w:right w:val="nil"/>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point</w:t>
            </w:r>
          </w:p>
        </w:tc>
        <w:tc>
          <w:tcPr>
            <w:tcW w:w="987" w:type="dxa"/>
            <w:tcBorders>
              <w:top w:val="nil"/>
              <w:left w:val="single" w:sz="4" w:space="0" w:color="auto"/>
              <w:bottom w:val="nil"/>
              <w:right w:val="nil"/>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2019</w:t>
            </w:r>
          </w:p>
        </w:tc>
        <w:tc>
          <w:tcPr>
            <w:tcW w:w="711" w:type="dxa"/>
            <w:tcBorders>
              <w:top w:val="nil"/>
              <w:left w:val="nil"/>
              <w:bottom w:val="nil"/>
              <w:right w:val="nil"/>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2000</w:t>
            </w:r>
          </w:p>
        </w:tc>
        <w:tc>
          <w:tcPr>
            <w:tcW w:w="1503" w:type="dxa"/>
            <w:tcBorders>
              <w:top w:val="nil"/>
              <w:left w:val="nil"/>
              <w:bottom w:val="nil"/>
              <w:right w:val="single" w:sz="8" w:space="0" w:color="auto"/>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 xml:space="preserve"> Difference</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2F2F2"/>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 </w:t>
            </w:r>
          </w:p>
        </w:tc>
        <w:tc>
          <w:tcPr>
            <w:tcW w:w="1080" w:type="dxa"/>
            <w:tcBorders>
              <w:top w:val="nil"/>
              <w:left w:val="nil"/>
              <w:bottom w:val="nil"/>
              <w:right w:val="nil"/>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population</w:t>
            </w:r>
          </w:p>
        </w:tc>
        <w:tc>
          <w:tcPr>
            <w:tcW w:w="1080" w:type="dxa"/>
            <w:tcBorders>
              <w:top w:val="nil"/>
              <w:left w:val="nil"/>
              <w:bottom w:val="nil"/>
              <w:right w:val="nil"/>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 </w:t>
            </w:r>
          </w:p>
        </w:tc>
        <w:tc>
          <w:tcPr>
            <w:tcW w:w="779" w:type="dxa"/>
            <w:tcBorders>
              <w:top w:val="nil"/>
              <w:left w:val="nil"/>
              <w:bottom w:val="nil"/>
              <w:right w:val="nil"/>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difference</w:t>
            </w:r>
          </w:p>
        </w:tc>
        <w:tc>
          <w:tcPr>
            <w:tcW w:w="987" w:type="dxa"/>
            <w:tcBorders>
              <w:top w:val="nil"/>
              <w:left w:val="single" w:sz="4" w:space="0" w:color="auto"/>
              <w:bottom w:val="nil"/>
              <w:right w:val="nil"/>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 </w:t>
            </w:r>
          </w:p>
        </w:tc>
        <w:tc>
          <w:tcPr>
            <w:tcW w:w="711" w:type="dxa"/>
            <w:tcBorders>
              <w:top w:val="nil"/>
              <w:left w:val="nil"/>
              <w:bottom w:val="nil"/>
              <w:right w:val="nil"/>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 </w:t>
            </w:r>
          </w:p>
        </w:tc>
        <w:tc>
          <w:tcPr>
            <w:tcW w:w="1503" w:type="dxa"/>
            <w:tcBorders>
              <w:top w:val="nil"/>
              <w:left w:val="nil"/>
              <w:bottom w:val="nil"/>
              <w:right w:val="single" w:sz="8" w:space="0" w:color="auto"/>
            </w:tcBorders>
            <w:shd w:val="clear" w:color="000000" w:fill="F2F2F2"/>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 </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single" w:sz="4" w:space="0" w:color="auto"/>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CAR</w:t>
            </w:r>
          </w:p>
        </w:tc>
        <w:tc>
          <w:tcPr>
            <w:tcW w:w="1080" w:type="dxa"/>
            <w:tcBorders>
              <w:top w:val="single" w:sz="4" w:space="0" w:color="auto"/>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57</w:t>
            </w:r>
          </w:p>
        </w:tc>
        <w:tc>
          <w:tcPr>
            <w:tcW w:w="1080" w:type="dxa"/>
            <w:tcBorders>
              <w:top w:val="single" w:sz="4" w:space="0" w:color="auto"/>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4</w:t>
            </w:r>
          </w:p>
        </w:tc>
        <w:tc>
          <w:tcPr>
            <w:tcW w:w="779" w:type="dxa"/>
            <w:tcBorders>
              <w:top w:val="single" w:sz="4" w:space="0" w:color="auto"/>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53</w:t>
            </w:r>
          </w:p>
        </w:tc>
        <w:tc>
          <w:tcPr>
            <w:tcW w:w="987" w:type="dxa"/>
            <w:tcBorders>
              <w:top w:val="single" w:sz="4" w:space="0" w:color="auto"/>
              <w:left w:val="single" w:sz="4" w:space="0" w:color="auto"/>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14.6</w:t>
            </w:r>
          </w:p>
        </w:tc>
        <w:tc>
          <w:tcPr>
            <w:tcW w:w="711" w:type="dxa"/>
            <w:tcBorders>
              <w:top w:val="single" w:sz="4" w:space="0" w:color="auto"/>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5.3</w:t>
            </w:r>
          </w:p>
        </w:tc>
        <w:tc>
          <w:tcPr>
            <w:tcW w:w="1503" w:type="dxa"/>
            <w:tcBorders>
              <w:top w:val="single" w:sz="4" w:space="0" w:color="auto"/>
              <w:left w:val="nil"/>
              <w:bottom w:val="nil"/>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9.3</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Guinea Bissau</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58</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25</w:t>
            </w:r>
          </w:p>
        </w:tc>
        <w:tc>
          <w:tcPr>
            <w:tcW w:w="779"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33</w:t>
            </w:r>
          </w:p>
        </w:tc>
        <w:tc>
          <w:tcPr>
            <w:tcW w:w="987" w:type="dxa"/>
            <w:tcBorders>
              <w:top w:val="nil"/>
              <w:left w:val="single" w:sz="4" w:space="0" w:color="auto"/>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2.3</w:t>
            </w:r>
          </w:p>
        </w:tc>
        <w:tc>
          <w:tcPr>
            <w:tcW w:w="711"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6.8</w:t>
            </w:r>
          </w:p>
        </w:tc>
        <w:tc>
          <w:tcPr>
            <w:tcW w:w="1503" w:type="dxa"/>
            <w:tcBorders>
              <w:top w:val="nil"/>
              <w:left w:val="nil"/>
              <w:bottom w:val="nil"/>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-4.5</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Cote d'Ivoire</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46</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21</w:t>
            </w:r>
          </w:p>
        </w:tc>
        <w:tc>
          <w:tcPr>
            <w:tcW w:w="779"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24</w:t>
            </w:r>
          </w:p>
        </w:tc>
        <w:tc>
          <w:tcPr>
            <w:tcW w:w="987" w:type="dxa"/>
            <w:tcBorders>
              <w:top w:val="nil"/>
              <w:left w:val="single" w:sz="4" w:space="0" w:color="auto"/>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2.1</w:t>
            </w:r>
          </w:p>
        </w:tc>
        <w:tc>
          <w:tcPr>
            <w:tcW w:w="711"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4.3</w:t>
            </w:r>
          </w:p>
        </w:tc>
        <w:tc>
          <w:tcPr>
            <w:tcW w:w="1503" w:type="dxa"/>
            <w:tcBorders>
              <w:top w:val="nil"/>
              <w:left w:val="nil"/>
              <w:bottom w:val="nil"/>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-2.1</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Sierra Leone</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47</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23</w:t>
            </w:r>
          </w:p>
        </w:tc>
        <w:tc>
          <w:tcPr>
            <w:tcW w:w="779"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24</w:t>
            </w:r>
          </w:p>
        </w:tc>
        <w:tc>
          <w:tcPr>
            <w:tcW w:w="987" w:type="dxa"/>
            <w:tcBorders>
              <w:top w:val="nil"/>
              <w:left w:val="single" w:sz="4" w:space="0" w:color="auto"/>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2.0</w:t>
            </w:r>
          </w:p>
        </w:tc>
        <w:tc>
          <w:tcPr>
            <w:tcW w:w="711"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2.5</w:t>
            </w:r>
          </w:p>
        </w:tc>
        <w:tc>
          <w:tcPr>
            <w:tcW w:w="1503" w:type="dxa"/>
            <w:tcBorders>
              <w:top w:val="nil"/>
              <w:left w:val="nil"/>
              <w:bottom w:val="nil"/>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-0.5</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Cameroon</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51</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29</w:t>
            </w:r>
          </w:p>
        </w:tc>
        <w:tc>
          <w:tcPr>
            <w:tcW w:w="779"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22</w:t>
            </w:r>
          </w:p>
        </w:tc>
        <w:tc>
          <w:tcPr>
            <w:tcW w:w="987" w:type="dxa"/>
            <w:tcBorders>
              <w:top w:val="nil"/>
              <w:left w:val="single" w:sz="4" w:space="0" w:color="auto"/>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1.8</w:t>
            </w:r>
          </w:p>
        </w:tc>
        <w:tc>
          <w:tcPr>
            <w:tcW w:w="711"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1.9</w:t>
            </w:r>
          </w:p>
        </w:tc>
        <w:tc>
          <w:tcPr>
            <w:tcW w:w="1503" w:type="dxa"/>
            <w:tcBorders>
              <w:top w:val="nil"/>
              <w:left w:val="nil"/>
              <w:bottom w:val="nil"/>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-0.1</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Gambia</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34</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20</w:t>
            </w:r>
          </w:p>
        </w:tc>
        <w:tc>
          <w:tcPr>
            <w:tcW w:w="779"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14</w:t>
            </w:r>
          </w:p>
        </w:tc>
        <w:tc>
          <w:tcPr>
            <w:tcW w:w="987" w:type="dxa"/>
            <w:tcBorders>
              <w:top w:val="nil"/>
              <w:left w:val="single" w:sz="4" w:space="0" w:color="auto"/>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1.7</w:t>
            </w:r>
          </w:p>
        </w:tc>
        <w:tc>
          <w:tcPr>
            <w:tcW w:w="711"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2.0</w:t>
            </w:r>
          </w:p>
        </w:tc>
        <w:tc>
          <w:tcPr>
            <w:tcW w:w="1503" w:type="dxa"/>
            <w:tcBorders>
              <w:top w:val="nil"/>
              <w:left w:val="nil"/>
              <w:bottom w:val="nil"/>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-0.3</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Congo</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51</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30</w:t>
            </w:r>
          </w:p>
        </w:tc>
        <w:tc>
          <w:tcPr>
            <w:tcW w:w="779"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21</w:t>
            </w:r>
          </w:p>
        </w:tc>
        <w:tc>
          <w:tcPr>
            <w:tcW w:w="987" w:type="dxa"/>
            <w:tcBorders>
              <w:top w:val="nil"/>
              <w:left w:val="single" w:sz="4" w:space="0" w:color="auto"/>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1.7</w:t>
            </w:r>
          </w:p>
        </w:tc>
        <w:tc>
          <w:tcPr>
            <w:tcW w:w="711"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1.9</w:t>
            </w:r>
          </w:p>
        </w:tc>
        <w:tc>
          <w:tcPr>
            <w:tcW w:w="1503" w:type="dxa"/>
            <w:tcBorders>
              <w:top w:val="nil"/>
              <w:left w:val="nil"/>
              <w:bottom w:val="nil"/>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-0.2</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Chad</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79</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51</w:t>
            </w:r>
          </w:p>
        </w:tc>
        <w:tc>
          <w:tcPr>
            <w:tcW w:w="779"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28</w:t>
            </w:r>
          </w:p>
        </w:tc>
        <w:tc>
          <w:tcPr>
            <w:tcW w:w="987" w:type="dxa"/>
            <w:tcBorders>
              <w:top w:val="nil"/>
              <w:left w:val="single" w:sz="4" w:space="0" w:color="auto"/>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1.6</w:t>
            </w:r>
          </w:p>
        </w:tc>
        <w:tc>
          <w:tcPr>
            <w:tcW w:w="711"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5.5</w:t>
            </w:r>
          </w:p>
        </w:tc>
        <w:tc>
          <w:tcPr>
            <w:tcW w:w="1503" w:type="dxa"/>
            <w:tcBorders>
              <w:top w:val="nil"/>
              <w:left w:val="nil"/>
              <w:bottom w:val="nil"/>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-3.9</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Nigeria</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64</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48</w:t>
            </w:r>
          </w:p>
        </w:tc>
        <w:tc>
          <w:tcPr>
            <w:tcW w:w="779"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16</w:t>
            </w:r>
          </w:p>
        </w:tc>
        <w:tc>
          <w:tcPr>
            <w:tcW w:w="987" w:type="dxa"/>
            <w:tcBorders>
              <w:top w:val="nil"/>
              <w:left w:val="single" w:sz="4" w:space="0" w:color="auto"/>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1.3</w:t>
            </w:r>
          </w:p>
        </w:tc>
        <w:tc>
          <w:tcPr>
            <w:tcW w:w="711"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1.2</w:t>
            </w:r>
          </w:p>
        </w:tc>
        <w:tc>
          <w:tcPr>
            <w:tcW w:w="1503" w:type="dxa"/>
            <w:tcBorders>
              <w:top w:val="nil"/>
              <w:left w:val="nil"/>
              <w:bottom w:val="nil"/>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0.1</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Madagascar</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75</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58</w:t>
            </w:r>
          </w:p>
        </w:tc>
        <w:tc>
          <w:tcPr>
            <w:tcW w:w="779"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18</w:t>
            </w:r>
          </w:p>
        </w:tc>
        <w:tc>
          <w:tcPr>
            <w:tcW w:w="987" w:type="dxa"/>
            <w:tcBorders>
              <w:top w:val="nil"/>
              <w:left w:val="single" w:sz="4" w:space="0" w:color="auto"/>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1.3</w:t>
            </w:r>
          </w:p>
        </w:tc>
        <w:tc>
          <w:tcPr>
            <w:tcW w:w="711"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2.3</w:t>
            </w:r>
          </w:p>
        </w:tc>
        <w:tc>
          <w:tcPr>
            <w:tcW w:w="1503" w:type="dxa"/>
            <w:tcBorders>
              <w:top w:val="nil"/>
              <w:left w:val="nil"/>
              <w:bottom w:val="nil"/>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-1.0</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Ghana</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53</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45</w:t>
            </w:r>
          </w:p>
        </w:tc>
        <w:tc>
          <w:tcPr>
            <w:tcW w:w="779"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8</w:t>
            </w:r>
          </w:p>
        </w:tc>
        <w:tc>
          <w:tcPr>
            <w:tcW w:w="987" w:type="dxa"/>
            <w:tcBorders>
              <w:top w:val="nil"/>
              <w:left w:val="single" w:sz="4" w:space="0" w:color="auto"/>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1.2</w:t>
            </w:r>
          </w:p>
        </w:tc>
        <w:tc>
          <w:tcPr>
            <w:tcW w:w="711"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1.3</w:t>
            </w:r>
          </w:p>
        </w:tc>
        <w:tc>
          <w:tcPr>
            <w:tcW w:w="1503" w:type="dxa"/>
            <w:tcBorders>
              <w:top w:val="nil"/>
              <w:left w:val="nil"/>
              <w:bottom w:val="nil"/>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-0.1</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Lesotho</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64</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58</w:t>
            </w:r>
          </w:p>
        </w:tc>
        <w:tc>
          <w:tcPr>
            <w:tcW w:w="779"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7</w:t>
            </w:r>
          </w:p>
        </w:tc>
        <w:tc>
          <w:tcPr>
            <w:tcW w:w="987" w:type="dxa"/>
            <w:tcBorders>
              <w:top w:val="nil"/>
              <w:left w:val="single" w:sz="4" w:space="0" w:color="auto"/>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1.1</w:t>
            </w:r>
          </w:p>
        </w:tc>
        <w:tc>
          <w:tcPr>
            <w:tcW w:w="711"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1.2</w:t>
            </w:r>
          </w:p>
        </w:tc>
        <w:tc>
          <w:tcPr>
            <w:tcW w:w="1503" w:type="dxa"/>
            <w:tcBorders>
              <w:top w:val="nil"/>
              <w:left w:val="nil"/>
              <w:bottom w:val="nil"/>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-0.1</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Zimbabwe</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73</w:t>
            </w:r>
          </w:p>
        </w:tc>
        <w:tc>
          <w:tcPr>
            <w:tcW w:w="1080"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66</w:t>
            </w:r>
          </w:p>
        </w:tc>
        <w:tc>
          <w:tcPr>
            <w:tcW w:w="779"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7</w:t>
            </w:r>
          </w:p>
        </w:tc>
        <w:tc>
          <w:tcPr>
            <w:tcW w:w="987" w:type="dxa"/>
            <w:tcBorders>
              <w:top w:val="nil"/>
              <w:left w:val="single" w:sz="4" w:space="0" w:color="auto"/>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1.1</w:t>
            </w:r>
          </w:p>
        </w:tc>
        <w:tc>
          <w:tcPr>
            <w:tcW w:w="711" w:type="dxa"/>
            <w:tcBorders>
              <w:top w:val="nil"/>
              <w:left w:val="nil"/>
              <w:bottom w:val="nil"/>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1.1</w:t>
            </w:r>
          </w:p>
        </w:tc>
        <w:tc>
          <w:tcPr>
            <w:tcW w:w="1503" w:type="dxa"/>
            <w:tcBorders>
              <w:top w:val="nil"/>
              <w:left w:val="nil"/>
              <w:bottom w:val="nil"/>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0.0</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300"/>
        </w:trPr>
        <w:tc>
          <w:tcPr>
            <w:tcW w:w="3186" w:type="dxa"/>
            <w:tcBorders>
              <w:top w:val="nil"/>
              <w:left w:val="single" w:sz="8" w:space="0" w:color="auto"/>
              <w:bottom w:val="single" w:sz="8" w:space="0" w:color="auto"/>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Eswatini</w:t>
            </w:r>
          </w:p>
        </w:tc>
        <w:tc>
          <w:tcPr>
            <w:tcW w:w="1080" w:type="dxa"/>
            <w:tcBorders>
              <w:top w:val="nil"/>
              <w:left w:val="nil"/>
              <w:bottom w:val="single" w:sz="8" w:space="0" w:color="auto"/>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81</w:t>
            </w:r>
          </w:p>
        </w:tc>
        <w:tc>
          <w:tcPr>
            <w:tcW w:w="1080" w:type="dxa"/>
            <w:tcBorders>
              <w:top w:val="nil"/>
              <w:left w:val="nil"/>
              <w:bottom w:val="single" w:sz="8" w:space="0" w:color="auto"/>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81</w:t>
            </w:r>
          </w:p>
        </w:tc>
        <w:tc>
          <w:tcPr>
            <w:tcW w:w="779" w:type="dxa"/>
            <w:tcBorders>
              <w:top w:val="nil"/>
              <w:left w:val="nil"/>
              <w:bottom w:val="single" w:sz="8" w:space="0" w:color="auto"/>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0</w:t>
            </w:r>
          </w:p>
        </w:tc>
        <w:tc>
          <w:tcPr>
            <w:tcW w:w="987" w:type="dxa"/>
            <w:tcBorders>
              <w:top w:val="nil"/>
              <w:left w:val="single" w:sz="4" w:space="0" w:color="auto"/>
              <w:bottom w:val="single" w:sz="8" w:space="0" w:color="auto"/>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1.0</w:t>
            </w:r>
          </w:p>
        </w:tc>
        <w:tc>
          <w:tcPr>
            <w:tcW w:w="711" w:type="dxa"/>
            <w:tcBorders>
              <w:top w:val="nil"/>
              <w:left w:val="nil"/>
              <w:bottom w:val="single" w:sz="8" w:space="0" w:color="auto"/>
              <w:right w:val="nil"/>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1.1</w:t>
            </w:r>
          </w:p>
        </w:tc>
        <w:tc>
          <w:tcPr>
            <w:tcW w:w="1503" w:type="dxa"/>
            <w:tcBorders>
              <w:top w:val="nil"/>
              <w:left w:val="nil"/>
              <w:bottom w:val="single" w:sz="8" w:space="0" w:color="auto"/>
              <w:right w:val="single" w:sz="8" w:space="0" w:color="auto"/>
            </w:tcBorders>
            <w:shd w:val="clear" w:color="000000" w:fill="FFFFFF"/>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-0.1</w:t>
            </w: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jc w:val="center"/>
              <w:rPr>
                <w:rFonts w:asciiTheme="majorHAnsi" w:eastAsia="Times New Roman" w:hAnsiTheme="majorHAnsi" w:cstheme="majorHAnsi"/>
                <w:color w:val="000000"/>
                <w:lang w:eastAsia="en-GB"/>
              </w:rPr>
            </w:pPr>
          </w:p>
        </w:tc>
      </w:tr>
      <w:tr w:rsidR="006A0542" w:rsidRPr="006A0542" w:rsidTr="006A0542">
        <w:trPr>
          <w:trHeight w:val="288"/>
        </w:trPr>
        <w:tc>
          <w:tcPr>
            <w:tcW w:w="3186" w:type="dxa"/>
            <w:tcBorders>
              <w:top w:val="nil"/>
              <w:left w:val="single" w:sz="8" w:space="0" w:color="auto"/>
              <w:bottom w:val="nil"/>
              <w:right w:val="nil"/>
            </w:tcBorders>
            <w:shd w:val="clear" w:color="000000" w:fill="FFFFFF"/>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r w:rsidRPr="006A0542">
              <w:rPr>
                <w:rFonts w:asciiTheme="majorHAnsi" w:eastAsia="Times New Roman" w:hAnsiTheme="majorHAnsi" w:cstheme="majorHAnsi"/>
                <w:color w:val="000000"/>
                <w:lang w:eastAsia="en-GB"/>
              </w:rPr>
              <w:t>Source: UNICEF, Multi-Indicator Cluster Surveys</w:t>
            </w:r>
          </w:p>
        </w:tc>
        <w:tc>
          <w:tcPr>
            <w:tcW w:w="1080"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color w:val="000000"/>
                <w:lang w:eastAsia="en-GB"/>
              </w:rPr>
            </w:pPr>
          </w:p>
        </w:tc>
        <w:tc>
          <w:tcPr>
            <w:tcW w:w="1080"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lang w:eastAsia="en-GB"/>
              </w:rPr>
            </w:pPr>
          </w:p>
        </w:tc>
        <w:tc>
          <w:tcPr>
            <w:tcW w:w="779"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lang w:eastAsia="en-GB"/>
              </w:rPr>
            </w:pPr>
          </w:p>
        </w:tc>
        <w:tc>
          <w:tcPr>
            <w:tcW w:w="987"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lang w:eastAsia="en-GB"/>
              </w:rPr>
            </w:pPr>
          </w:p>
        </w:tc>
        <w:tc>
          <w:tcPr>
            <w:tcW w:w="711"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lang w:eastAsia="en-GB"/>
              </w:rPr>
            </w:pPr>
          </w:p>
        </w:tc>
        <w:tc>
          <w:tcPr>
            <w:tcW w:w="1503"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lang w:eastAsia="en-GB"/>
              </w:rPr>
            </w:pPr>
          </w:p>
        </w:tc>
        <w:tc>
          <w:tcPr>
            <w:tcW w:w="34" w:type="dxa"/>
            <w:tcBorders>
              <w:top w:val="nil"/>
              <w:left w:val="nil"/>
              <w:bottom w:val="nil"/>
              <w:right w:val="nil"/>
            </w:tcBorders>
            <w:shd w:val="clear" w:color="auto" w:fill="auto"/>
            <w:noWrap/>
            <w:vAlign w:val="bottom"/>
            <w:hideMark/>
          </w:tcPr>
          <w:p w:rsidR="006A0542" w:rsidRPr="006A0542" w:rsidRDefault="006A0542" w:rsidP="006A0542">
            <w:pPr>
              <w:spacing w:after="0" w:line="240" w:lineRule="auto"/>
              <w:rPr>
                <w:rFonts w:asciiTheme="majorHAnsi" w:eastAsia="Times New Roman" w:hAnsiTheme="majorHAnsi" w:cstheme="majorHAnsi"/>
                <w:lang w:eastAsia="en-GB"/>
              </w:rPr>
            </w:pPr>
          </w:p>
        </w:tc>
      </w:tr>
    </w:tbl>
    <w:p w:rsidR="006A0542" w:rsidRPr="006A0542" w:rsidRDefault="006A0542" w:rsidP="002052D2">
      <w:pPr>
        <w:jc w:val="both"/>
        <w:rPr>
          <w:rFonts w:asciiTheme="majorHAnsi" w:hAnsiTheme="majorHAnsi" w:cstheme="majorHAnsi"/>
        </w:rPr>
      </w:pPr>
    </w:p>
    <w:p w:rsidR="000C3CB6" w:rsidRPr="00327B3A" w:rsidRDefault="00D15E08" w:rsidP="002052D2">
      <w:pPr>
        <w:jc w:val="both"/>
        <w:rPr>
          <w:rFonts w:asciiTheme="majorHAnsi" w:hAnsiTheme="majorHAnsi" w:cstheme="majorHAnsi"/>
          <w:sz w:val="28"/>
          <w:szCs w:val="28"/>
        </w:rPr>
      </w:pPr>
      <w:r w:rsidRPr="00327B3A">
        <w:rPr>
          <w:rFonts w:asciiTheme="majorHAnsi" w:hAnsiTheme="majorHAnsi" w:cstheme="majorHAnsi"/>
          <w:sz w:val="28"/>
          <w:szCs w:val="28"/>
        </w:rPr>
        <w:t xml:space="preserve">Table </w:t>
      </w:r>
      <w:r w:rsidR="00916021">
        <w:rPr>
          <w:rFonts w:asciiTheme="majorHAnsi" w:hAnsiTheme="majorHAnsi" w:cstheme="majorHAnsi"/>
          <w:sz w:val="28"/>
          <w:szCs w:val="28"/>
        </w:rPr>
        <w:t>5</w:t>
      </w:r>
      <w:r w:rsidR="00E04B20" w:rsidRPr="00327B3A">
        <w:rPr>
          <w:rFonts w:asciiTheme="majorHAnsi" w:hAnsiTheme="majorHAnsi" w:cstheme="majorHAnsi"/>
          <w:sz w:val="28"/>
          <w:szCs w:val="28"/>
        </w:rPr>
        <w:t xml:space="preserve"> shows </w:t>
      </w:r>
      <w:r w:rsidRPr="00327B3A">
        <w:rPr>
          <w:rFonts w:asciiTheme="majorHAnsi" w:hAnsiTheme="majorHAnsi" w:cstheme="majorHAnsi"/>
          <w:sz w:val="28"/>
          <w:szCs w:val="28"/>
        </w:rPr>
        <w:t>the percentage point difference between the per</w:t>
      </w:r>
      <w:r w:rsidR="00E04B20" w:rsidRPr="00327B3A">
        <w:rPr>
          <w:rFonts w:asciiTheme="majorHAnsi" w:hAnsiTheme="majorHAnsi" w:cstheme="majorHAnsi"/>
          <w:sz w:val="28"/>
          <w:szCs w:val="28"/>
        </w:rPr>
        <w:t>centage of the national secondary school-</w:t>
      </w:r>
      <w:r w:rsidRPr="00327B3A">
        <w:rPr>
          <w:rFonts w:asciiTheme="majorHAnsi" w:hAnsiTheme="majorHAnsi" w:cstheme="majorHAnsi"/>
          <w:sz w:val="28"/>
          <w:szCs w:val="28"/>
        </w:rPr>
        <w:t>age population which is fem</w:t>
      </w:r>
      <w:r w:rsidR="005318B9">
        <w:rPr>
          <w:rFonts w:asciiTheme="majorHAnsi" w:hAnsiTheme="majorHAnsi" w:cstheme="majorHAnsi"/>
          <w:sz w:val="28"/>
          <w:szCs w:val="28"/>
        </w:rPr>
        <w:t xml:space="preserve">ale and the percentage of rural </w:t>
      </w:r>
      <w:r w:rsidRPr="00327B3A">
        <w:rPr>
          <w:rFonts w:asciiTheme="majorHAnsi" w:hAnsiTheme="majorHAnsi" w:cstheme="majorHAnsi"/>
          <w:sz w:val="28"/>
          <w:szCs w:val="28"/>
        </w:rPr>
        <w:t xml:space="preserve">female secondary school students </w:t>
      </w:r>
      <w:r w:rsidR="00E04B20" w:rsidRPr="00327B3A">
        <w:rPr>
          <w:rFonts w:asciiTheme="majorHAnsi" w:hAnsiTheme="majorHAnsi" w:cstheme="majorHAnsi"/>
          <w:sz w:val="28"/>
          <w:szCs w:val="28"/>
        </w:rPr>
        <w:t xml:space="preserve">for the </w:t>
      </w:r>
      <w:r w:rsidR="009E5321" w:rsidRPr="00327B3A">
        <w:rPr>
          <w:rFonts w:asciiTheme="majorHAnsi" w:hAnsiTheme="majorHAnsi" w:cstheme="majorHAnsi"/>
          <w:sz w:val="28"/>
          <w:szCs w:val="28"/>
        </w:rPr>
        <w:t>14</w:t>
      </w:r>
      <w:r w:rsidR="00E04B20" w:rsidRPr="00327B3A">
        <w:rPr>
          <w:rFonts w:asciiTheme="majorHAnsi" w:hAnsiTheme="majorHAnsi" w:cstheme="majorHAnsi"/>
          <w:sz w:val="28"/>
          <w:szCs w:val="28"/>
        </w:rPr>
        <w:t xml:space="preserve"> countries where time-series MICS household survey data is available for the last 20 years. This differential </w:t>
      </w:r>
      <w:r w:rsidRPr="00327B3A">
        <w:rPr>
          <w:rFonts w:asciiTheme="majorHAnsi" w:hAnsiTheme="majorHAnsi" w:cstheme="majorHAnsi"/>
          <w:sz w:val="28"/>
          <w:szCs w:val="28"/>
        </w:rPr>
        <w:t xml:space="preserve">is very sizeable in the majority of countries </w:t>
      </w:r>
      <w:r w:rsidR="00E04B20" w:rsidRPr="00327B3A">
        <w:rPr>
          <w:rFonts w:asciiTheme="majorHAnsi" w:hAnsiTheme="majorHAnsi" w:cstheme="majorHAnsi"/>
          <w:sz w:val="28"/>
          <w:szCs w:val="28"/>
        </w:rPr>
        <w:t xml:space="preserve">but </w:t>
      </w:r>
      <w:r w:rsidR="0078278A">
        <w:rPr>
          <w:rFonts w:asciiTheme="majorHAnsi" w:hAnsiTheme="majorHAnsi" w:cstheme="majorHAnsi"/>
          <w:sz w:val="28"/>
          <w:szCs w:val="28"/>
        </w:rPr>
        <w:t xml:space="preserve">is </w:t>
      </w:r>
      <w:r w:rsidR="008F4653" w:rsidRPr="00327B3A">
        <w:rPr>
          <w:rFonts w:asciiTheme="majorHAnsi" w:hAnsiTheme="majorHAnsi" w:cstheme="majorHAnsi"/>
          <w:sz w:val="28"/>
          <w:szCs w:val="28"/>
        </w:rPr>
        <w:t xml:space="preserve">particularly large in West and Central Africa. War-torn Central Africa Republic is the most extreme case where rural females account for 57% the national secondary school age population but only 4% of </w:t>
      </w:r>
      <w:r w:rsidR="009E5321" w:rsidRPr="00327B3A">
        <w:rPr>
          <w:rFonts w:asciiTheme="majorHAnsi" w:hAnsiTheme="majorHAnsi" w:cstheme="majorHAnsi"/>
          <w:sz w:val="28"/>
          <w:szCs w:val="28"/>
        </w:rPr>
        <w:t xml:space="preserve">total </w:t>
      </w:r>
      <w:r w:rsidR="00E04B20" w:rsidRPr="00327B3A">
        <w:rPr>
          <w:rFonts w:asciiTheme="majorHAnsi" w:hAnsiTheme="majorHAnsi" w:cstheme="majorHAnsi"/>
          <w:sz w:val="28"/>
          <w:szCs w:val="28"/>
        </w:rPr>
        <w:t xml:space="preserve">female </w:t>
      </w:r>
      <w:r w:rsidR="0078278A">
        <w:rPr>
          <w:rFonts w:asciiTheme="majorHAnsi" w:hAnsiTheme="majorHAnsi" w:cstheme="majorHAnsi"/>
          <w:sz w:val="28"/>
          <w:szCs w:val="28"/>
        </w:rPr>
        <w:t>secondary school enrolments</w:t>
      </w:r>
      <w:r w:rsidR="009E5321" w:rsidRPr="00327B3A">
        <w:rPr>
          <w:rFonts w:asciiTheme="majorHAnsi" w:hAnsiTheme="majorHAnsi" w:cstheme="majorHAnsi"/>
          <w:sz w:val="28"/>
          <w:szCs w:val="28"/>
        </w:rPr>
        <w:t xml:space="preserve">.  </w:t>
      </w:r>
      <w:r w:rsidR="008F4653" w:rsidRPr="00327B3A">
        <w:rPr>
          <w:rFonts w:asciiTheme="majorHAnsi" w:hAnsiTheme="majorHAnsi" w:cstheme="majorHAnsi"/>
          <w:sz w:val="28"/>
          <w:szCs w:val="28"/>
        </w:rPr>
        <w:t xml:space="preserve">A similar country pattern can be observed for rural males (see annex </w:t>
      </w:r>
      <w:r w:rsidR="00916021">
        <w:rPr>
          <w:rFonts w:asciiTheme="majorHAnsi" w:hAnsiTheme="majorHAnsi" w:cstheme="majorHAnsi"/>
          <w:sz w:val="28"/>
          <w:szCs w:val="28"/>
        </w:rPr>
        <w:t>table 5</w:t>
      </w:r>
      <w:r w:rsidR="008F4653" w:rsidRPr="00327B3A">
        <w:rPr>
          <w:rFonts w:asciiTheme="majorHAnsi" w:hAnsiTheme="majorHAnsi" w:cstheme="majorHAnsi"/>
          <w:sz w:val="28"/>
          <w:szCs w:val="28"/>
        </w:rPr>
        <w:t xml:space="preserve">). </w:t>
      </w:r>
      <w:r w:rsidR="00B85E7C" w:rsidRPr="00327B3A">
        <w:rPr>
          <w:rFonts w:asciiTheme="majorHAnsi" w:hAnsiTheme="majorHAnsi" w:cstheme="majorHAnsi"/>
          <w:sz w:val="28"/>
          <w:szCs w:val="28"/>
        </w:rPr>
        <w:t xml:space="preserve"> Excluding the four countries </w:t>
      </w:r>
      <w:r w:rsidR="003D3FEE" w:rsidRPr="00327B3A">
        <w:rPr>
          <w:rFonts w:asciiTheme="majorHAnsi" w:hAnsiTheme="majorHAnsi" w:cstheme="majorHAnsi"/>
          <w:sz w:val="28"/>
          <w:szCs w:val="28"/>
        </w:rPr>
        <w:lastRenderedPageBreak/>
        <w:t xml:space="preserve">which have been </w:t>
      </w:r>
      <w:r w:rsidR="000E2F7A" w:rsidRPr="00327B3A">
        <w:rPr>
          <w:rFonts w:asciiTheme="majorHAnsi" w:hAnsiTheme="majorHAnsi" w:cstheme="majorHAnsi"/>
          <w:sz w:val="28"/>
          <w:szCs w:val="28"/>
        </w:rPr>
        <w:t xml:space="preserve">badly </w:t>
      </w:r>
      <w:r w:rsidR="003D3FEE" w:rsidRPr="00327B3A">
        <w:rPr>
          <w:rFonts w:asciiTheme="majorHAnsi" w:hAnsiTheme="majorHAnsi" w:cstheme="majorHAnsi"/>
          <w:sz w:val="28"/>
          <w:szCs w:val="28"/>
        </w:rPr>
        <w:t xml:space="preserve">affected </w:t>
      </w:r>
      <w:r w:rsidR="000E2F7A" w:rsidRPr="00327B3A">
        <w:rPr>
          <w:rFonts w:asciiTheme="majorHAnsi" w:hAnsiTheme="majorHAnsi" w:cstheme="majorHAnsi"/>
          <w:sz w:val="28"/>
          <w:szCs w:val="28"/>
        </w:rPr>
        <w:t xml:space="preserve">by conflict/unrest </w:t>
      </w:r>
      <w:r w:rsidR="003D3FEE" w:rsidRPr="00327B3A">
        <w:rPr>
          <w:rFonts w:asciiTheme="majorHAnsi" w:hAnsiTheme="majorHAnsi" w:cstheme="majorHAnsi"/>
          <w:sz w:val="28"/>
          <w:szCs w:val="28"/>
        </w:rPr>
        <w:t>during the last 20 years</w:t>
      </w:r>
      <w:r w:rsidR="003D3FEE" w:rsidRPr="00327B3A">
        <w:rPr>
          <w:rStyle w:val="FootnoteReference"/>
          <w:rFonts w:asciiTheme="majorHAnsi" w:hAnsiTheme="majorHAnsi" w:cstheme="majorHAnsi"/>
          <w:sz w:val="28"/>
          <w:szCs w:val="28"/>
        </w:rPr>
        <w:footnoteReference w:id="9"/>
      </w:r>
      <w:r w:rsidR="003D3FEE" w:rsidRPr="00327B3A">
        <w:rPr>
          <w:rFonts w:asciiTheme="majorHAnsi" w:hAnsiTheme="majorHAnsi" w:cstheme="majorHAnsi"/>
          <w:sz w:val="28"/>
          <w:szCs w:val="28"/>
        </w:rPr>
        <w:t xml:space="preserve">, it </w:t>
      </w:r>
      <w:r w:rsidR="009E5321" w:rsidRPr="00327B3A">
        <w:rPr>
          <w:rFonts w:asciiTheme="majorHAnsi" w:hAnsiTheme="majorHAnsi" w:cstheme="majorHAnsi"/>
          <w:sz w:val="28"/>
          <w:szCs w:val="28"/>
        </w:rPr>
        <w:t xml:space="preserve">can also be observed that </w:t>
      </w:r>
      <w:r w:rsidR="003D3FEE" w:rsidRPr="00327B3A">
        <w:rPr>
          <w:rFonts w:asciiTheme="majorHAnsi" w:hAnsiTheme="majorHAnsi" w:cstheme="majorHAnsi"/>
          <w:sz w:val="28"/>
          <w:szCs w:val="28"/>
        </w:rPr>
        <w:t>the degree of urban bias (as measured by the urban bias index)</w:t>
      </w:r>
      <w:r w:rsidR="003C2525">
        <w:rPr>
          <w:rStyle w:val="FootnoteReference"/>
          <w:rFonts w:asciiTheme="majorHAnsi" w:hAnsiTheme="majorHAnsi" w:cstheme="majorHAnsi"/>
          <w:sz w:val="28"/>
          <w:szCs w:val="28"/>
        </w:rPr>
        <w:footnoteReference w:id="10"/>
      </w:r>
      <w:r w:rsidR="008F4653" w:rsidRPr="00327B3A">
        <w:rPr>
          <w:rFonts w:asciiTheme="majorHAnsi" w:hAnsiTheme="majorHAnsi" w:cstheme="majorHAnsi"/>
          <w:sz w:val="28"/>
          <w:szCs w:val="28"/>
        </w:rPr>
        <w:t xml:space="preserve"> </w:t>
      </w:r>
      <w:r w:rsidR="003D3FEE" w:rsidRPr="00327B3A">
        <w:rPr>
          <w:rFonts w:asciiTheme="majorHAnsi" w:hAnsiTheme="majorHAnsi" w:cstheme="majorHAnsi"/>
          <w:sz w:val="28"/>
          <w:szCs w:val="28"/>
        </w:rPr>
        <w:t>has remained largely unchanged in the remaining countries</w:t>
      </w:r>
      <w:r w:rsidR="008F4653" w:rsidRPr="00327B3A">
        <w:rPr>
          <w:rFonts w:asciiTheme="majorHAnsi" w:hAnsiTheme="majorHAnsi" w:cstheme="majorHAnsi"/>
          <w:sz w:val="28"/>
          <w:szCs w:val="28"/>
        </w:rPr>
        <w:t xml:space="preserve"> </w:t>
      </w:r>
      <w:r w:rsidR="003D3FEE" w:rsidRPr="00327B3A">
        <w:rPr>
          <w:rFonts w:asciiTheme="majorHAnsi" w:hAnsiTheme="majorHAnsi" w:cstheme="majorHAnsi"/>
          <w:sz w:val="28"/>
          <w:szCs w:val="28"/>
        </w:rPr>
        <w:t xml:space="preserve">which is a reflection of the deeply engrained nature of urban bias </w:t>
      </w:r>
      <w:r w:rsidR="000E2F7A" w:rsidRPr="00327B3A">
        <w:rPr>
          <w:rFonts w:asciiTheme="majorHAnsi" w:hAnsiTheme="majorHAnsi" w:cstheme="majorHAnsi"/>
          <w:sz w:val="28"/>
          <w:szCs w:val="28"/>
        </w:rPr>
        <w:t xml:space="preserve">and relative rural disadvantage </w:t>
      </w:r>
      <w:r w:rsidR="003D3FEE" w:rsidRPr="00327B3A">
        <w:rPr>
          <w:rFonts w:asciiTheme="majorHAnsi" w:hAnsiTheme="majorHAnsi" w:cstheme="majorHAnsi"/>
          <w:sz w:val="28"/>
          <w:szCs w:val="28"/>
        </w:rPr>
        <w:t xml:space="preserve">across SSA. </w:t>
      </w:r>
    </w:p>
    <w:p w:rsidR="000E2F7A" w:rsidRPr="00327B3A" w:rsidRDefault="00591D8A" w:rsidP="002052D2">
      <w:pPr>
        <w:jc w:val="both"/>
        <w:rPr>
          <w:rFonts w:asciiTheme="majorHAnsi" w:hAnsiTheme="majorHAnsi" w:cstheme="majorHAnsi"/>
          <w:sz w:val="28"/>
          <w:szCs w:val="28"/>
        </w:rPr>
      </w:pPr>
      <w:r w:rsidRPr="00327B3A">
        <w:rPr>
          <w:rFonts w:asciiTheme="majorHAnsi" w:hAnsiTheme="majorHAnsi" w:cstheme="majorHAnsi"/>
          <w:sz w:val="28"/>
          <w:szCs w:val="28"/>
        </w:rPr>
        <w:t>There are two sets of reasons for urban bias.</w:t>
      </w:r>
      <w:r w:rsidR="008317DC" w:rsidRPr="00327B3A">
        <w:rPr>
          <w:rFonts w:asciiTheme="majorHAnsi" w:hAnsiTheme="majorHAnsi" w:cstheme="majorHAnsi"/>
          <w:sz w:val="28"/>
          <w:szCs w:val="28"/>
        </w:rPr>
        <w:t xml:space="preserve"> Firstly, </w:t>
      </w:r>
      <w:r w:rsidR="009E5321" w:rsidRPr="00327B3A">
        <w:rPr>
          <w:rFonts w:asciiTheme="majorHAnsi" w:hAnsiTheme="majorHAnsi" w:cstheme="majorHAnsi"/>
          <w:sz w:val="28"/>
          <w:szCs w:val="28"/>
        </w:rPr>
        <w:t>in much of SSA, economic and political power is heavily concentrated</w:t>
      </w:r>
      <w:r w:rsidR="008317DC" w:rsidRPr="00327B3A">
        <w:rPr>
          <w:rFonts w:asciiTheme="majorHAnsi" w:hAnsiTheme="majorHAnsi" w:cstheme="majorHAnsi"/>
          <w:sz w:val="28"/>
          <w:szCs w:val="28"/>
        </w:rPr>
        <w:t xml:space="preserve"> in urban centres and especially capital city conurbations. Given </w:t>
      </w:r>
      <w:r w:rsidR="0078278A">
        <w:rPr>
          <w:rFonts w:asciiTheme="majorHAnsi" w:hAnsiTheme="majorHAnsi" w:cstheme="majorHAnsi"/>
          <w:sz w:val="28"/>
          <w:szCs w:val="28"/>
        </w:rPr>
        <w:t xml:space="preserve">their </w:t>
      </w:r>
      <w:r w:rsidR="008317DC" w:rsidRPr="00327B3A">
        <w:rPr>
          <w:rFonts w:asciiTheme="majorHAnsi" w:hAnsiTheme="majorHAnsi" w:cstheme="majorHAnsi"/>
          <w:sz w:val="28"/>
          <w:szCs w:val="28"/>
        </w:rPr>
        <w:t xml:space="preserve">current levels of economic development, </w:t>
      </w:r>
      <w:r w:rsidR="000E2F7A" w:rsidRPr="00327B3A">
        <w:rPr>
          <w:rFonts w:asciiTheme="majorHAnsi" w:hAnsiTheme="majorHAnsi" w:cstheme="majorHAnsi"/>
          <w:sz w:val="28"/>
          <w:szCs w:val="28"/>
        </w:rPr>
        <w:t xml:space="preserve">most </w:t>
      </w:r>
      <w:r w:rsidR="008317DC" w:rsidRPr="00327B3A">
        <w:rPr>
          <w:rFonts w:asciiTheme="majorHAnsi" w:hAnsiTheme="majorHAnsi" w:cstheme="majorHAnsi"/>
          <w:sz w:val="28"/>
          <w:szCs w:val="28"/>
        </w:rPr>
        <w:t>countries are over-urbanised and continu</w:t>
      </w:r>
      <w:r w:rsidR="009E5321" w:rsidRPr="00327B3A">
        <w:rPr>
          <w:rFonts w:asciiTheme="majorHAnsi" w:hAnsiTheme="majorHAnsi" w:cstheme="majorHAnsi"/>
          <w:sz w:val="28"/>
          <w:szCs w:val="28"/>
        </w:rPr>
        <w:t>ing</w:t>
      </w:r>
      <w:r w:rsidR="008317DC" w:rsidRPr="00327B3A">
        <w:rPr>
          <w:rFonts w:asciiTheme="majorHAnsi" w:hAnsiTheme="majorHAnsi" w:cstheme="majorHAnsi"/>
          <w:sz w:val="28"/>
          <w:szCs w:val="28"/>
        </w:rPr>
        <w:t xml:space="preserve"> rapid urbanisation further increases urban bias. As discussed earlier, </w:t>
      </w:r>
      <w:r w:rsidR="006768D6">
        <w:rPr>
          <w:rFonts w:asciiTheme="majorHAnsi" w:hAnsiTheme="majorHAnsi" w:cstheme="majorHAnsi"/>
          <w:sz w:val="28"/>
          <w:szCs w:val="28"/>
        </w:rPr>
        <w:t xml:space="preserve">widespread </w:t>
      </w:r>
      <w:r w:rsidR="00ED2ED7" w:rsidRPr="00327B3A">
        <w:rPr>
          <w:rFonts w:asciiTheme="majorHAnsi" w:hAnsiTheme="majorHAnsi" w:cstheme="majorHAnsi"/>
          <w:sz w:val="28"/>
          <w:szCs w:val="28"/>
        </w:rPr>
        <w:t xml:space="preserve">economic and political liberalisation </w:t>
      </w:r>
      <w:r w:rsidR="000E2F7A" w:rsidRPr="00327B3A">
        <w:rPr>
          <w:rFonts w:asciiTheme="majorHAnsi" w:hAnsiTheme="majorHAnsi" w:cstheme="majorHAnsi"/>
          <w:sz w:val="28"/>
          <w:szCs w:val="28"/>
        </w:rPr>
        <w:t>during the last three decades has led</w:t>
      </w:r>
      <w:r w:rsidR="00ED2ED7" w:rsidRPr="00327B3A">
        <w:rPr>
          <w:rFonts w:asciiTheme="majorHAnsi" w:hAnsiTheme="majorHAnsi" w:cstheme="majorHAnsi"/>
          <w:sz w:val="28"/>
          <w:szCs w:val="28"/>
        </w:rPr>
        <w:t xml:space="preserve"> to the</w:t>
      </w:r>
      <w:r w:rsidR="008317DC" w:rsidRPr="00327B3A">
        <w:rPr>
          <w:rFonts w:asciiTheme="majorHAnsi" w:hAnsiTheme="majorHAnsi" w:cstheme="majorHAnsi"/>
          <w:sz w:val="28"/>
          <w:szCs w:val="28"/>
        </w:rPr>
        <w:t xml:space="preserve"> </w:t>
      </w:r>
      <w:r w:rsidR="00ED2ED7" w:rsidRPr="00327B3A">
        <w:rPr>
          <w:rFonts w:asciiTheme="majorHAnsi" w:hAnsiTheme="majorHAnsi" w:cstheme="majorHAnsi"/>
          <w:sz w:val="28"/>
          <w:szCs w:val="28"/>
        </w:rPr>
        <w:t xml:space="preserve">emergence </w:t>
      </w:r>
      <w:r w:rsidR="008317DC" w:rsidRPr="00327B3A">
        <w:rPr>
          <w:rFonts w:asciiTheme="majorHAnsi" w:hAnsiTheme="majorHAnsi" w:cstheme="majorHAnsi"/>
          <w:sz w:val="28"/>
          <w:szCs w:val="28"/>
        </w:rPr>
        <w:t xml:space="preserve">of </w:t>
      </w:r>
      <w:r w:rsidR="000E2F7A" w:rsidRPr="00327B3A">
        <w:rPr>
          <w:rFonts w:asciiTheme="majorHAnsi" w:hAnsiTheme="majorHAnsi" w:cstheme="majorHAnsi"/>
          <w:sz w:val="28"/>
          <w:szCs w:val="28"/>
        </w:rPr>
        <w:t xml:space="preserve">a </w:t>
      </w:r>
      <w:r w:rsidR="008317DC" w:rsidRPr="00327B3A">
        <w:rPr>
          <w:rFonts w:asciiTheme="majorHAnsi" w:hAnsiTheme="majorHAnsi" w:cstheme="majorHAnsi"/>
          <w:sz w:val="28"/>
          <w:szCs w:val="28"/>
        </w:rPr>
        <w:t>reconstituted</w:t>
      </w:r>
      <w:r w:rsidR="00ED2ED7" w:rsidRPr="00327B3A">
        <w:rPr>
          <w:rFonts w:asciiTheme="majorHAnsi" w:hAnsiTheme="majorHAnsi" w:cstheme="majorHAnsi"/>
          <w:sz w:val="28"/>
          <w:szCs w:val="28"/>
        </w:rPr>
        <w:t>, business-oriented</w:t>
      </w:r>
      <w:r w:rsidR="008317DC" w:rsidRPr="00327B3A">
        <w:rPr>
          <w:rFonts w:asciiTheme="majorHAnsi" w:hAnsiTheme="majorHAnsi" w:cstheme="majorHAnsi"/>
          <w:sz w:val="28"/>
          <w:szCs w:val="28"/>
        </w:rPr>
        <w:t xml:space="preserve"> middle class who</w:t>
      </w:r>
      <w:r w:rsidR="000E2F7A" w:rsidRPr="00327B3A">
        <w:rPr>
          <w:rFonts w:asciiTheme="majorHAnsi" w:hAnsiTheme="majorHAnsi" w:cstheme="majorHAnsi"/>
          <w:sz w:val="28"/>
          <w:szCs w:val="28"/>
        </w:rPr>
        <w:t>se members</w:t>
      </w:r>
      <w:r w:rsidR="008317DC" w:rsidRPr="00327B3A">
        <w:rPr>
          <w:rFonts w:asciiTheme="majorHAnsi" w:hAnsiTheme="majorHAnsi" w:cstheme="majorHAnsi"/>
          <w:sz w:val="28"/>
          <w:szCs w:val="28"/>
        </w:rPr>
        <w:t xml:space="preserve"> live</w:t>
      </w:r>
      <w:r w:rsidR="00ED2ED7" w:rsidRPr="00327B3A">
        <w:rPr>
          <w:rFonts w:asciiTheme="majorHAnsi" w:hAnsiTheme="majorHAnsi" w:cstheme="majorHAnsi"/>
          <w:sz w:val="28"/>
          <w:szCs w:val="28"/>
        </w:rPr>
        <w:t xml:space="preserve"> and work </w:t>
      </w:r>
      <w:r w:rsidR="008317DC" w:rsidRPr="00327B3A">
        <w:rPr>
          <w:rFonts w:asciiTheme="majorHAnsi" w:hAnsiTheme="majorHAnsi" w:cstheme="majorHAnsi"/>
          <w:sz w:val="28"/>
          <w:szCs w:val="28"/>
        </w:rPr>
        <w:t>overwhelmingly in capital cit</w:t>
      </w:r>
      <w:r w:rsidR="00ED2ED7" w:rsidRPr="00327B3A">
        <w:rPr>
          <w:rFonts w:asciiTheme="majorHAnsi" w:hAnsiTheme="majorHAnsi" w:cstheme="majorHAnsi"/>
          <w:sz w:val="28"/>
          <w:szCs w:val="28"/>
        </w:rPr>
        <w:t>ies</w:t>
      </w:r>
      <w:r w:rsidR="008317DC" w:rsidRPr="00327B3A">
        <w:rPr>
          <w:rFonts w:asciiTheme="majorHAnsi" w:hAnsiTheme="majorHAnsi" w:cstheme="majorHAnsi"/>
          <w:sz w:val="28"/>
          <w:szCs w:val="28"/>
        </w:rPr>
        <w:t xml:space="preserve"> and a few other major urban centres and who are increasingly cut off from the rural roots.</w:t>
      </w:r>
      <w:r w:rsidR="00ED2ED7" w:rsidRPr="00327B3A">
        <w:rPr>
          <w:rFonts w:asciiTheme="majorHAnsi" w:hAnsiTheme="majorHAnsi" w:cstheme="majorHAnsi"/>
          <w:sz w:val="28"/>
          <w:szCs w:val="28"/>
        </w:rPr>
        <w:t xml:space="preserve"> Meanwhile, the </w:t>
      </w:r>
      <w:r w:rsidR="0078278A">
        <w:rPr>
          <w:rFonts w:asciiTheme="majorHAnsi" w:hAnsiTheme="majorHAnsi" w:cstheme="majorHAnsi"/>
          <w:sz w:val="28"/>
          <w:szCs w:val="28"/>
        </w:rPr>
        <w:t xml:space="preserve">relative </w:t>
      </w:r>
      <w:r w:rsidR="00ED2ED7" w:rsidRPr="00327B3A">
        <w:rPr>
          <w:rFonts w:asciiTheme="majorHAnsi" w:hAnsiTheme="majorHAnsi" w:cstheme="majorHAnsi"/>
          <w:sz w:val="28"/>
          <w:szCs w:val="28"/>
        </w:rPr>
        <w:t xml:space="preserve">importance of agriculture and the rural economy continues to decline. </w:t>
      </w:r>
    </w:p>
    <w:p w:rsidR="003C533E" w:rsidRPr="00327B3A" w:rsidRDefault="00ED2ED7" w:rsidP="002052D2">
      <w:pPr>
        <w:jc w:val="both"/>
        <w:rPr>
          <w:rFonts w:asciiTheme="majorHAnsi" w:hAnsiTheme="majorHAnsi" w:cstheme="majorHAnsi"/>
          <w:sz w:val="28"/>
          <w:szCs w:val="28"/>
        </w:rPr>
      </w:pPr>
      <w:r w:rsidRPr="00327B3A">
        <w:rPr>
          <w:rFonts w:asciiTheme="majorHAnsi" w:hAnsiTheme="majorHAnsi" w:cstheme="majorHAnsi"/>
          <w:sz w:val="28"/>
          <w:szCs w:val="28"/>
        </w:rPr>
        <w:t xml:space="preserve">There are few countervailing tendencies which are might mitigate these high and increasing levels of urban bias. </w:t>
      </w:r>
      <w:r w:rsidR="00591D8A" w:rsidRPr="00327B3A">
        <w:rPr>
          <w:rFonts w:asciiTheme="majorHAnsi" w:hAnsiTheme="majorHAnsi" w:cstheme="majorHAnsi"/>
          <w:sz w:val="28"/>
          <w:szCs w:val="28"/>
        </w:rPr>
        <w:t xml:space="preserve">With </w:t>
      </w:r>
      <w:r w:rsidRPr="00327B3A">
        <w:rPr>
          <w:rFonts w:asciiTheme="majorHAnsi" w:hAnsiTheme="majorHAnsi" w:cstheme="majorHAnsi"/>
          <w:sz w:val="28"/>
          <w:szCs w:val="28"/>
        </w:rPr>
        <w:t xml:space="preserve">political liberalisation and </w:t>
      </w:r>
      <w:r w:rsidR="00591D8A" w:rsidRPr="00327B3A">
        <w:rPr>
          <w:rFonts w:asciiTheme="majorHAnsi" w:hAnsiTheme="majorHAnsi" w:cstheme="majorHAnsi"/>
          <w:sz w:val="28"/>
          <w:szCs w:val="28"/>
        </w:rPr>
        <w:t xml:space="preserve">the advent of multi-party democratic politics, the political power </w:t>
      </w:r>
      <w:r w:rsidR="000E2F7A" w:rsidRPr="00327B3A">
        <w:rPr>
          <w:rFonts w:asciiTheme="majorHAnsi" w:hAnsiTheme="majorHAnsi" w:cstheme="majorHAnsi"/>
          <w:sz w:val="28"/>
          <w:szCs w:val="28"/>
        </w:rPr>
        <w:t xml:space="preserve">(and thus the ‘voice’) </w:t>
      </w:r>
      <w:r w:rsidR="00591D8A" w:rsidRPr="00327B3A">
        <w:rPr>
          <w:rFonts w:asciiTheme="majorHAnsi" w:hAnsiTheme="majorHAnsi" w:cstheme="majorHAnsi"/>
          <w:sz w:val="28"/>
          <w:szCs w:val="28"/>
        </w:rPr>
        <w:t>of rural populat</w:t>
      </w:r>
      <w:r w:rsidR="009E5321" w:rsidRPr="00327B3A">
        <w:rPr>
          <w:rFonts w:asciiTheme="majorHAnsi" w:hAnsiTheme="majorHAnsi" w:cstheme="majorHAnsi"/>
          <w:sz w:val="28"/>
          <w:szCs w:val="28"/>
        </w:rPr>
        <w:t xml:space="preserve">ions has increased </w:t>
      </w:r>
      <w:r w:rsidR="00591D8A" w:rsidRPr="00327B3A">
        <w:rPr>
          <w:rFonts w:asciiTheme="majorHAnsi" w:hAnsiTheme="majorHAnsi" w:cstheme="majorHAnsi"/>
          <w:sz w:val="28"/>
          <w:szCs w:val="28"/>
        </w:rPr>
        <w:t xml:space="preserve">with the result that </w:t>
      </w:r>
      <w:r w:rsidR="009E5321" w:rsidRPr="00327B3A">
        <w:rPr>
          <w:rFonts w:asciiTheme="majorHAnsi" w:hAnsiTheme="majorHAnsi" w:cstheme="majorHAnsi"/>
          <w:sz w:val="28"/>
          <w:szCs w:val="28"/>
        </w:rPr>
        <w:t xml:space="preserve">they cannot be </w:t>
      </w:r>
      <w:r w:rsidR="0078278A">
        <w:rPr>
          <w:rFonts w:asciiTheme="majorHAnsi" w:hAnsiTheme="majorHAnsi" w:cstheme="majorHAnsi"/>
          <w:sz w:val="28"/>
          <w:szCs w:val="28"/>
        </w:rPr>
        <w:t xml:space="preserve">largely </w:t>
      </w:r>
      <w:r w:rsidR="009E5321" w:rsidRPr="00327B3A">
        <w:rPr>
          <w:rFonts w:asciiTheme="majorHAnsi" w:hAnsiTheme="majorHAnsi" w:cstheme="majorHAnsi"/>
          <w:sz w:val="28"/>
          <w:szCs w:val="28"/>
        </w:rPr>
        <w:t xml:space="preserve">ignored by </w:t>
      </w:r>
      <w:r w:rsidR="00591D8A" w:rsidRPr="00327B3A">
        <w:rPr>
          <w:rFonts w:asciiTheme="majorHAnsi" w:hAnsiTheme="majorHAnsi" w:cstheme="majorHAnsi"/>
          <w:sz w:val="28"/>
          <w:szCs w:val="28"/>
        </w:rPr>
        <w:t>poli</w:t>
      </w:r>
      <w:r w:rsidR="009E5321" w:rsidRPr="00327B3A">
        <w:rPr>
          <w:rFonts w:asciiTheme="majorHAnsi" w:hAnsiTheme="majorHAnsi" w:cstheme="majorHAnsi"/>
          <w:sz w:val="28"/>
          <w:szCs w:val="28"/>
        </w:rPr>
        <w:t xml:space="preserve">tical elites </w:t>
      </w:r>
      <w:r w:rsidR="00591D8A" w:rsidRPr="00327B3A">
        <w:rPr>
          <w:rFonts w:asciiTheme="majorHAnsi" w:hAnsiTheme="majorHAnsi" w:cstheme="majorHAnsi"/>
          <w:sz w:val="28"/>
          <w:szCs w:val="28"/>
        </w:rPr>
        <w:t xml:space="preserve">as </w:t>
      </w:r>
      <w:r w:rsidR="009E5321" w:rsidRPr="00327B3A">
        <w:rPr>
          <w:rFonts w:asciiTheme="majorHAnsi" w:hAnsiTheme="majorHAnsi" w:cstheme="majorHAnsi"/>
          <w:sz w:val="28"/>
          <w:szCs w:val="28"/>
        </w:rPr>
        <w:t>was</w:t>
      </w:r>
      <w:r w:rsidR="0078278A">
        <w:rPr>
          <w:rFonts w:asciiTheme="majorHAnsi" w:hAnsiTheme="majorHAnsi" w:cstheme="majorHAnsi"/>
          <w:sz w:val="28"/>
          <w:szCs w:val="28"/>
        </w:rPr>
        <w:t xml:space="preserve"> </w:t>
      </w:r>
      <w:r w:rsidR="00591D8A" w:rsidRPr="00327B3A">
        <w:rPr>
          <w:rFonts w:asciiTheme="majorHAnsi" w:hAnsiTheme="majorHAnsi" w:cstheme="majorHAnsi"/>
          <w:sz w:val="28"/>
          <w:szCs w:val="28"/>
        </w:rPr>
        <w:t xml:space="preserve">the case in the past. However, the saliency of this political power is </w:t>
      </w:r>
      <w:r w:rsidR="00CE747C" w:rsidRPr="00327B3A">
        <w:rPr>
          <w:rFonts w:asciiTheme="majorHAnsi" w:hAnsiTheme="majorHAnsi" w:cstheme="majorHAnsi"/>
          <w:sz w:val="28"/>
          <w:szCs w:val="28"/>
        </w:rPr>
        <w:t xml:space="preserve">generally </w:t>
      </w:r>
      <w:r w:rsidR="00591D8A" w:rsidRPr="00327B3A">
        <w:rPr>
          <w:rFonts w:asciiTheme="majorHAnsi" w:hAnsiTheme="majorHAnsi" w:cstheme="majorHAnsi"/>
          <w:sz w:val="28"/>
          <w:szCs w:val="28"/>
        </w:rPr>
        <w:t xml:space="preserve">only manifest during </w:t>
      </w:r>
      <w:r w:rsidR="0078278A">
        <w:rPr>
          <w:rFonts w:asciiTheme="majorHAnsi" w:hAnsiTheme="majorHAnsi" w:cstheme="majorHAnsi"/>
          <w:sz w:val="28"/>
          <w:szCs w:val="28"/>
        </w:rPr>
        <w:t xml:space="preserve">the run-up to national </w:t>
      </w:r>
      <w:r w:rsidR="00591D8A" w:rsidRPr="00327B3A">
        <w:rPr>
          <w:rFonts w:asciiTheme="majorHAnsi" w:hAnsiTheme="majorHAnsi" w:cstheme="majorHAnsi"/>
          <w:sz w:val="28"/>
          <w:szCs w:val="28"/>
        </w:rPr>
        <w:t>election</w:t>
      </w:r>
      <w:r w:rsidR="0078278A">
        <w:rPr>
          <w:rFonts w:asciiTheme="majorHAnsi" w:hAnsiTheme="majorHAnsi" w:cstheme="majorHAnsi"/>
          <w:sz w:val="28"/>
          <w:szCs w:val="28"/>
        </w:rPr>
        <w:t>s</w:t>
      </w:r>
      <w:r w:rsidR="00591D8A" w:rsidRPr="00327B3A">
        <w:rPr>
          <w:rFonts w:asciiTheme="majorHAnsi" w:hAnsiTheme="majorHAnsi" w:cstheme="majorHAnsi"/>
          <w:sz w:val="28"/>
          <w:szCs w:val="28"/>
        </w:rPr>
        <w:t xml:space="preserve"> when political parties make promises</w:t>
      </w:r>
      <w:r w:rsidRPr="00327B3A">
        <w:rPr>
          <w:rFonts w:asciiTheme="majorHAnsi" w:hAnsiTheme="majorHAnsi" w:cstheme="majorHAnsi"/>
          <w:sz w:val="28"/>
          <w:szCs w:val="28"/>
        </w:rPr>
        <w:t xml:space="preserve"> and give </w:t>
      </w:r>
      <w:r w:rsidR="000E2F7A" w:rsidRPr="00327B3A">
        <w:rPr>
          <w:rFonts w:asciiTheme="majorHAnsi" w:hAnsiTheme="majorHAnsi" w:cstheme="majorHAnsi"/>
          <w:sz w:val="28"/>
          <w:szCs w:val="28"/>
        </w:rPr>
        <w:t>‘</w:t>
      </w:r>
      <w:r w:rsidRPr="00327B3A">
        <w:rPr>
          <w:rFonts w:asciiTheme="majorHAnsi" w:hAnsiTheme="majorHAnsi" w:cstheme="majorHAnsi"/>
          <w:sz w:val="28"/>
          <w:szCs w:val="28"/>
        </w:rPr>
        <w:t>handouts</w:t>
      </w:r>
      <w:r w:rsidR="000E2F7A" w:rsidRPr="00327B3A">
        <w:rPr>
          <w:rFonts w:asciiTheme="majorHAnsi" w:hAnsiTheme="majorHAnsi" w:cstheme="majorHAnsi"/>
          <w:sz w:val="28"/>
          <w:szCs w:val="28"/>
        </w:rPr>
        <w:t xml:space="preserve">’ </w:t>
      </w:r>
      <w:r w:rsidR="00591D8A" w:rsidRPr="00327B3A">
        <w:rPr>
          <w:rFonts w:asciiTheme="majorHAnsi" w:hAnsiTheme="majorHAnsi" w:cstheme="majorHAnsi"/>
          <w:sz w:val="28"/>
          <w:szCs w:val="28"/>
        </w:rPr>
        <w:t xml:space="preserve">to </w:t>
      </w:r>
      <w:r w:rsidR="00CE747C" w:rsidRPr="00327B3A">
        <w:rPr>
          <w:rFonts w:asciiTheme="majorHAnsi" w:hAnsiTheme="majorHAnsi" w:cstheme="majorHAnsi"/>
          <w:sz w:val="28"/>
          <w:szCs w:val="28"/>
        </w:rPr>
        <w:t xml:space="preserve">the </w:t>
      </w:r>
      <w:r w:rsidR="00591D8A" w:rsidRPr="00327B3A">
        <w:rPr>
          <w:rFonts w:asciiTheme="majorHAnsi" w:hAnsiTheme="majorHAnsi" w:cstheme="majorHAnsi"/>
          <w:sz w:val="28"/>
          <w:szCs w:val="28"/>
        </w:rPr>
        <w:t xml:space="preserve">rural </w:t>
      </w:r>
      <w:r w:rsidR="00CE747C" w:rsidRPr="00327B3A">
        <w:rPr>
          <w:rFonts w:asciiTheme="majorHAnsi" w:hAnsiTheme="majorHAnsi" w:cstheme="majorHAnsi"/>
          <w:sz w:val="28"/>
          <w:szCs w:val="28"/>
        </w:rPr>
        <w:t xml:space="preserve">population </w:t>
      </w:r>
      <w:r w:rsidRPr="00327B3A">
        <w:rPr>
          <w:rFonts w:asciiTheme="majorHAnsi" w:hAnsiTheme="majorHAnsi" w:cstheme="majorHAnsi"/>
          <w:sz w:val="28"/>
          <w:szCs w:val="28"/>
        </w:rPr>
        <w:t xml:space="preserve">but are </w:t>
      </w:r>
      <w:r w:rsidR="00CE747C" w:rsidRPr="00327B3A">
        <w:rPr>
          <w:rFonts w:asciiTheme="majorHAnsi" w:hAnsiTheme="majorHAnsi" w:cstheme="majorHAnsi"/>
          <w:sz w:val="28"/>
          <w:szCs w:val="28"/>
        </w:rPr>
        <w:t xml:space="preserve">then </w:t>
      </w:r>
      <w:r w:rsidR="000E2F7A" w:rsidRPr="00327B3A">
        <w:rPr>
          <w:rFonts w:asciiTheme="majorHAnsi" w:hAnsiTheme="majorHAnsi" w:cstheme="majorHAnsi"/>
          <w:sz w:val="28"/>
          <w:szCs w:val="28"/>
        </w:rPr>
        <w:t xml:space="preserve">largely </w:t>
      </w:r>
      <w:r w:rsidR="00591D8A" w:rsidRPr="00327B3A">
        <w:rPr>
          <w:rFonts w:asciiTheme="majorHAnsi" w:hAnsiTheme="majorHAnsi" w:cstheme="majorHAnsi"/>
          <w:sz w:val="28"/>
          <w:szCs w:val="28"/>
        </w:rPr>
        <w:t>ignored</w:t>
      </w:r>
      <w:r w:rsidR="009E5321" w:rsidRPr="00327B3A">
        <w:rPr>
          <w:rFonts w:asciiTheme="majorHAnsi" w:hAnsiTheme="majorHAnsi" w:cstheme="majorHAnsi"/>
          <w:sz w:val="28"/>
          <w:szCs w:val="28"/>
        </w:rPr>
        <w:t xml:space="preserve"> once in power</w:t>
      </w:r>
      <w:r w:rsidR="00591D8A" w:rsidRPr="00327B3A">
        <w:rPr>
          <w:rFonts w:asciiTheme="majorHAnsi" w:hAnsiTheme="majorHAnsi" w:cstheme="majorHAnsi"/>
          <w:sz w:val="28"/>
          <w:szCs w:val="28"/>
        </w:rPr>
        <w:t>.</w:t>
      </w:r>
      <w:r w:rsidR="00CE747C" w:rsidRPr="00327B3A">
        <w:rPr>
          <w:rFonts w:asciiTheme="majorHAnsi" w:hAnsiTheme="majorHAnsi" w:cstheme="majorHAnsi"/>
          <w:sz w:val="28"/>
          <w:szCs w:val="28"/>
        </w:rPr>
        <w:t xml:space="preserve"> </w:t>
      </w:r>
      <w:r w:rsidR="000E2F7A" w:rsidRPr="00327B3A">
        <w:rPr>
          <w:rFonts w:asciiTheme="majorHAnsi" w:hAnsiTheme="majorHAnsi" w:cstheme="majorHAnsi"/>
          <w:sz w:val="28"/>
          <w:szCs w:val="28"/>
        </w:rPr>
        <w:t>By contrast, t</w:t>
      </w:r>
      <w:r w:rsidR="00CE747C" w:rsidRPr="00327B3A">
        <w:rPr>
          <w:rFonts w:asciiTheme="majorHAnsi" w:hAnsiTheme="majorHAnsi" w:cstheme="majorHAnsi"/>
          <w:sz w:val="28"/>
          <w:szCs w:val="28"/>
        </w:rPr>
        <w:t xml:space="preserve">he urban electorate and especially the middle class and other elites have benefited disproportionately from this new political dispensation. </w:t>
      </w:r>
      <w:r w:rsidR="00591D8A" w:rsidRPr="00327B3A">
        <w:rPr>
          <w:rFonts w:asciiTheme="majorHAnsi" w:hAnsiTheme="majorHAnsi" w:cstheme="majorHAnsi"/>
          <w:sz w:val="28"/>
          <w:szCs w:val="28"/>
        </w:rPr>
        <w:t xml:space="preserve"> </w:t>
      </w:r>
    </w:p>
    <w:p w:rsidR="00743FD5" w:rsidRPr="00327B3A" w:rsidRDefault="002474FC" w:rsidP="008317DC">
      <w:pPr>
        <w:jc w:val="both"/>
        <w:rPr>
          <w:rFonts w:asciiTheme="majorHAnsi" w:hAnsiTheme="majorHAnsi" w:cstheme="majorHAnsi"/>
          <w:sz w:val="28"/>
          <w:szCs w:val="28"/>
        </w:rPr>
      </w:pPr>
      <w:r w:rsidRPr="00327B3A">
        <w:rPr>
          <w:rFonts w:asciiTheme="majorHAnsi" w:hAnsiTheme="majorHAnsi" w:cstheme="majorHAnsi"/>
          <w:sz w:val="28"/>
          <w:szCs w:val="28"/>
        </w:rPr>
        <w:t>And secondly</w:t>
      </w:r>
      <w:r w:rsidR="008317DC"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urban bias is due to </w:t>
      </w:r>
      <w:r w:rsidR="008317DC" w:rsidRPr="00327B3A">
        <w:rPr>
          <w:rFonts w:asciiTheme="majorHAnsi" w:hAnsiTheme="majorHAnsi" w:cstheme="majorHAnsi"/>
          <w:sz w:val="28"/>
          <w:szCs w:val="28"/>
        </w:rPr>
        <w:t xml:space="preserve">the intrinsic challenges of providing </w:t>
      </w:r>
      <w:r w:rsidRPr="00327B3A">
        <w:rPr>
          <w:rFonts w:asciiTheme="majorHAnsi" w:hAnsiTheme="majorHAnsi" w:cstheme="majorHAnsi"/>
          <w:sz w:val="28"/>
          <w:szCs w:val="28"/>
        </w:rPr>
        <w:t>key public services and</w:t>
      </w:r>
      <w:r w:rsidR="000E2F7A" w:rsidRPr="00327B3A">
        <w:rPr>
          <w:rFonts w:asciiTheme="majorHAnsi" w:hAnsiTheme="majorHAnsi" w:cstheme="majorHAnsi"/>
          <w:sz w:val="28"/>
          <w:szCs w:val="28"/>
        </w:rPr>
        <w:t>,</w:t>
      </w:r>
      <w:r w:rsidRPr="00327B3A">
        <w:rPr>
          <w:rFonts w:asciiTheme="majorHAnsi" w:hAnsiTheme="majorHAnsi" w:cstheme="majorHAnsi"/>
          <w:sz w:val="28"/>
          <w:szCs w:val="28"/>
        </w:rPr>
        <w:t xml:space="preserve"> in particular</w:t>
      </w:r>
      <w:r w:rsidR="000E2F7A" w:rsidRPr="00327B3A">
        <w:rPr>
          <w:rFonts w:asciiTheme="majorHAnsi" w:hAnsiTheme="majorHAnsi" w:cstheme="majorHAnsi"/>
          <w:sz w:val="28"/>
          <w:szCs w:val="28"/>
        </w:rPr>
        <w:t>,</w:t>
      </w:r>
      <w:r w:rsidRPr="00327B3A">
        <w:rPr>
          <w:rFonts w:asciiTheme="majorHAnsi" w:hAnsiTheme="majorHAnsi" w:cstheme="majorHAnsi"/>
          <w:sz w:val="28"/>
          <w:szCs w:val="28"/>
        </w:rPr>
        <w:t xml:space="preserve"> </w:t>
      </w:r>
      <w:r w:rsidR="008317DC" w:rsidRPr="00327B3A">
        <w:rPr>
          <w:rFonts w:asciiTheme="majorHAnsi" w:hAnsiTheme="majorHAnsi" w:cstheme="majorHAnsi"/>
          <w:sz w:val="28"/>
          <w:szCs w:val="28"/>
        </w:rPr>
        <w:t xml:space="preserve">schooling to sparsely populated, generally poor rural </w:t>
      </w:r>
      <w:r w:rsidRPr="00327B3A">
        <w:rPr>
          <w:rFonts w:asciiTheme="majorHAnsi" w:hAnsiTheme="majorHAnsi" w:cstheme="majorHAnsi"/>
          <w:sz w:val="28"/>
          <w:szCs w:val="28"/>
        </w:rPr>
        <w:t>communities</w:t>
      </w:r>
      <w:r w:rsidR="008317DC"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In order to </w:t>
      </w:r>
      <w:r w:rsidR="00C77308" w:rsidRPr="00327B3A">
        <w:rPr>
          <w:rFonts w:asciiTheme="majorHAnsi" w:hAnsiTheme="majorHAnsi" w:cstheme="majorHAnsi"/>
          <w:sz w:val="28"/>
          <w:szCs w:val="28"/>
        </w:rPr>
        <w:t>deliver</w:t>
      </w:r>
      <w:r w:rsidRPr="00327B3A">
        <w:rPr>
          <w:rFonts w:asciiTheme="majorHAnsi" w:hAnsiTheme="majorHAnsi" w:cstheme="majorHAnsi"/>
          <w:sz w:val="28"/>
          <w:szCs w:val="28"/>
        </w:rPr>
        <w:t xml:space="preserve"> a multi-subject curricul</w:t>
      </w:r>
      <w:r w:rsidR="00EB0514">
        <w:rPr>
          <w:rFonts w:asciiTheme="majorHAnsi" w:hAnsiTheme="majorHAnsi" w:cstheme="majorHAnsi"/>
          <w:sz w:val="28"/>
          <w:szCs w:val="28"/>
        </w:rPr>
        <w:t>um</w:t>
      </w:r>
      <w:r w:rsidRPr="00327B3A">
        <w:rPr>
          <w:rFonts w:asciiTheme="majorHAnsi" w:hAnsiTheme="majorHAnsi" w:cstheme="majorHAnsi"/>
          <w:sz w:val="28"/>
          <w:szCs w:val="28"/>
        </w:rPr>
        <w:t xml:space="preserve"> taught by designated subject teachers, the minimum </w:t>
      </w:r>
      <w:r w:rsidR="00E27AC1" w:rsidRPr="00327B3A">
        <w:rPr>
          <w:rFonts w:asciiTheme="majorHAnsi" w:hAnsiTheme="majorHAnsi" w:cstheme="majorHAnsi"/>
          <w:sz w:val="28"/>
          <w:szCs w:val="28"/>
        </w:rPr>
        <w:t xml:space="preserve">size </w:t>
      </w:r>
      <w:r w:rsidRPr="00327B3A">
        <w:rPr>
          <w:rFonts w:asciiTheme="majorHAnsi" w:hAnsiTheme="majorHAnsi" w:cstheme="majorHAnsi"/>
          <w:sz w:val="28"/>
          <w:szCs w:val="28"/>
        </w:rPr>
        <w:t>of secondary schools</w:t>
      </w:r>
      <w:r w:rsidR="00EB0514">
        <w:rPr>
          <w:rFonts w:asciiTheme="majorHAnsi" w:hAnsiTheme="majorHAnsi" w:cstheme="majorHAnsi"/>
          <w:sz w:val="28"/>
          <w:szCs w:val="28"/>
        </w:rPr>
        <w:t>,</w:t>
      </w:r>
      <w:r w:rsidRPr="00327B3A">
        <w:rPr>
          <w:rFonts w:asciiTheme="majorHAnsi" w:hAnsiTheme="majorHAnsi" w:cstheme="majorHAnsi"/>
          <w:sz w:val="28"/>
          <w:szCs w:val="28"/>
        </w:rPr>
        <w:t xml:space="preserve"> </w:t>
      </w:r>
      <w:r w:rsidR="00E27AC1" w:rsidRPr="00327B3A">
        <w:rPr>
          <w:rFonts w:asciiTheme="majorHAnsi" w:hAnsiTheme="majorHAnsi" w:cstheme="majorHAnsi"/>
          <w:sz w:val="28"/>
          <w:szCs w:val="28"/>
        </w:rPr>
        <w:t>in terms of teachers and facilities</w:t>
      </w:r>
      <w:r w:rsidR="00EB0514">
        <w:rPr>
          <w:rFonts w:asciiTheme="majorHAnsi" w:hAnsiTheme="majorHAnsi" w:cstheme="majorHAnsi"/>
          <w:sz w:val="28"/>
          <w:szCs w:val="28"/>
        </w:rPr>
        <w:t>,</w:t>
      </w:r>
      <w:r w:rsidR="00E27AC1"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is </w:t>
      </w:r>
      <w:r w:rsidR="00EB0514">
        <w:rPr>
          <w:rFonts w:asciiTheme="majorHAnsi" w:hAnsiTheme="majorHAnsi" w:cstheme="majorHAnsi"/>
          <w:sz w:val="28"/>
          <w:szCs w:val="28"/>
        </w:rPr>
        <w:t xml:space="preserve">considerably </w:t>
      </w:r>
      <w:r w:rsidR="000E2F7A" w:rsidRPr="00327B3A">
        <w:rPr>
          <w:rFonts w:asciiTheme="majorHAnsi" w:hAnsiTheme="majorHAnsi" w:cstheme="majorHAnsi"/>
          <w:sz w:val="28"/>
          <w:szCs w:val="28"/>
        </w:rPr>
        <w:t>larger</w:t>
      </w:r>
      <w:r w:rsidRPr="00327B3A">
        <w:rPr>
          <w:rFonts w:asciiTheme="majorHAnsi" w:hAnsiTheme="majorHAnsi" w:cstheme="majorHAnsi"/>
          <w:sz w:val="28"/>
          <w:szCs w:val="28"/>
        </w:rPr>
        <w:t xml:space="preserve"> than for primary schools which m</w:t>
      </w:r>
      <w:r w:rsidR="00EB0514">
        <w:rPr>
          <w:rFonts w:asciiTheme="majorHAnsi" w:hAnsiTheme="majorHAnsi" w:cstheme="majorHAnsi"/>
          <w:sz w:val="28"/>
          <w:szCs w:val="28"/>
        </w:rPr>
        <w:t xml:space="preserve">akes it difficult, if not impossible, for most rural children </w:t>
      </w:r>
      <w:r w:rsidRPr="00327B3A">
        <w:rPr>
          <w:rFonts w:asciiTheme="majorHAnsi" w:hAnsiTheme="majorHAnsi" w:cstheme="majorHAnsi"/>
          <w:sz w:val="28"/>
          <w:szCs w:val="28"/>
        </w:rPr>
        <w:t xml:space="preserve">to commute to school on a daily </w:t>
      </w:r>
      <w:r w:rsidRPr="00327B3A">
        <w:rPr>
          <w:rFonts w:asciiTheme="majorHAnsi" w:hAnsiTheme="majorHAnsi" w:cstheme="majorHAnsi"/>
          <w:sz w:val="28"/>
          <w:szCs w:val="28"/>
        </w:rPr>
        <w:lastRenderedPageBreak/>
        <w:t>basis. Boarding schools ar</w:t>
      </w:r>
      <w:r w:rsidR="00E27AC1" w:rsidRPr="00327B3A">
        <w:rPr>
          <w:rFonts w:asciiTheme="majorHAnsi" w:hAnsiTheme="majorHAnsi" w:cstheme="majorHAnsi"/>
          <w:sz w:val="28"/>
          <w:szCs w:val="28"/>
        </w:rPr>
        <w:t>e</w:t>
      </w:r>
      <w:r w:rsidRPr="00327B3A">
        <w:rPr>
          <w:rFonts w:asciiTheme="majorHAnsi" w:hAnsiTheme="majorHAnsi" w:cstheme="majorHAnsi"/>
          <w:sz w:val="28"/>
          <w:szCs w:val="28"/>
        </w:rPr>
        <w:t xml:space="preserve">, therefore, </w:t>
      </w:r>
      <w:r w:rsidR="00E27AC1" w:rsidRPr="00327B3A">
        <w:rPr>
          <w:rFonts w:asciiTheme="majorHAnsi" w:hAnsiTheme="majorHAnsi" w:cstheme="majorHAnsi"/>
          <w:sz w:val="28"/>
          <w:szCs w:val="28"/>
        </w:rPr>
        <w:t xml:space="preserve">often the only option but have unit costs which are usually between three-five times higher than </w:t>
      </w:r>
      <w:r w:rsidR="00EB0514">
        <w:rPr>
          <w:rFonts w:asciiTheme="majorHAnsi" w:hAnsiTheme="majorHAnsi" w:cstheme="majorHAnsi"/>
          <w:sz w:val="28"/>
          <w:szCs w:val="28"/>
        </w:rPr>
        <w:t>day schools. This access challenge</w:t>
      </w:r>
      <w:r w:rsidR="00E27AC1" w:rsidRPr="00327B3A">
        <w:rPr>
          <w:rFonts w:asciiTheme="majorHAnsi" w:hAnsiTheme="majorHAnsi" w:cstheme="majorHAnsi"/>
          <w:sz w:val="28"/>
          <w:szCs w:val="28"/>
        </w:rPr>
        <w:t xml:space="preserve"> is further compounded by the inability of most rural parents to make the same level of financial contributions to their children’s education as is the case in urban areas. </w:t>
      </w:r>
    </w:p>
    <w:p w:rsidR="00743FD5" w:rsidRPr="00327B3A" w:rsidRDefault="000E2F7A" w:rsidP="008317DC">
      <w:pPr>
        <w:jc w:val="both"/>
        <w:rPr>
          <w:rFonts w:asciiTheme="majorHAnsi" w:hAnsiTheme="majorHAnsi" w:cstheme="majorHAnsi"/>
          <w:sz w:val="28"/>
          <w:szCs w:val="28"/>
        </w:rPr>
      </w:pPr>
      <w:r w:rsidRPr="00327B3A">
        <w:rPr>
          <w:rFonts w:asciiTheme="majorHAnsi" w:hAnsiTheme="majorHAnsi" w:cstheme="majorHAnsi"/>
          <w:sz w:val="28"/>
          <w:szCs w:val="28"/>
        </w:rPr>
        <w:t>An</w:t>
      </w:r>
      <w:r w:rsidR="00E635EC" w:rsidRPr="00327B3A">
        <w:rPr>
          <w:rFonts w:asciiTheme="majorHAnsi" w:hAnsiTheme="majorHAnsi" w:cstheme="majorHAnsi"/>
          <w:sz w:val="28"/>
          <w:szCs w:val="28"/>
        </w:rPr>
        <w:t xml:space="preserve">other major </w:t>
      </w:r>
      <w:r w:rsidR="00743FD5" w:rsidRPr="00327B3A">
        <w:rPr>
          <w:rFonts w:asciiTheme="majorHAnsi" w:hAnsiTheme="majorHAnsi" w:cstheme="majorHAnsi"/>
          <w:sz w:val="28"/>
          <w:szCs w:val="28"/>
        </w:rPr>
        <w:t xml:space="preserve">resourcing </w:t>
      </w:r>
      <w:r w:rsidR="00E635EC" w:rsidRPr="00327B3A">
        <w:rPr>
          <w:rFonts w:asciiTheme="majorHAnsi" w:hAnsiTheme="majorHAnsi" w:cstheme="majorHAnsi"/>
          <w:sz w:val="28"/>
          <w:szCs w:val="28"/>
        </w:rPr>
        <w:t xml:space="preserve">issue is the </w:t>
      </w:r>
      <w:r w:rsidR="00E27AC1" w:rsidRPr="00327B3A">
        <w:rPr>
          <w:rFonts w:asciiTheme="majorHAnsi" w:hAnsiTheme="majorHAnsi" w:cstheme="majorHAnsi"/>
          <w:sz w:val="28"/>
          <w:szCs w:val="28"/>
        </w:rPr>
        <w:t>a</w:t>
      </w:r>
      <w:r w:rsidR="008317DC" w:rsidRPr="00327B3A">
        <w:rPr>
          <w:rFonts w:asciiTheme="majorHAnsi" w:hAnsiTheme="majorHAnsi" w:cstheme="majorHAnsi"/>
          <w:sz w:val="28"/>
          <w:szCs w:val="28"/>
        </w:rPr>
        <w:t>cute difficult</w:t>
      </w:r>
      <w:r w:rsidR="00E635EC" w:rsidRPr="00327B3A">
        <w:rPr>
          <w:rFonts w:asciiTheme="majorHAnsi" w:hAnsiTheme="majorHAnsi" w:cstheme="majorHAnsi"/>
          <w:sz w:val="28"/>
          <w:szCs w:val="28"/>
        </w:rPr>
        <w:t>y</w:t>
      </w:r>
      <w:r w:rsidR="008317DC" w:rsidRPr="00327B3A">
        <w:rPr>
          <w:rFonts w:asciiTheme="majorHAnsi" w:hAnsiTheme="majorHAnsi" w:cstheme="majorHAnsi"/>
          <w:sz w:val="28"/>
          <w:szCs w:val="28"/>
        </w:rPr>
        <w:t xml:space="preserve"> of deploying poorly paid</w:t>
      </w:r>
      <w:r w:rsidR="00743FD5" w:rsidRPr="00327B3A">
        <w:rPr>
          <w:rFonts w:asciiTheme="majorHAnsi" w:hAnsiTheme="majorHAnsi" w:cstheme="majorHAnsi"/>
          <w:sz w:val="28"/>
          <w:szCs w:val="28"/>
        </w:rPr>
        <w:t xml:space="preserve"> and motivated</w:t>
      </w:r>
      <w:r w:rsidR="008317DC" w:rsidRPr="00327B3A">
        <w:rPr>
          <w:rFonts w:asciiTheme="majorHAnsi" w:hAnsiTheme="majorHAnsi" w:cstheme="majorHAnsi"/>
          <w:sz w:val="28"/>
          <w:szCs w:val="28"/>
        </w:rPr>
        <w:t xml:space="preserve"> teachers to work in challenging </w:t>
      </w:r>
      <w:r w:rsidR="00E27AC1" w:rsidRPr="00327B3A">
        <w:rPr>
          <w:rFonts w:asciiTheme="majorHAnsi" w:hAnsiTheme="majorHAnsi" w:cstheme="majorHAnsi"/>
          <w:sz w:val="28"/>
          <w:szCs w:val="28"/>
        </w:rPr>
        <w:t xml:space="preserve">rural </w:t>
      </w:r>
      <w:r w:rsidR="008317DC" w:rsidRPr="00327B3A">
        <w:rPr>
          <w:rFonts w:asciiTheme="majorHAnsi" w:hAnsiTheme="majorHAnsi" w:cstheme="majorHAnsi"/>
          <w:sz w:val="28"/>
          <w:szCs w:val="28"/>
        </w:rPr>
        <w:t>locations with very basic amenities</w:t>
      </w:r>
      <w:r w:rsidR="005318B9">
        <w:rPr>
          <w:rFonts w:asciiTheme="majorHAnsi" w:hAnsiTheme="majorHAnsi" w:cstheme="majorHAnsi"/>
          <w:sz w:val="28"/>
          <w:szCs w:val="28"/>
        </w:rPr>
        <w:t xml:space="preserve"> (see Bennell and Acheampong, 2007)</w:t>
      </w:r>
      <w:r w:rsidR="008317DC" w:rsidRPr="00327B3A">
        <w:rPr>
          <w:rFonts w:asciiTheme="majorHAnsi" w:hAnsiTheme="majorHAnsi" w:cstheme="majorHAnsi"/>
          <w:sz w:val="28"/>
          <w:szCs w:val="28"/>
        </w:rPr>
        <w:t xml:space="preserve">. </w:t>
      </w:r>
      <w:r w:rsidR="00E635EC" w:rsidRPr="00327B3A">
        <w:rPr>
          <w:rFonts w:asciiTheme="majorHAnsi" w:hAnsiTheme="majorHAnsi" w:cstheme="majorHAnsi"/>
          <w:sz w:val="28"/>
          <w:szCs w:val="28"/>
        </w:rPr>
        <w:t>The ability of t</w:t>
      </w:r>
      <w:r w:rsidR="008317DC" w:rsidRPr="00327B3A">
        <w:rPr>
          <w:rFonts w:asciiTheme="majorHAnsi" w:hAnsiTheme="majorHAnsi" w:cstheme="majorHAnsi"/>
          <w:sz w:val="28"/>
          <w:szCs w:val="28"/>
        </w:rPr>
        <w:t xml:space="preserve">eachers </w:t>
      </w:r>
      <w:r w:rsidR="00E635EC" w:rsidRPr="00327B3A">
        <w:rPr>
          <w:rFonts w:asciiTheme="majorHAnsi" w:hAnsiTheme="majorHAnsi" w:cstheme="majorHAnsi"/>
          <w:sz w:val="28"/>
          <w:szCs w:val="28"/>
        </w:rPr>
        <w:t xml:space="preserve">to </w:t>
      </w:r>
      <w:r w:rsidR="008317DC" w:rsidRPr="00327B3A">
        <w:rPr>
          <w:rFonts w:asciiTheme="majorHAnsi" w:hAnsiTheme="majorHAnsi" w:cstheme="majorHAnsi"/>
          <w:sz w:val="28"/>
          <w:szCs w:val="28"/>
        </w:rPr>
        <w:t xml:space="preserve">refuse </w:t>
      </w:r>
      <w:r w:rsidR="002618E1" w:rsidRPr="00327B3A">
        <w:rPr>
          <w:rFonts w:asciiTheme="majorHAnsi" w:hAnsiTheme="majorHAnsi" w:cstheme="majorHAnsi"/>
          <w:sz w:val="28"/>
          <w:szCs w:val="28"/>
        </w:rPr>
        <w:t xml:space="preserve">rural </w:t>
      </w:r>
      <w:r w:rsidR="00E635EC" w:rsidRPr="00327B3A">
        <w:rPr>
          <w:rFonts w:asciiTheme="majorHAnsi" w:hAnsiTheme="majorHAnsi" w:cstheme="majorHAnsi"/>
          <w:sz w:val="28"/>
          <w:szCs w:val="28"/>
        </w:rPr>
        <w:t xml:space="preserve">postings </w:t>
      </w:r>
      <w:r w:rsidR="002618E1" w:rsidRPr="00327B3A">
        <w:rPr>
          <w:rFonts w:asciiTheme="majorHAnsi" w:hAnsiTheme="majorHAnsi" w:cstheme="majorHAnsi"/>
          <w:sz w:val="28"/>
          <w:szCs w:val="28"/>
        </w:rPr>
        <w:t xml:space="preserve">invariably </w:t>
      </w:r>
      <w:r w:rsidR="00E635EC" w:rsidRPr="00327B3A">
        <w:rPr>
          <w:rFonts w:asciiTheme="majorHAnsi" w:hAnsiTheme="majorHAnsi" w:cstheme="majorHAnsi"/>
          <w:sz w:val="28"/>
          <w:szCs w:val="28"/>
        </w:rPr>
        <w:t xml:space="preserve">results in the relatively few </w:t>
      </w:r>
      <w:r w:rsidR="002618E1" w:rsidRPr="00327B3A">
        <w:rPr>
          <w:rFonts w:asciiTheme="majorHAnsi" w:hAnsiTheme="majorHAnsi" w:cstheme="majorHAnsi"/>
          <w:sz w:val="28"/>
          <w:szCs w:val="28"/>
        </w:rPr>
        <w:t xml:space="preserve">rural </w:t>
      </w:r>
      <w:r w:rsidR="00E635EC" w:rsidRPr="00327B3A">
        <w:rPr>
          <w:rFonts w:asciiTheme="majorHAnsi" w:hAnsiTheme="majorHAnsi" w:cstheme="majorHAnsi"/>
          <w:sz w:val="28"/>
          <w:szCs w:val="28"/>
        </w:rPr>
        <w:t xml:space="preserve">secondary schools being under-staffed with </w:t>
      </w:r>
      <w:r w:rsidR="00743FD5" w:rsidRPr="00327B3A">
        <w:rPr>
          <w:rFonts w:asciiTheme="majorHAnsi" w:hAnsiTheme="majorHAnsi" w:cstheme="majorHAnsi"/>
          <w:sz w:val="28"/>
          <w:szCs w:val="28"/>
        </w:rPr>
        <w:t xml:space="preserve">generally </w:t>
      </w:r>
      <w:r w:rsidR="00E635EC" w:rsidRPr="00327B3A">
        <w:rPr>
          <w:rFonts w:asciiTheme="majorHAnsi" w:hAnsiTheme="majorHAnsi" w:cstheme="majorHAnsi"/>
          <w:sz w:val="28"/>
          <w:szCs w:val="28"/>
        </w:rPr>
        <w:t xml:space="preserve">poorly qualified and </w:t>
      </w:r>
      <w:r w:rsidR="00743FD5" w:rsidRPr="00327B3A">
        <w:rPr>
          <w:rFonts w:asciiTheme="majorHAnsi" w:hAnsiTheme="majorHAnsi" w:cstheme="majorHAnsi"/>
          <w:sz w:val="28"/>
          <w:szCs w:val="28"/>
        </w:rPr>
        <w:t>in</w:t>
      </w:r>
      <w:r w:rsidR="00E635EC" w:rsidRPr="00327B3A">
        <w:rPr>
          <w:rFonts w:asciiTheme="majorHAnsi" w:hAnsiTheme="majorHAnsi" w:cstheme="majorHAnsi"/>
          <w:sz w:val="28"/>
          <w:szCs w:val="28"/>
        </w:rPr>
        <w:t xml:space="preserve">experienced teachers while urban schools </w:t>
      </w:r>
      <w:r w:rsidR="00743FD5" w:rsidRPr="00327B3A">
        <w:rPr>
          <w:rFonts w:asciiTheme="majorHAnsi" w:hAnsiTheme="majorHAnsi" w:cstheme="majorHAnsi"/>
          <w:sz w:val="28"/>
          <w:szCs w:val="28"/>
        </w:rPr>
        <w:t xml:space="preserve">are </w:t>
      </w:r>
      <w:r w:rsidR="008317DC" w:rsidRPr="00327B3A">
        <w:rPr>
          <w:rFonts w:asciiTheme="majorHAnsi" w:hAnsiTheme="majorHAnsi" w:cstheme="majorHAnsi"/>
          <w:sz w:val="28"/>
          <w:szCs w:val="28"/>
        </w:rPr>
        <w:t>over-staffed</w:t>
      </w:r>
      <w:r w:rsidR="002618E1" w:rsidRPr="00327B3A">
        <w:rPr>
          <w:rFonts w:asciiTheme="majorHAnsi" w:hAnsiTheme="majorHAnsi" w:cstheme="majorHAnsi"/>
          <w:sz w:val="28"/>
          <w:szCs w:val="28"/>
        </w:rPr>
        <w:t xml:space="preserve"> and endowed with the best qualified and most experienced teachers</w:t>
      </w:r>
      <w:r w:rsidR="008317DC" w:rsidRPr="00327B3A">
        <w:rPr>
          <w:rFonts w:asciiTheme="majorHAnsi" w:hAnsiTheme="majorHAnsi" w:cstheme="majorHAnsi"/>
          <w:sz w:val="28"/>
          <w:szCs w:val="28"/>
        </w:rPr>
        <w:t xml:space="preserve">. </w:t>
      </w:r>
      <w:r w:rsidR="00743FD5" w:rsidRPr="00327B3A">
        <w:rPr>
          <w:rFonts w:asciiTheme="majorHAnsi" w:hAnsiTheme="majorHAnsi" w:cstheme="majorHAnsi"/>
          <w:sz w:val="28"/>
          <w:szCs w:val="28"/>
        </w:rPr>
        <w:t xml:space="preserve">These challenges coupled with usually poor learning outcomes among rural students tend to </w:t>
      </w:r>
      <w:r w:rsidR="00EB0514">
        <w:rPr>
          <w:rFonts w:asciiTheme="majorHAnsi" w:hAnsiTheme="majorHAnsi" w:cstheme="majorHAnsi"/>
          <w:sz w:val="28"/>
          <w:szCs w:val="28"/>
        </w:rPr>
        <w:t xml:space="preserve">dampen </w:t>
      </w:r>
      <w:r w:rsidR="00743FD5" w:rsidRPr="00327B3A">
        <w:rPr>
          <w:rFonts w:asciiTheme="majorHAnsi" w:hAnsiTheme="majorHAnsi" w:cstheme="majorHAnsi"/>
          <w:sz w:val="28"/>
          <w:szCs w:val="28"/>
        </w:rPr>
        <w:t xml:space="preserve">the overall commitment of urban elites and politicians to expanding secondary schooling in rural areas. </w:t>
      </w:r>
    </w:p>
    <w:p w:rsidR="008317DC" w:rsidRPr="00327B3A" w:rsidRDefault="00E635EC" w:rsidP="008317DC">
      <w:pPr>
        <w:jc w:val="both"/>
        <w:rPr>
          <w:rFonts w:asciiTheme="majorHAnsi" w:hAnsiTheme="majorHAnsi" w:cstheme="majorHAnsi"/>
          <w:sz w:val="28"/>
          <w:szCs w:val="28"/>
        </w:rPr>
      </w:pPr>
      <w:r w:rsidRPr="00327B3A">
        <w:rPr>
          <w:rFonts w:asciiTheme="majorHAnsi" w:hAnsiTheme="majorHAnsi" w:cstheme="majorHAnsi"/>
          <w:sz w:val="28"/>
          <w:szCs w:val="28"/>
        </w:rPr>
        <w:t xml:space="preserve">By increasing the complexity and resource-intensity of learning in secondary schools, some of </w:t>
      </w:r>
      <w:r w:rsidR="00C77308" w:rsidRPr="00327B3A">
        <w:rPr>
          <w:rFonts w:asciiTheme="majorHAnsi" w:hAnsiTheme="majorHAnsi" w:cstheme="majorHAnsi"/>
          <w:sz w:val="28"/>
          <w:szCs w:val="28"/>
        </w:rPr>
        <w:t xml:space="preserve">the </w:t>
      </w:r>
      <w:r w:rsidRPr="00327B3A">
        <w:rPr>
          <w:rFonts w:asciiTheme="majorHAnsi" w:hAnsiTheme="majorHAnsi" w:cstheme="majorHAnsi"/>
          <w:sz w:val="28"/>
          <w:szCs w:val="28"/>
        </w:rPr>
        <w:t xml:space="preserve">key </w:t>
      </w:r>
      <w:r w:rsidR="002618E1" w:rsidRPr="00327B3A">
        <w:rPr>
          <w:rFonts w:asciiTheme="majorHAnsi" w:hAnsiTheme="majorHAnsi" w:cstheme="majorHAnsi"/>
          <w:sz w:val="28"/>
          <w:szCs w:val="28"/>
        </w:rPr>
        <w:t>‘</w:t>
      </w:r>
      <w:r w:rsidR="008317DC" w:rsidRPr="00327B3A">
        <w:rPr>
          <w:rFonts w:asciiTheme="majorHAnsi" w:hAnsiTheme="majorHAnsi" w:cstheme="majorHAnsi"/>
          <w:sz w:val="28"/>
          <w:szCs w:val="28"/>
        </w:rPr>
        <w:t>re</w:t>
      </w:r>
      <w:r w:rsidR="002618E1" w:rsidRPr="00327B3A">
        <w:rPr>
          <w:rFonts w:asciiTheme="majorHAnsi" w:hAnsiTheme="majorHAnsi" w:cstheme="majorHAnsi"/>
          <w:sz w:val="28"/>
          <w:szCs w:val="28"/>
        </w:rPr>
        <w:t>commended actions’</w:t>
      </w:r>
      <w:r w:rsidR="008317DC" w:rsidRPr="00327B3A">
        <w:rPr>
          <w:rFonts w:asciiTheme="majorHAnsi" w:hAnsiTheme="majorHAnsi" w:cstheme="majorHAnsi"/>
          <w:sz w:val="28"/>
          <w:szCs w:val="28"/>
        </w:rPr>
        <w:t xml:space="preserve"> proposed </w:t>
      </w:r>
      <w:r w:rsidR="00C77308" w:rsidRPr="00327B3A">
        <w:rPr>
          <w:rFonts w:asciiTheme="majorHAnsi" w:hAnsiTheme="majorHAnsi" w:cstheme="majorHAnsi"/>
          <w:sz w:val="28"/>
          <w:szCs w:val="28"/>
        </w:rPr>
        <w:t>by</w:t>
      </w:r>
      <w:r w:rsidR="008317DC" w:rsidRPr="00327B3A">
        <w:rPr>
          <w:rFonts w:asciiTheme="majorHAnsi" w:hAnsiTheme="majorHAnsi" w:cstheme="majorHAnsi"/>
          <w:sz w:val="28"/>
          <w:szCs w:val="28"/>
        </w:rPr>
        <w:t xml:space="preserve"> the Report </w:t>
      </w:r>
      <w:r w:rsidR="00C77308" w:rsidRPr="00327B3A">
        <w:rPr>
          <w:rFonts w:asciiTheme="majorHAnsi" w:hAnsiTheme="majorHAnsi" w:cstheme="majorHAnsi"/>
          <w:sz w:val="28"/>
          <w:szCs w:val="28"/>
        </w:rPr>
        <w:t>could</w:t>
      </w:r>
      <w:r w:rsidR="008317DC"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further </w:t>
      </w:r>
      <w:r w:rsidR="008317DC" w:rsidRPr="00327B3A">
        <w:rPr>
          <w:rFonts w:asciiTheme="majorHAnsi" w:hAnsiTheme="majorHAnsi" w:cstheme="majorHAnsi"/>
          <w:sz w:val="28"/>
          <w:szCs w:val="28"/>
        </w:rPr>
        <w:t xml:space="preserve">exacerbate rural-urban schooling input and outcome inequalities. </w:t>
      </w:r>
      <w:r w:rsidRPr="00327B3A">
        <w:rPr>
          <w:rFonts w:asciiTheme="majorHAnsi" w:hAnsiTheme="majorHAnsi" w:cstheme="majorHAnsi"/>
          <w:sz w:val="28"/>
          <w:szCs w:val="28"/>
        </w:rPr>
        <w:t xml:space="preserve">What is </w:t>
      </w:r>
      <w:r w:rsidR="00743FD5" w:rsidRPr="00327B3A">
        <w:rPr>
          <w:rFonts w:asciiTheme="majorHAnsi" w:hAnsiTheme="majorHAnsi" w:cstheme="majorHAnsi"/>
          <w:sz w:val="28"/>
          <w:szCs w:val="28"/>
        </w:rPr>
        <w:t xml:space="preserve">most urgently needed </w:t>
      </w:r>
      <w:r w:rsidR="00EB0514">
        <w:rPr>
          <w:rFonts w:asciiTheme="majorHAnsi" w:hAnsiTheme="majorHAnsi" w:cstheme="majorHAnsi"/>
          <w:sz w:val="28"/>
          <w:szCs w:val="28"/>
        </w:rPr>
        <w:t xml:space="preserve">is </w:t>
      </w:r>
      <w:r w:rsidRPr="00327B3A">
        <w:rPr>
          <w:rFonts w:asciiTheme="majorHAnsi" w:hAnsiTheme="majorHAnsi" w:cstheme="majorHAnsi"/>
          <w:sz w:val="28"/>
          <w:szCs w:val="28"/>
        </w:rPr>
        <w:t xml:space="preserve">the development of </w:t>
      </w:r>
      <w:r w:rsidR="002618E1" w:rsidRPr="00327B3A">
        <w:rPr>
          <w:rFonts w:asciiTheme="majorHAnsi" w:hAnsiTheme="majorHAnsi" w:cstheme="majorHAnsi"/>
          <w:sz w:val="28"/>
          <w:szCs w:val="28"/>
        </w:rPr>
        <w:t>innovative, well-</w:t>
      </w:r>
      <w:r w:rsidRPr="00327B3A">
        <w:rPr>
          <w:rFonts w:asciiTheme="majorHAnsi" w:hAnsiTheme="majorHAnsi" w:cstheme="majorHAnsi"/>
          <w:sz w:val="28"/>
          <w:szCs w:val="28"/>
        </w:rPr>
        <w:t xml:space="preserve">researched </w:t>
      </w:r>
      <w:r w:rsidR="002618E1" w:rsidRPr="00327B3A">
        <w:rPr>
          <w:rFonts w:asciiTheme="majorHAnsi" w:hAnsiTheme="majorHAnsi" w:cstheme="majorHAnsi"/>
          <w:sz w:val="28"/>
          <w:szCs w:val="28"/>
        </w:rPr>
        <w:t xml:space="preserve">national </w:t>
      </w:r>
      <w:r w:rsidRPr="00327B3A">
        <w:rPr>
          <w:rFonts w:asciiTheme="majorHAnsi" w:hAnsiTheme="majorHAnsi" w:cstheme="majorHAnsi"/>
          <w:sz w:val="28"/>
          <w:szCs w:val="28"/>
        </w:rPr>
        <w:t>strateg</w:t>
      </w:r>
      <w:r w:rsidR="002618E1" w:rsidRPr="00327B3A">
        <w:rPr>
          <w:rFonts w:asciiTheme="majorHAnsi" w:hAnsiTheme="majorHAnsi" w:cstheme="majorHAnsi"/>
          <w:sz w:val="28"/>
          <w:szCs w:val="28"/>
        </w:rPr>
        <w:t>ies</w:t>
      </w:r>
      <w:r w:rsidRPr="00327B3A">
        <w:rPr>
          <w:rFonts w:asciiTheme="majorHAnsi" w:hAnsiTheme="majorHAnsi" w:cstheme="majorHAnsi"/>
          <w:sz w:val="28"/>
          <w:szCs w:val="28"/>
        </w:rPr>
        <w:t xml:space="preserve"> which focus on expanding secondary education provision </w:t>
      </w:r>
      <w:r w:rsidR="00743FD5" w:rsidRPr="00327B3A">
        <w:rPr>
          <w:rFonts w:asciiTheme="majorHAnsi" w:hAnsiTheme="majorHAnsi" w:cstheme="majorHAnsi"/>
          <w:sz w:val="28"/>
          <w:szCs w:val="28"/>
        </w:rPr>
        <w:t xml:space="preserve">for </w:t>
      </w:r>
      <w:r w:rsidR="008317DC" w:rsidRPr="00327B3A">
        <w:rPr>
          <w:rFonts w:asciiTheme="majorHAnsi" w:hAnsiTheme="majorHAnsi" w:cstheme="majorHAnsi"/>
          <w:sz w:val="28"/>
          <w:szCs w:val="28"/>
        </w:rPr>
        <w:t>rural</w:t>
      </w:r>
      <w:r w:rsidR="002618E1" w:rsidRPr="00327B3A">
        <w:rPr>
          <w:rFonts w:asciiTheme="majorHAnsi" w:hAnsiTheme="majorHAnsi" w:cstheme="majorHAnsi"/>
          <w:sz w:val="28"/>
          <w:szCs w:val="28"/>
        </w:rPr>
        <w:t xml:space="preserve"> children</w:t>
      </w:r>
      <w:r w:rsidRPr="00327B3A">
        <w:rPr>
          <w:rFonts w:asciiTheme="majorHAnsi" w:hAnsiTheme="majorHAnsi" w:cstheme="majorHAnsi"/>
          <w:sz w:val="28"/>
          <w:szCs w:val="28"/>
        </w:rPr>
        <w:t xml:space="preserve"> i</w:t>
      </w:r>
      <w:r w:rsidR="00743FD5" w:rsidRPr="00327B3A">
        <w:rPr>
          <w:rFonts w:asciiTheme="majorHAnsi" w:hAnsiTheme="majorHAnsi" w:cstheme="majorHAnsi"/>
          <w:sz w:val="28"/>
          <w:szCs w:val="28"/>
        </w:rPr>
        <w:t>n SSA.</w:t>
      </w:r>
      <w:r w:rsidR="008317DC" w:rsidRPr="00327B3A">
        <w:rPr>
          <w:rFonts w:asciiTheme="majorHAnsi" w:hAnsiTheme="majorHAnsi" w:cstheme="majorHAnsi"/>
          <w:sz w:val="28"/>
          <w:szCs w:val="28"/>
        </w:rPr>
        <w:t xml:space="preserve"> </w:t>
      </w:r>
      <w:r w:rsidR="00743FD5" w:rsidRPr="00327B3A">
        <w:rPr>
          <w:rFonts w:asciiTheme="majorHAnsi" w:hAnsiTheme="majorHAnsi" w:cstheme="majorHAnsi"/>
          <w:sz w:val="28"/>
          <w:szCs w:val="28"/>
        </w:rPr>
        <w:t xml:space="preserve">Without this, </w:t>
      </w:r>
      <w:r w:rsidR="008317DC" w:rsidRPr="00327B3A">
        <w:rPr>
          <w:rFonts w:asciiTheme="majorHAnsi" w:hAnsiTheme="majorHAnsi" w:cstheme="majorHAnsi"/>
          <w:sz w:val="28"/>
          <w:szCs w:val="28"/>
        </w:rPr>
        <w:t>there is no</w:t>
      </w:r>
      <w:r w:rsidR="00743FD5" w:rsidRPr="00327B3A">
        <w:rPr>
          <w:rFonts w:asciiTheme="majorHAnsi" w:hAnsiTheme="majorHAnsi" w:cstheme="majorHAnsi"/>
          <w:sz w:val="28"/>
          <w:szCs w:val="28"/>
        </w:rPr>
        <w:t xml:space="preserve"> prospect of being able </w:t>
      </w:r>
      <w:r w:rsidR="00C77308" w:rsidRPr="00327B3A">
        <w:rPr>
          <w:rFonts w:asciiTheme="majorHAnsi" w:hAnsiTheme="majorHAnsi" w:cstheme="majorHAnsi"/>
          <w:sz w:val="28"/>
          <w:szCs w:val="28"/>
        </w:rPr>
        <w:t xml:space="preserve">to </w:t>
      </w:r>
      <w:r w:rsidR="008317DC" w:rsidRPr="00327B3A">
        <w:rPr>
          <w:rFonts w:asciiTheme="majorHAnsi" w:hAnsiTheme="majorHAnsi" w:cstheme="majorHAnsi"/>
          <w:sz w:val="28"/>
          <w:szCs w:val="28"/>
        </w:rPr>
        <w:t>attain USE</w:t>
      </w:r>
      <w:r w:rsidR="00743FD5" w:rsidRPr="00327B3A">
        <w:rPr>
          <w:rFonts w:asciiTheme="majorHAnsi" w:hAnsiTheme="majorHAnsi" w:cstheme="majorHAnsi"/>
          <w:sz w:val="28"/>
          <w:szCs w:val="28"/>
        </w:rPr>
        <w:t xml:space="preserve"> in the foreseeable future</w:t>
      </w:r>
      <w:r w:rsidR="008317DC" w:rsidRPr="00327B3A">
        <w:rPr>
          <w:rFonts w:asciiTheme="majorHAnsi" w:hAnsiTheme="majorHAnsi" w:cstheme="majorHAnsi"/>
          <w:sz w:val="28"/>
          <w:szCs w:val="28"/>
        </w:rPr>
        <w:t>.</w:t>
      </w:r>
    </w:p>
    <w:p w:rsidR="00290C62" w:rsidRPr="00327B3A" w:rsidRDefault="00290C62" w:rsidP="00DA7028">
      <w:pPr>
        <w:pStyle w:val="ListParagraph"/>
        <w:numPr>
          <w:ilvl w:val="0"/>
          <w:numId w:val="2"/>
        </w:numPr>
        <w:jc w:val="both"/>
        <w:rPr>
          <w:rFonts w:asciiTheme="majorHAnsi" w:hAnsiTheme="majorHAnsi" w:cstheme="majorHAnsi"/>
          <w:b/>
          <w:sz w:val="28"/>
          <w:szCs w:val="28"/>
        </w:rPr>
      </w:pPr>
      <w:r w:rsidRPr="00327B3A">
        <w:rPr>
          <w:rFonts w:asciiTheme="majorHAnsi" w:hAnsiTheme="majorHAnsi" w:cstheme="majorHAnsi"/>
          <w:b/>
          <w:sz w:val="28"/>
          <w:szCs w:val="28"/>
        </w:rPr>
        <w:t>P</w:t>
      </w:r>
      <w:r w:rsidR="002E0AE4" w:rsidRPr="00327B3A">
        <w:rPr>
          <w:rFonts w:asciiTheme="majorHAnsi" w:hAnsiTheme="majorHAnsi" w:cstheme="majorHAnsi"/>
          <w:b/>
          <w:sz w:val="28"/>
          <w:szCs w:val="28"/>
        </w:rPr>
        <w:t>romising practices</w:t>
      </w:r>
      <w:r w:rsidRPr="00327B3A">
        <w:rPr>
          <w:rFonts w:asciiTheme="majorHAnsi" w:hAnsiTheme="majorHAnsi" w:cstheme="majorHAnsi"/>
          <w:b/>
          <w:sz w:val="28"/>
          <w:szCs w:val="28"/>
        </w:rPr>
        <w:t>?</w:t>
      </w:r>
    </w:p>
    <w:p w:rsidR="00290C62" w:rsidRPr="00327B3A" w:rsidRDefault="002052D2" w:rsidP="00290C62">
      <w:pPr>
        <w:jc w:val="both"/>
        <w:rPr>
          <w:rFonts w:asciiTheme="majorHAnsi" w:hAnsiTheme="majorHAnsi" w:cstheme="majorHAnsi"/>
          <w:sz w:val="28"/>
          <w:szCs w:val="28"/>
        </w:rPr>
      </w:pPr>
      <w:r w:rsidRPr="00327B3A">
        <w:rPr>
          <w:rFonts w:asciiTheme="majorHAnsi" w:hAnsiTheme="majorHAnsi" w:cstheme="majorHAnsi"/>
          <w:sz w:val="28"/>
          <w:szCs w:val="28"/>
        </w:rPr>
        <w:t xml:space="preserve">The report </w:t>
      </w:r>
      <w:r w:rsidR="00B945C5" w:rsidRPr="00327B3A">
        <w:rPr>
          <w:rFonts w:asciiTheme="majorHAnsi" w:hAnsiTheme="majorHAnsi" w:cstheme="majorHAnsi"/>
          <w:sz w:val="28"/>
          <w:szCs w:val="28"/>
        </w:rPr>
        <w:t>proposes ten sets of ‘recommended actions’ which</w:t>
      </w:r>
      <w:r w:rsidR="00C77308" w:rsidRPr="00327B3A">
        <w:rPr>
          <w:rFonts w:asciiTheme="majorHAnsi" w:hAnsiTheme="majorHAnsi" w:cstheme="majorHAnsi"/>
          <w:sz w:val="28"/>
          <w:szCs w:val="28"/>
        </w:rPr>
        <w:t>,</w:t>
      </w:r>
      <w:r w:rsidR="00B945C5" w:rsidRPr="00327B3A">
        <w:rPr>
          <w:rFonts w:asciiTheme="majorHAnsi" w:hAnsiTheme="majorHAnsi" w:cstheme="majorHAnsi"/>
          <w:sz w:val="28"/>
          <w:szCs w:val="28"/>
        </w:rPr>
        <w:t xml:space="preserve"> between them</w:t>
      </w:r>
      <w:r w:rsidR="00C77308" w:rsidRPr="00327B3A">
        <w:rPr>
          <w:rFonts w:asciiTheme="majorHAnsi" w:hAnsiTheme="majorHAnsi" w:cstheme="majorHAnsi"/>
          <w:sz w:val="28"/>
          <w:szCs w:val="28"/>
        </w:rPr>
        <w:t>,</w:t>
      </w:r>
      <w:r w:rsidR="00B945C5" w:rsidRPr="00327B3A">
        <w:rPr>
          <w:rFonts w:asciiTheme="majorHAnsi" w:hAnsiTheme="majorHAnsi" w:cstheme="majorHAnsi"/>
          <w:sz w:val="28"/>
          <w:szCs w:val="28"/>
        </w:rPr>
        <w:t xml:space="preserve"> cover most of what </w:t>
      </w:r>
      <w:r w:rsidR="00EB0514">
        <w:rPr>
          <w:rFonts w:asciiTheme="majorHAnsi" w:hAnsiTheme="majorHAnsi" w:cstheme="majorHAnsi"/>
          <w:sz w:val="28"/>
          <w:szCs w:val="28"/>
        </w:rPr>
        <w:t xml:space="preserve">is </w:t>
      </w:r>
      <w:r w:rsidR="002618E1" w:rsidRPr="00327B3A">
        <w:rPr>
          <w:rFonts w:asciiTheme="majorHAnsi" w:hAnsiTheme="majorHAnsi" w:cstheme="majorHAnsi"/>
          <w:sz w:val="28"/>
          <w:szCs w:val="28"/>
        </w:rPr>
        <w:t xml:space="preserve">a </w:t>
      </w:r>
      <w:r w:rsidR="00B945C5" w:rsidRPr="00327B3A">
        <w:rPr>
          <w:rFonts w:asciiTheme="majorHAnsi" w:hAnsiTheme="majorHAnsi" w:cstheme="majorHAnsi"/>
          <w:sz w:val="28"/>
          <w:szCs w:val="28"/>
        </w:rPr>
        <w:t>f</w:t>
      </w:r>
      <w:r w:rsidR="00C77308" w:rsidRPr="00327B3A">
        <w:rPr>
          <w:rFonts w:asciiTheme="majorHAnsi" w:hAnsiTheme="majorHAnsi" w:cstheme="majorHAnsi"/>
          <w:sz w:val="28"/>
          <w:szCs w:val="28"/>
        </w:rPr>
        <w:t xml:space="preserve">airly standard list of </w:t>
      </w:r>
      <w:r w:rsidR="00B945C5" w:rsidRPr="00327B3A">
        <w:rPr>
          <w:rFonts w:asciiTheme="majorHAnsi" w:hAnsiTheme="majorHAnsi" w:cstheme="majorHAnsi"/>
          <w:sz w:val="28"/>
          <w:szCs w:val="28"/>
        </w:rPr>
        <w:t xml:space="preserve">interventions </w:t>
      </w:r>
      <w:r w:rsidR="00EB0514">
        <w:rPr>
          <w:rFonts w:asciiTheme="majorHAnsi" w:hAnsiTheme="majorHAnsi" w:cstheme="majorHAnsi"/>
          <w:sz w:val="28"/>
          <w:szCs w:val="28"/>
        </w:rPr>
        <w:t xml:space="preserve">needed </w:t>
      </w:r>
      <w:r w:rsidR="00B945C5" w:rsidRPr="00327B3A">
        <w:rPr>
          <w:rFonts w:asciiTheme="majorHAnsi" w:hAnsiTheme="majorHAnsi" w:cstheme="majorHAnsi"/>
          <w:sz w:val="28"/>
          <w:szCs w:val="28"/>
        </w:rPr>
        <w:t xml:space="preserve">to </w:t>
      </w:r>
      <w:r w:rsidR="00EB0514">
        <w:rPr>
          <w:rFonts w:asciiTheme="majorHAnsi" w:hAnsiTheme="majorHAnsi" w:cstheme="majorHAnsi"/>
          <w:sz w:val="28"/>
          <w:szCs w:val="28"/>
        </w:rPr>
        <w:t xml:space="preserve">attain </w:t>
      </w:r>
      <w:r w:rsidR="00B945C5" w:rsidRPr="00327B3A">
        <w:rPr>
          <w:rFonts w:asciiTheme="majorHAnsi" w:hAnsiTheme="majorHAnsi" w:cstheme="majorHAnsi"/>
          <w:sz w:val="28"/>
          <w:szCs w:val="28"/>
        </w:rPr>
        <w:t xml:space="preserve">USE. What is particularly </w:t>
      </w:r>
      <w:r w:rsidR="00C77308" w:rsidRPr="00327B3A">
        <w:rPr>
          <w:rFonts w:asciiTheme="majorHAnsi" w:hAnsiTheme="majorHAnsi" w:cstheme="majorHAnsi"/>
          <w:sz w:val="28"/>
          <w:szCs w:val="28"/>
        </w:rPr>
        <w:t>striking</w:t>
      </w:r>
      <w:r w:rsidR="002618E1" w:rsidRPr="00327B3A">
        <w:rPr>
          <w:rFonts w:asciiTheme="majorHAnsi" w:hAnsiTheme="majorHAnsi" w:cstheme="majorHAnsi"/>
          <w:sz w:val="28"/>
          <w:szCs w:val="28"/>
        </w:rPr>
        <w:t>,</w:t>
      </w:r>
      <w:r w:rsidR="00B945C5" w:rsidRPr="00327B3A">
        <w:rPr>
          <w:rFonts w:asciiTheme="majorHAnsi" w:hAnsiTheme="majorHAnsi" w:cstheme="majorHAnsi"/>
          <w:sz w:val="28"/>
          <w:szCs w:val="28"/>
        </w:rPr>
        <w:t xml:space="preserve"> however</w:t>
      </w:r>
      <w:r w:rsidR="002618E1" w:rsidRPr="00327B3A">
        <w:rPr>
          <w:rFonts w:asciiTheme="majorHAnsi" w:hAnsiTheme="majorHAnsi" w:cstheme="majorHAnsi"/>
          <w:sz w:val="28"/>
          <w:szCs w:val="28"/>
        </w:rPr>
        <w:t>,</w:t>
      </w:r>
      <w:r w:rsidR="00B945C5" w:rsidRPr="00327B3A">
        <w:rPr>
          <w:rFonts w:asciiTheme="majorHAnsi" w:hAnsiTheme="majorHAnsi" w:cstheme="majorHAnsi"/>
          <w:sz w:val="28"/>
          <w:szCs w:val="28"/>
        </w:rPr>
        <w:t xml:space="preserve"> is the extent to which the Report focuses on ‘improving the relevance of the curricula to build knowledge and skills’ and the related reforms </w:t>
      </w:r>
      <w:r w:rsidR="002618E1" w:rsidRPr="00327B3A">
        <w:rPr>
          <w:rFonts w:asciiTheme="majorHAnsi" w:hAnsiTheme="majorHAnsi" w:cstheme="majorHAnsi"/>
          <w:sz w:val="28"/>
          <w:szCs w:val="28"/>
        </w:rPr>
        <w:t>(in particular improving teacher skills),</w:t>
      </w:r>
      <w:r w:rsidR="008E633E" w:rsidRPr="00327B3A">
        <w:rPr>
          <w:rFonts w:asciiTheme="majorHAnsi" w:hAnsiTheme="majorHAnsi" w:cstheme="majorHAnsi"/>
          <w:sz w:val="28"/>
          <w:szCs w:val="28"/>
        </w:rPr>
        <w:t xml:space="preserve"> which </w:t>
      </w:r>
      <w:r w:rsidR="00C77308" w:rsidRPr="00327B3A">
        <w:rPr>
          <w:rFonts w:asciiTheme="majorHAnsi" w:hAnsiTheme="majorHAnsi" w:cstheme="majorHAnsi"/>
          <w:sz w:val="28"/>
          <w:szCs w:val="28"/>
        </w:rPr>
        <w:t xml:space="preserve">also </w:t>
      </w:r>
      <w:r w:rsidR="00B945C5" w:rsidRPr="00327B3A">
        <w:rPr>
          <w:rFonts w:asciiTheme="majorHAnsi" w:hAnsiTheme="majorHAnsi" w:cstheme="majorHAnsi"/>
          <w:sz w:val="28"/>
          <w:szCs w:val="28"/>
        </w:rPr>
        <w:t xml:space="preserve">need to </w:t>
      </w:r>
      <w:r w:rsidR="002618E1" w:rsidRPr="00327B3A">
        <w:rPr>
          <w:rFonts w:asciiTheme="majorHAnsi" w:hAnsiTheme="majorHAnsi" w:cstheme="majorHAnsi"/>
          <w:sz w:val="28"/>
          <w:szCs w:val="28"/>
        </w:rPr>
        <w:t xml:space="preserve">be </w:t>
      </w:r>
      <w:r w:rsidR="008E633E" w:rsidRPr="00327B3A">
        <w:rPr>
          <w:rFonts w:asciiTheme="majorHAnsi" w:hAnsiTheme="majorHAnsi" w:cstheme="majorHAnsi"/>
          <w:sz w:val="28"/>
          <w:szCs w:val="28"/>
        </w:rPr>
        <w:t>implemented</w:t>
      </w:r>
      <w:r w:rsidR="00B945C5" w:rsidRPr="00327B3A">
        <w:rPr>
          <w:rFonts w:asciiTheme="majorHAnsi" w:hAnsiTheme="majorHAnsi" w:cstheme="majorHAnsi"/>
          <w:sz w:val="28"/>
          <w:szCs w:val="28"/>
        </w:rPr>
        <w:t>. By contrast, the World Bank</w:t>
      </w:r>
      <w:r w:rsidR="008E633E" w:rsidRPr="00327B3A">
        <w:rPr>
          <w:rFonts w:asciiTheme="majorHAnsi" w:hAnsiTheme="majorHAnsi" w:cstheme="majorHAnsi"/>
          <w:sz w:val="28"/>
          <w:szCs w:val="28"/>
        </w:rPr>
        <w:t>’</w:t>
      </w:r>
      <w:r w:rsidR="00B945C5" w:rsidRPr="00327B3A">
        <w:rPr>
          <w:rFonts w:asciiTheme="majorHAnsi" w:hAnsiTheme="majorHAnsi" w:cstheme="majorHAnsi"/>
          <w:sz w:val="28"/>
          <w:szCs w:val="28"/>
        </w:rPr>
        <w:t xml:space="preserve">s most </w:t>
      </w:r>
      <w:r w:rsidR="008E633E" w:rsidRPr="00327B3A">
        <w:rPr>
          <w:rFonts w:asciiTheme="majorHAnsi" w:hAnsiTheme="majorHAnsi" w:cstheme="majorHAnsi"/>
          <w:sz w:val="28"/>
          <w:szCs w:val="28"/>
        </w:rPr>
        <w:t xml:space="preserve">recent </w:t>
      </w:r>
      <w:r w:rsidR="00B945C5" w:rsidRPr="00327B3A">
        <w:rPr>
          <w:rFonts w:asciiTheme="majorHAnsi" w:hAnsiTheme="majorHAnsi" w:cstheme="majorHAnsi"/>
          <w:sz w:val="28"/>
          <w:szCs w:val="28"/>
        </w:rPr>
        <w:t>review of schooling in SSA</w:t>
      </w:r>
      <w:r w:rsidR="006824FF" w:rsidRPr="00327B3A">
        <w:rPr>
          <w:rFonts w:asciiTheme="majorHAnsi" w:hAnsiTheme="majorHAnsi" w:cstheme="majorHAnsi"/>
          <w:sz w:val="28"/>
          <w:szCs w:val="28"/>
        </w:rPr>
        <w:t xml:space="preserve"> </w:t>
      </w:r>
      <w:r w:rsidR="008E633E" w:rsidRPr="00327B3A">
        <w:rPr>
          <w:rFonts w:asciiTheme="majorHAnsi" w:hAnsiTheme="majorHAnsi" w:cstheme="majorHAnsi"/>
          <w:sz w:val="28"/>
          <w:szCs w:val="28"/>
        </w:rPr>
        <w:t xml:space="preserve">has a much stronger emphasis on </w:t>
      </w:r>
      <w:r w:rsidR="00B945C5" w:rsidRPr="00327B3A">
        <w:rPr>
          <w:rFonts w:asciiTheme="majorHAnsi" w:hAnsiTheme="majorHAnsi" w:cstheme="majorHAnsi"/>
          <w:sz w:val="28"/>
          <w:szCs w:val="28"/>
        </w:rPr>
        <w:t>improving access.</w:t>
      </w:r>
      <w:r w:rsidR="00B945C5" w:rsidRPr="00327B3A">
        <w:rPr>
          <w:rStyle w:val="FootnoteReference"/>
          <w:rFonts w:asciiTheme="majorHAnsi" w:hAnsiTheme="majorHAnsi" w:cstheme="majorHAnsi"/>
          <w:sz w:val="28"/>
          <w:szCs w:val="28"/>
        </w:rPr>
        <w:footnoteReference w:id="11"/>
      </w:r>
    </w:p>
    <w:p w:rsidR="00DA7028" w:rsidRPr="00327B3A" w:rsidRDefault="00DA7028" w:rsidP="00290C62">
      <w:pPr>
        <w:jc w:val="both"/>
        <w:rPr>
          <w:rFonts w:asciiTheme="majorHAnsi" w:hAnsiTheme="majorHAnsi" w:cstheme="majorHAnsi"/>
          <w:sz w:val="28"/>
          <w:szCs w:val="28"/>
        </w:rPr>
      </w:pPr>
      <w:r w:rsidRPr="00327B3A">
        <w:rPr>
          <w:rFonts w:asciiTheme="majorHAnsi" w:hAnsiTheme="majorHAnsi" w:cstheme="majorHAnsi"/>
          <w:sz w:val="28"/>
          <w:szCs w:val="28"/>
        </w:rPr>
        <w:t xml:space="preserve">The following discussion first reviews the Report’s analysis and recommendations </w:t>
      </w:r>
      <w:r w:rsidR="008E633E" w:rsidRPr="00327B3A">
        <w:rPr>
          <w:rFonts w:asciiTheme="majorHAnsi" w:hAnsiTheme="majorHAnsi" w:cstheme="majorHAnsi"/>
          <w:sz w:val="28"/>
          <w:szCs w:val="28"/>
        </w:rPr>
        <w:t xml:space="preserve">about how to </w:t>
      </w:r>
      <w:r w:rsidRPr="00327B3A">
        <w:rPr>
          <w:rFonts w:asciiTheme="majorHAnsi" w:hAnsiTheme="majorHAnsi" w:cstheme="majorHAnsi"/>
          <w:sz w:val="28"/>
          <w:szCs w:val="28"/>
        </w:rPr>
        <w:t>improv</w:t>
      </w:r>
      <w:r w:rsidR="008E633E" w:rsidRPr="00327B3A">
        <w:rPr>
          <w:rFonts w:asciiTheme="majorHAnsi" w:hAnsiTheme="majorHAnsi" w:cstheme="majorHAnsi"/>
          <w:sz w:val="28"/>
          <w:szCs w:val="28"/>
        </w:rPr>
        <w:t>e</w:t>
      </w:r>
      <w:r w:rsidRPr="00327B3A">
        <w:rPr>
          <w:rFonts w:asciiTheme="majorHAnsi" w:hAnsiTheme="majorHAnsi" w:cstheme="majorHAnsi"/>
          <w:sz w:val="28"/>
          <w:szCs w:val="28"/>
        </w:rPr>
        <w:t xml:space="preserve"> the quality and relevance of secondary education in SSA </w:t>
      </w:r>
      <w:r w:rsidRPr="00327B3A">
        <w:rPr>
          <w:rFonts w:asciiTheme="majorHAnsi" w:hAnsiTheme="majorHAnsi" w:cstheme="majorHAnsi"/>
          <w:sz w:val="28"/>
          <w:szCs w:val="28"/>
        </w:rPr>
        <w:lastRenderedPageBreak/>
        <w:t xml:space="preserve">and then goes </w:t>
      </w:r>
      <w:r w:rsidR="008E633E" w:rsidRPr="00327B3A">
        <w:rPr>
          <w:rFonts w:asciiTheme="majorHAnsi" w:hAnsiTheme="majorHAnsi" w:cstheme="majorHAnsi"/>
          <w:sz w:val="28"/>
          <w:szCs w:val="28"/>
        </w:rPr>
        <w:t xml:space="preserve">on </w:t>
      </w:r>
      <w:r w:rsidRPr="00327B3A">
        <w:rPr>
          <w:rFonts w:asciiTheme="majorHAnsi" w:hAnsiTheme="majorHAnsi" w:cstheme="majorHAnsi"/>
          <w:sz w:val="28"/>
          <w:szCs w:val="28"/>
        </w:rPr>
        <w:t xml:space="preserve">to consider its proposals for the rapid expansion of secondary </w:t>
      </w:r>
      <w:r w:rsidR="00C77308" w:rsidRPr="00327B3A">
        <w:rPr>
          <w:rFonts w:asciiTheme="majorHAnsi" w:hAnsiTheme="majorHAnsi" w:cstheme="majorHAnsi"/>
          <w:sz w:val="28"/>
          <w:szCs w:val="28"/>
        </w:rPr>
        <w:t>school enrolments</w:t>
      </w:r>
      <w:r w:rsidRPr="00327B3A">
        <w:rPr>
          <w:rFonts w:asciiTheme="majorHAnsi" w:hAnsiTheme="majorHAnsi" w:cstheme="majorHAnsi"/>
          <w:sz w:val="28"/>
          <w:szCs w:val="28"/>
        </w:rPr>
        <w:t xml:space="preserve">. </w:t>
      </w:r>
    </w:p>
    <w:p w:rsidR="002B6335" w:rsidRPr="00327B3A" w:rsidRDefault="00DA7028" w:rsidP="00251E9B">
      <w:pPr>
        <w:jc w:val="both"/>
        <w:rPr>
          <w:rFonts w:asciiTheme="majorHAnsi" w:hAnsiTheme="majorHAnsi" w:cstheme="majorHAnsi"/>
          <w:i/>
          <w:sz w:val="28"/>
          <w:szCs w:val="28"/>
        </w:rPr>
      </w:pPr>
      <w:r w:rsidRPr="00327B3A">
        <w:rPr>
          <w:rFonts w:asciiTheme="majorHAnsi" w:hAnsiTheme="majorHAnsi" w:cstheme="majorHAnsi"/>
          <w:i/>
          <w:sz w:val="28"/>
          <w:szCs w:val="28"/>
        </w:rPr>
        <w:t xml:space="preserve">4.1 </w:t>
      </w:r>
      <w:r w:rsidR="002B6335" w:rsidRPr="00327B3A">
        <w:rPr>
          <w:rFonts w:asciiTheme="majorHAnsi" w:hAnsiTheme="majorHAnsi" w:cstheme="majorHAnsi"/>
          <w:i/>
          <w:sz w:val="28"/>
          <w:szCs w:val="28"/>
        </w:rPr>
        <w:t>Curriculum</w:t>
      </w:r>
      <w:r w:rsidRPr="00327B3A">
        <w:rPr>
          <w:rFonts w:asciiTheme="majorHAnsi" w:hAnsiTheme="majorHAnsi" w:cstheme="majorHAnsi"/>
          <w:i/>
          <w:sz w:val="28"/>
          <w:szCs w:val="28"/>
        </w:rPr>
        <w:t xml:space="preserve"> reform</w:t>
      </w:r>
    </w:p>
    <w:p w:rsidR="00251E9B" w:rsidRPr="00327B3A" w:rsidRDefault="00976830" w:rsidP="00251E9B">
      <w:pPr>
        <w:jc w:val="both"/>
        <w:rPr>
          <w:rFonts w:asciiTheme="majorHAnsi" w:hAnsiTheme="majorHAnsi" w:cstheme="majorHAnsi"/>
          <w:sz w:val="28"/>
          <w:szCs w:val="28"/>
        </w:rPr>
      </w:pPr>
      <w:r w:rsidRPr="00327B3A">
        <w:rPr>
          <w:rFonts w:asciiTheme="majorHAnsi" w:hAnsiTheme="majorHAnsi" w:cstheme="majorHAnsi"/>
          <w:sz w:val="28"/>
          <w:szCs w:val="28"/>
        </w:rPr>
        <w:t>Cur</w:t>
      </w:r>
      <w:r w:rsidR="00C77308" w:rsidRPr="00327B3A">
        <w:rPr>
          <w:rFonts w:asciiTheme="majorHAnsi" w:hAnsiTheme="majorHAnsi" w:cstheme="majorHAnsi"/>
          <w:sz w:val="28"/>
          <w:szCs w:val="28"/>
        </w:rPr>
        <w:t xml:space="preserve">riculum reform has </w:t>
      </w:r>
      <w:r w:rsidR="008E633E" w:rsidRPr="00327B3A">
        <w:rPr>
          <w:rFonts w:asciiTheme="majorHAnsi" w:hAnsiTheme="majorHAnsi" w:cstheme="majorHAnsi"/>
          <w:sz w:val="28"/>
          <w:szCs w:val="28"/>
        </w:rPr>
        <w:t xml:space="preserve">two, </w:t>
      </w:r>
      <w:r w:rsidRPr="00327B3A">
        <w:rPr>
          <w:rFonts w:asciiTheme="majorHAnsi" w:hAnsiTheme="majorHAnsi" w:cstheme="majorHAnsi"/>
          <w:sz w:val="28"/>
          <w:szCs w:val="28"/>
        </w:rPr>
        <w:t xml:space="preserve">closely related dimensions, namely </w:t>
      </w:r>
      <w:r w:rsidR="008E633E" w:rsidRPr="00327B3A">
        <w:rPr>
          <w:rFonts w:asciiTheme="majorHAnsi" w:hAnsiTheme="majorHAnsi" w:cstheme="majorHAnsi"/>
          <w:sz w:val="28"/>
          <w:szCs w:val="28"/>
        </w:rPr>
        <w:t xml:space="preserve">changing </w:t>
      </w:r>
      <w:r w:rsidRPr="00327B3A">
        <w:rPr>
          <w:rFonts w:asciiTheme="majorHAnsi" w:hAnsiTheme="majorHAnsi" w:cstheme="majorHAnsi"/>
          <w:sz w:val="28"/>
          <w:szCs w:val="28"/>
        </w:rPr>
        <w:t>what is taught (curriculum content) and how it is taught (learning strategies and pedagogy)</w:t>
      </w:r>
      <w:r w:rsidR="008E633E" w:rsidRPr="00327B3A">
        <w:rPr>
          <w:rFonts w:asciiTheme="majorHAnsi" w:hAnsiTheme="majorHAnsi" w:cstheme="majorHAnsi"/>
          <w:sz w:val="28"/>
          <w:szCs w:val="28"/>
        </w:rPr>
        <w:t>.</w:t>
      </w:r>
      <w:r w:rsidR="00916021">
        <w:rPr>
          <w:rFonts w:asciiTheme="majorHAnsi" w:hAnsiTheme="majorHAnsi" w:cstheme="majorHAnsi"/>
          <w:sz w:val="28"/>
          <w:szCs w:val="28"/>
        </w:rPr>
        <w:t xml:space="preserve"> T</w:t>
      </w:r>
      <w:r w:rsidR="00251E9B" w:rsidRPr="00327B3A">
        <w:rPr>
          <w:rFonts w:asciiTheme="majorHAnsi" w:hAnsiTheme="majorHAnsi" w:cstheme="majorHAnsi"/>
          <w:sz w:val="28"/>
          <w:szCs w:val="28"/>
        </w:rPr>
        <w:t xml:space="preserve">he rapid universalisation of </w:t>
      </w:r>
      <w:r w:rsidR="00DA7028" w:rsidRPr="00327B3A">
        <w:rPr>
          <w:rFonts w:asciiTheme="majorHAnsi" w:hAnsiTheme="majorHAnsi" w:cstheme="majorHAnsi"/>
          <w:sz w:val="28"/>
          <w:szCs w:val="28"/>
        </w:rPr>
        <w:t xml:space="preserve">a reoriented </w:t>
      </w:r>
      <w:r w:rsidR="00251E9B" w:rsidRPr="00327B3A">
        <w:rPr>
          <w:rFonts w:asciiTheme="majorHAnsi" w:hAnsiTheme="majorHAnsi" w:cstheme="majorHAnsi"/>
          <w:sz w:val="28"/>
          <w:szCs w:val="28"/>
        </w:rPr>
        <w:t xml:space="preserve">secondary education </w:t>
      </w:r>
      <w:r w:rsidR="00DA7028" w:rsidRPr="00327B3A">
        <w:rPr>
          <w:rFonts w:asciiTheme="majorHAnsi" w:hAnsiTheme="majorHAnsi" w:cstheme="majorHAnsi"/>
          <w:sz w:val="28"/>
          <w:szCs w:val="28"/>
        </w:rPr>
        <w:t>system</w:t>
      </w:r>
      <w:r w:rsidR="00E220CF">
        <w:rPr>
          <w:rFonts w:asciiTheme="majorHAnsi" w:hAnsiTheme="majorHAnsi" w:cstheme="majorHAnsi"/>
          <w:sz w:val="28"/>
          <w:szCs w:val="28"/>
        </w:rPr>
        <w:t xml:space="preserve"> </w:t>
      </w:r>
      <w:r w:rsidRPr="00327B3A">
        <w:rPr>
          <w:rFonts w:asciiTheme="majorHAnsi" w:hAnsiTheme="majorHAnsi" w:cstheme="majorHAnsi"/>
          <w:sz w:val="28"/>
          <w:szCs w:val="28"/>
        </w:rPr>
        <w:t xml:space="preserve">is </w:t>
      </w:r>
      <w:r w:rsidR="00916021">
        <w:rPr>
          <w:rFonts w:asciiTheme="majorHAnsi" w:hAnsiTheme="majorHAnsi" w:cstheme="majorHAnsi"/>
          <w:sz w:val="28"/>
          <w:szCs w:val="28"/>
        </w:rPr>
        <w:t xml:space="preserve">justified by the </w:t>
      </w:r>
      <w:r w:rsidR="00251E9B" w:rsidRPr="00327B3A">
        <w:rPr>
          <w:rFonts w:asciiTheme="majorHAnsi" w:hAnsiTheme="majorHAnsi" w:cstheme="majorHAnsi"/>
          <w:sz w:val="28"/>
          <w:szCs w:val="28"/>
        </w:rPr>
        <w:t>chan</w:t>
      </w:r>
      <w:r w:rsidR="00D729CD" w:rsidRPr="00327B3A">
        <w:rPr>
          <w:rFonts w:asciiTheme="majorHAnsi" w:hAnsiTheme="majorHAnsi" w:cstheme="majorHAnsi"/>
          <w:sz w:val="28"/>
          <w:szCs w:val="28"/>
        </w:rPr>
        <w:t xml:space="preserve">ging nature of work </w:t>
      </w:r>
      <w:r w:rsidR="008E633E" w:rsidRPr="00327B3A">
        <w:rPr>
          <w:rFonts w:asciiTheme="majorHAnsi" w:hAnsiTheme="majorHAnsi" w:cstheme="majorHAnsi"/>
          <w:sz w:val="28"/>
          <w:szCs w:val="28"/>
        </w:rPr>
        <w:t xml:space="preserve">across the world. </w:t>
      </w:r>
      <w:r w:rsidR="00251E9B" w:rsidRPr="00327B3A">
        <w:rPr>
          <w:rFonts w:asciiTheme="majorHAnsi" w:hAnsiTheme="majorHAnsi" w:cstheme="majorHAnsi"/>
          <w:sz w:val="28"/>
          <w:szCs w:val="28"/>
        </w:rPr>
        <w:t xml:space="preserve"> </w:t>
      </w:r>
      <w:r w:rsidR="00E220CF">
        <w:rPr>
          <w:rFonts w:asciiTheme="majorHAnsi" w:hAnsiTheme="majorHAnsi" w:cstheme="majorHAnsi"/>
          <w:sz w:val="28"/>
          <w:szCs w:val="28"/>
        </w:rPr>
        <w:t xml:space="preserve">As a result, the Report contends that </w:t>
      </w:r>
      <w:r w:rsidR="00DA7028" w:rsidRPr="00327B3A">
        <w:rPr>
          <w:rFonts w:asciiTheme="majorHAnsi" w:hAnsiTheme="majorHAnsi" w:cstheme="majorHAnsi"/>
          <w:sz w:val="28"/>
          <w:szCs w:val="28"/>
        </w:rPr>
        <w:t>e</w:t>
      </w:r>
      <w:r w:rsidR="00023A73" w:rsidRPr="00327B3A">
        <w:rPr>
          <w:rFonts w:asciiTheme="majorHAnsi" w:hAnsiTheme="majorHAnsi" w:cstheme="majorHAnsi"/>
          <w:sz w:val="28"/>
          <w:szCs w:val="28"/>
        </w:rPr>
        <w:t xml:space="preserve">mployers in both the formal and </w:t>
      </w:r>
      <w:r w:rsidR="00DA7028" w:rsidRPr="00327B3A">
        <w:rPr>
          <w:rFonts w:asciiTheme="majorHAnsi" w:hAnsiTheme="majorHAnsi" w:cstheme="majorHAnsi"/>
          <w:sz w:val="28"/>
          <w:szCs w:val="28"/>
        </w:rPr>
        <w:t>in</w:t>
      </w:r>
      <w:r w:rsidR="00023A73" w:rsidRPr="00327B3A">
        <w:rPr>
          <w:rFonts w:asciiTheme="majorHAnsi" w:hAnsiTheme="majorHAnsi" w:cstheme="majorHAnsi"/>
          <w:sz w:val="28"/>
          <w:szCs w:val="28"/>
        </w:rPr>
        <w:t xml:space="preserve">formal sectors </w:t>
      </w:r>
      <w:r w:rsidR="00E220CF">
        <w:rPr>
          <w:rFonts w:asciiTheme="majorHAnsi" w:hAnsiTheme="majorHAnsi" w:cstheme="majorHAnsi"/>
          <w:sz w:val="28"/>
          <w:szCs w:val="28"/>
        </w:rPr>
        <w:t xml:space="preserve">in SSA </w:t>
      </w:r>
      <w:r w:rsidR="00023A73" w:rsidRPr="00327B3A">
        <w:rPr>
          <w:rFonts w:asciiTheme="majorHAnsi" w:hAnsiTheme="majorHAnsi" w:cstheme="majorHAnsi"/>
          <w:sz w:val="28"/>
          <w:szCs w:val="28"/>
        </w:rPr>
        <w:t xml:space="preserve">increasingly </w:t>
      </w:r>
      <w:r w:rsidR="00E220CF">
        <w:rPr>
          <w:rFonts w:asciiTheme="majorHAnsi" w:hAnsiTheme="majorHAnsi" w:cstheme="majorHAnsi"/>
          <w:sz w:val="28"/>
          <w:szCs w:val="28"/>
        </w:rPr>
        <w:t xml:space="preserve">need </w:t>
      </w:r>
      <w:r w:rsidR="00023A73" w:rsidRPr="00327B3A">
        <w:rPr>
          <w:rFonts w:asciiTheme="majorHAnsi" w:hAnsiTheme="majorHAnsi" w:cstheme="majorHAnsi"/>
          <w:sz w:val="28"/>
          <w:szCs w:val="28"/>
        </w:rPr>
        <w:t>workers with digital literacy and 21</w:t>
      </w:r>
      <w:r w:rsidR="00023A73" w:rsidRPr="00327B3A">
        <w:rPr>
          <w:rFonts w:asciiTheme="majorHAnsi" w:hAnsiTheme="majorHAnsi" w:cstheme="majorHAnsi"/>
          <w:sz w:val="28"/>
          <w:szCs w:val="28"/>
          <w:vertAlign w:val="superscript"/>
        </w:rPr>
        <w:t>st</w:t>
      </w:r>
      <w:r w:rsidR="00023A73" w:rsidRPr="00327B3A">
        <w:rPr>
          <w:rFonts w:asciiTheme="majorHAnsi" w:hAnsiTheme="majorHAnsi" w:cstheme="majorHAnsi"/>
          <w:sz w:val="28"/>
          <w:szCs w:val="28"/>
        </w:rPr>
        <w:t xml:space="preserve"> century skills’. More generally, </w:t>
      </w:r>
      <w:r w:rsidR="00BA7CB0">
        <w:rPr>
          <w:rFonts w:asciiTheme="majorHAnsi" w:hAnsiTheme="majorHAnsi" w:cstheme="majorHAnsi"/>
          <w:sz w:val="28"/>
          <w:szCs w:val="28"/>
        </w:rPr>
        <w:t>‘</w:t>
      </w:r>
      <w:r w:rsidR="00023A73" w:rsidRPr="00327B3A">
        <w:rPr>
          <w:rFonts w:asciiTheme="majorHAnsi" w:hAnsiTheme="majorHAnsi" w:cstheme="majorHAnsi"/>
          <w:sz w:val="28"/>
          <w:szCs w:val="28"/>
        </w:rPr>
        <w:t>secondary education can contribute to broad-based economic growth through improved labour productivity</w:t>
      </w:r>
      <w:r w:rsidR="00BA7CB0">
        <w:rPr>
          <w:rFonts w:asciiTheme="majorHAnsi" w:hAnsiTheme="majorHAnsi" w:cstheme="majorHAnsi"/>
          <w:sz w:val="28"/>
          <w:szCs w:val="28"/>
        </w:rPr>
        <w:t>’</w:t>
      </w:r>
      <w:r w:rsidR="00023A73" w:rsidRPr="00327B3A">
        <w:rPr>
          <w:rFonts w:asciiTheme="majorHAnsi" w:hAnsiTheme="majorHAnsi" w:cstheme="majorHAnsi"/>
          <w:sz w:val="28"/>
          <w:szCs w:val="28"/>
        </w:rPr>
        <w:t xml:space="preserve"> (p.16). The </w:t>
      </w:r>
      <w:r w:rsidR="008E633E" w:rsidRPr="00327B3A">
        <w:rPr>
          <w:rFonts w:asciiTheme="majorHAnsi" w:hAnsiTheme="majorHAnsi" w:cstheme="majorHAnsi"/>
          <w:sz w:val="28"/>
          <w:szCs w:val="28"/>
        </w:rPr>
        <w:t xml:space="preserve">Report identifies </w:t>
      </w:r>
      <w:r w:rsidR="00DA7028" w:rsidRPr="00327B3A">
        <w:rPr>
          <w:rFonts w:asciiTheme="majorHAnsi" w:hAnsiTheme="majorHAnsi" w:cstheme="majorHAnsi"/>
          <w:sz w:val="28"/>
          <w:szCs w:val="28"/>
        </w:rPr>
        <w:t>s</w:t>
      </w:r>
      <w:r w:rsidR="0072591E" w:rsidRPr="00327B3A">
        <w:rPr>
          <w:rFonts w:asciiTheme="majorHAnsi" w:hAnsiTheme="majorHAnsi" w:cstheme="majorHAnsi"/>
          <w:sz w:val="28"/>
          <w:szCs w:val="28"/>
        </w:rPr>
        <w:t xml:space="preserve">ix </w:t>
      </w:r>
      <w:r w:rsidR="00DA7028" w:rsidRPr="00327B3A">
        <w:rPr>
          <w:rFonts w:asciiTheme="majorHAnsi" w:hAnsiTheme="majorHAnsi" w:cstheme="majorHAnsi"/>
          <w:sz w:val="28"/>
          <w:szCs w:val="28"/>
        </w:rPr>
        <w:t xml:space="preserve">types of skills </w:t>
      </w:r>
      <w:r w:rsidR="008E633E" w:rsidRPr="00327B3A">
        <w:rPr>
          <w:rFonts w:asciiTheme="majorHAnsi" w:hAnsiTheme="majorHAnsi" w:cstheme="majorHAnsi"/>
          <w:sz w:val="28"/>
          <w:szCs w:val="28"/>
        </w:rPr>
        <w:t xml:space="preserve">which </w:t>
      </w:r>
      <w:r w:rsidR="00C77308" w:rsidRPr="00327B3A">
        <w:rPr>
          <w:rFonts w:asciiTheme="majorHAnsi" w:hAnsiTheme="majorHAnsi" w:cstheme="majorHAnsi"/>
          <w:sz w:val="28"/>
          <w:szCs w:val="28"/>
        </w:rPr>
        <w:t>should b</w:t>
      </w:r>
      <w:r w:rsidR="00DA7028" w:rsidRPr="00327B3A">
        <w:rPr>
          <w:rFonts w:asciiTheme="majorHAnsi" w:hAnsiTheme="majorHAnsi" w:cstheme="majorHAnsi"/>
          <w:sz w:val="28"/>
          <w:szCs w:val="28"/>
        </w:rPr>
        <w:t xml:space="preserve">e integrated into </w:t>
      </w:r>
      <w:r w:rsidR="0072591E" w:rsidRPr="00327B3A">
        <w:rPr>
          <w:rFonts w:asciiTheme="majorHAnsi" w:hAnsiTheme="majorHAnsi" w:cstheme="majorHAnsi"/>
          <w:sz w:val="28"/>
          <w:szCs w:val="28"/>
        </w:rPr>
        <w:t>the secondary school curriculum; foundational, 21</w:t>
      </w:r>
      <w:r w:rsidR="0072591E" w:rsidRPr="00327B3A">
        <w:rPr>
          <w:rFonts w:asciiTheme="majorHAnsi" w:hAnsiTheme="majorHAnsi" w:cstheme="majorHAnsi"/>
          <w:sz w:val="28"/>
          <w:szCs w:val="28"/>
          <w:vertAlign w:val="superscript"/>
        </w:rPr>
        <w:t>st</w:t>
      </w:r>
      <w:r w:rsidR="0072591E" w:rsidRPr="00327B3A">
        <w:rPr>
          <w:rFonts w:asciiTheme="majorHAnsi" w:hAnsiTheme="majorHAnsi" w:cstheme="majorHAnsi"/>
          <w:sz w:val="28"/>
          <w:szCs w:val="28"/>
        </w:rPr>
        <w:t xml:space="preserve"> century (interactive and group-based learning, experiential learning, and leadership development), digital, </w:t>
      </w:r>
      <w:r w:rsidR="0015463A" w:rsidRPr="00327B3A">
        <w:rPr>
          <w:rFonts w:asciiTheme="majorHAnsi" w:hAnsiTheme="majorHAnsi" w:cstheme="majorHAnsi"/>
          <w:sz w:val="28"/>
          <w:szCs w:val="28"/>
        </w:rPr>
        <w:t>science, technology, engineering and mathematics (</w:t>
      </w:r>
      <w:r w:rsidR="0072591E" w:rsidRPr="00327B3A">
        <w:rPr>
          <w:rFonts w:asciiTheme="majorHAnsi" w:hAnsiTheme="majorHAnsi" w:cstheme="majorHAnsi"/>
          <w:sz w:val="28"/>
          <w:szCs w:val="28"/>
        </w:rPr>
        <w:t>STEM</w:t>
      </w:r>
      <w:r w:rsidR="0015463A" w:rsidRPr="00327B3A">
        <w:rPr>
          <w:rFonts w:asciiTheme="majorHAnsi" w:hAnsiTheme="majorHAnsi" w:cstheme="majorHAnsi"/>
          <w:sz w:val="28"/>
          <w:szCs w:val="28"/>
        </w:rPr>
        <w:t>)</w:t>
      </w:r>
      <w:r w:rsidR="0072591E" w:rsidRPr="00327B3A">
        <w:rPr>
          <w:rFonts w:asciiTheme="majorHAnsi" w:hAnsiTheme="majorHAnsi" w:cstheme="majorHAnsi"/>
          <w:sz w:val="28"/>
          <w:szCs w:val="28"/>
        </w:rPr>
        <w:t>, technical and vocational, entreprene</w:t>
      </w:r>
      <w:r w:rsidR="00C77308" w:rsidRPr="00327B3A">
        <w:rPr>
          <w:rFonts w:asciiTheme="majorHAnsi" w:hAnsiTheme="majorHAnsi" w:cstheme="majorHAnsi"/>
          <w:sz w:val="28"/>
          <w:szCs w:val="28"/>
        </w:rPr>
        <w:t>urship and work-readiness</w:t>
      </w:r>
      <w:r w:rsidR="00116F14" w:rsidRPr="00327B3A">
        <w:rPr>
          <w:rFonts w:asciiTheme="majorHAnsi" w:hAnsiTheme="majorHAnsi" w:cstheme="majorHAnsi"/>
          <w:sz w:val="28"/>
          <w:szCs w:val="28"/>
        </w:rPr>
        <w:t>.</w:t>
      </w:r>
    </w:p>
    <w:p w:rsidR="00116F14" w:rsidRPr="00327B3A" w:rsidRDefault="00116F14" w:rsidP="00DF0CFD">
      <w:pPr>
        <w:rPr>
          <w:rFonts w:asciiTheme="majorHAnsi" w:hAnsiTheme="majorHAnsi" w:cstheme="majorHAnsi"/>
          <w:i/>
          <w:sz w:val="28"/>
          <w:szCs w:val="28"/>
        </w:rPr>
      </w:pPr>
      <w:r w:rsidRPr="00327B3A">
        <w:rPr>
          <w:rFonts w:asciiTheme="majorHAnsi" w:hAnsiTheme="majorHAnsi" w:cstheme="majorHAnsi"/>
          <w:i/>
          <w:sz w:val="28"/>
          <w:szCs w:val="28"/>
        </w:rPr>
        <w:t>The need for reform</w:t>
      </w:r>
    </w:p>
    <w:p w:rsidR="00D729CD" w:rsidRPr="00327B3A" w:rsidRDefault="00DB0F7A" w:rsidP="00251E9B">
      <w:pPr>
        <w:jc w:val="both"/>
        <w:rPr>
          <w:rFonts w:asciiTheme="majorHAnsi" w:hAnsiTheme="majorHAnsi" w:cstheme="majorHAnsi"/>
          <w:sz w:val="28"/>
          <w:szCs w:val="28"/>
        </w:rPr>
      </w:pPr>
      <w:r w:rsidRPr="00327B3A">
        <w:rPr>
          <w:rFonts w:asciiTheme="majorHAnsi" w:hAnsiTheme="majorHAnsi" w:cstheme="majorHAnsi"/>
          <w:sz w:val="28"/>
          <w:szCs w:val="28"/>
        </w:rPr>
        <w:t xml:space="preserve">This focus on </w:t>
      </w:r>
      <w:r w:rsidR="003608B2" w:rsidRPr="00327B3A">
        <w:rPr>
          <w:rFonts w:asciiTheme="majorHAnsi" w:hAnsiTheme="majorHAnsi" w:cstheme="majorHAnsi"/>
          <w:sz w:val="28"/>
          <w:szCs w:val="28"/>
        </w:rPr>
        <w:t xml:space="preserve">the primary importance of </w:t>
      </w:r>
      <w:r w:rsidR="00116F14" w:rsidRPr="00327B3A">
        <w:rPr>
          <w:rFonts w:asciiTheme="majorHAnsi" w:hAnsiTheme="majorHAnsi" w:cstheme="majorHAnsi"/>
          <w:sz w:val="28"/>
          <w:szCs w:val="28"/>
        </w:rPr>
        <w:t xml:space="preserve">curriculum </w:t>
      </w:r>
      <w:r w:rsidR="00976830" w:rsidRPr="00327B3A">
        <w:rPr>
          <w:rFonts w:asciiTheme="majorHAnsi" w:hAnsiTheme="majorHAnsi" w:cstheme="majorHAnsi"/>
          <w:sz w:val="28"/>
          <w:szCs w:val="28"/>
        </w:rPr>
        <w:t xml:space="preserve">content </w:t>
      </w:r>
      <w:r w:rsidR="00116F14" w:rsidRPr="00327B3A">
        <w:rPr>
          <w:rFonts w:asciiTheme="majorHAnsi" w:hAnsiTheme="majorHAnsi" w:cstheme="majorHAnsi"/>
          <w:sz w:val="28"/>
          <w:szCs w:val="28"/>
        </w:rPr>
        <w:t xml:space="preserve">reform </w:t>
      </w:r>
      <w:r w:rsidR="003608B2" w:rsidRPr="00327B3A">
        <w:rPr>
          <w:rFonts w:asciiTheme="majorHAnsi" w:hAnsiTheme="majorHAnsi" w:cstheme="majorHAnsi"/>
          <w:sz w:val="28"/>
          <w:szCs w:val="28"/>
        </w:rPr>
        <w:t xml:space="preserve">in </w:t>
      </w:r>
      <w:r w:rsidR="00116F14" w:rsidRPr="00327B3A">
        <w:rPr>
          <w:rFonts w:asciiTheme="majorHAnsi" w:hAnsiTheme="majorHAnsi" w:cstheme="majorHAnsi"/>
          <w:sz w:val="28"/>
          <w:szCs w:val="28"/>
        </w:rPr>
        <w:t>SSA</w:t>
      </w:r>
      <w:r w:rsidR="003608B2" w:rsidRPr="00327B3A">
        <w:rPr>
          <w:rFonts w:asciiTheme="majorHAnsi" w:hAnsiTheme="majorHAnsi" w:cstheme="majorHAnsi"/>
          <w:sz w:val="28"/>
          <w:szCs w:val="28"/>
        </w:rPr>
        <w:t xml:space="preserve"> </w:t>
      </w:r>
      <w:r w:rsidR="0015463A" w:rsidRPr="00327B3A">
        <w:rPr>
          <w:rFonts w:asciiTheme="majorHAnsi" w:hAnsiTheme="majorHAnsi" w:cstheme="majorHAnsi"/>
          <w:sz w:val="28"/>
          <w:szCs w:val="28"/>
        </w:rPr>
        <w:t xml:space="preserve">is the centrepiece of the Report’s USE </w:t>
      </w:r>
      <w:r w:rsidRPr="00327B3A">
        <w:rPr>
          <w:rFonts w:asciiTheme="majorHAnsi" w:hAnsiTheme="majorHAnsi" w:cstheme="majorHAnsi"/>
          <w:sz w:val="28"/>
          <w:szCs w:val="28"/>
        </w:rPr>
        <w:t>strategy. Again, however, little substantive evidence is presented to support this</w:t>
      </w:r>
      <w:r w:rsidR="003608B2" w:rsidRPr="00327B3A">
        <w:rPr>
          <w:rFonts w:asciiTheme="majorHAnsi" w:hAnsiTheme="majorHAnsi" w:cstheme="majorHAnsi"/>
          <w:sz w:val="28"/>
          <w:szCs w:val="28"/>
        </w:rPr>
        <w:t xml:space="preserve"> </w:t>
      </w:r>
      <w:r w:rsidR="00976830" w:rsidRPr="00327B3A">
        <w:rPr>
          <w:rFonts w:asciiTheme="majorHAnsi" w:hAnsiTheme="majorHAnsi" w:cstheme="majorHAnsi"/>
          <w:sz w:val="28"/>
          <w:szCs w:val="28"/>
        </w:rPr>
        <w:t xml:space="preserve">particular </w:t>
      </w:r>
      <w:r w:rsidR="00116F14" w:rsidRPr="00327B3A">
        <w:rPr>
          <w:rFonts w:asciiTheme="majorHAnsi" w:hAnsiTheme="majorHAnsi" w:cstheme="majorHAnsi"/>
          <w:sz w:val="28"/>
          <w:szCs w:val="28"/>
        </w:rPr>
        <w:t xml:space="preserve">reorientation </w:t>
      </w:r>
      <w:r w:rsidR="003608B2" w:rsidRPr="00327B3A">
        <w:rPr>
          <w:rFonts w:asciiTheme="majorHAnsi" w:hAnsiTheme="majorHAnsi" w:cstheme="majorHAnsi"/>
          <w:sz w:val="28"/>
          <w:szCs w:val="28"/>
        </w:rPr>
        <w:t>nor is any attempt made to consider what the counter-arguments might be</w:t>
      </w:r>
      <w:r w:rsidRPr="00327B3A">
        <w:rPr>
          <w:rFonts w:asciiTheme="majorHAnsi" w:hAnsiTheme="majorHAnsi" w:cstheme="majorHAnsi"/>
          <w:sz w:val="28"/>
          <w:szCs w:val="28"/>
        </w:rPr>
        <w:t xml:space="preserve">. </w:t>
      </w:r>
      <w:r w:rsidR="003608B2" w:rsidRPr="00327B3A">
        <w:rPr>
          <w:rFonts w:asciiTheme="majorHAnsi" w:hAnsiTheme="majorHAnsi" w:cstheme="majorHAnsi"/>
          <w:sz w:val="28"/>
          <w:szCs w:val="28"/>
        </w:rPr>
        <w:t>It is noticeable that the Report broadly endorses the analysis and recommendations of the World Bank</w:t>
      </w:r>
      <w:r w:rsidR="00976830" w:rsidRPr="00327B3A">
        <w:rPr>
          <w:rFonts w:asciiTheme="majorHAnsi" w:hAnsiTheme="majorHAnsi" w:cstheme="majorHAnsi"/>
          <w:sz w:val="28"/>
          <w:szCs w:val="28"/>
        </w:rPr>
        <w:t>’</w:t>
      </w:r>
      <w:r w:rsidR="003608B2" w:rsidRPr="00327B3A">
        <w:rPr>
          <w:rFonts w:asciiTheme="majorHAnsi" w:hAnsiTheme="majorHAnsi" w:cstheme="majorHAnsi"/>
          <w:sz w:val="28"/>
          <w:szCs w:val="28"/>
        </w:rPr>
        <w:t xml:space="preserve">s </w:t>
      </w:r>
      <w:r w:rsidR="0015463A" w:rsidRPr="00327B3A">
        <w:rPr>
          <w:rFonts w:asciiTheme="majorHAnsi" w:hAnsiTheme="majorHAnsi" w:cstheme="majorHAnsi"/>
          <w:sz w:val="28"/>
          <w:szCs w:val="28"/>
        </w:rPr>
        <w:t xml:space="preserve">recent </w:t>
      </w:r>
      <w:r w:rsidR="003608B2" w:rsidRPr="00327B3A">
        <w:rPr>
          <w:rFonts w:asciiTheme="majorHAnsi" w:hAnsiTheme="majorHAnsi" w:cstheme="majorHAnsi"/>
          <w:sz w:val="28"/>
          <w:szCs w:val="28"/>
        </w:rPr>
        <w:t xml:space="preserve">flagship report </w:t>
      </w:r>
      <w:r w:rsidR="0015463A" w:rsidRPr="00327B3A">
        <w:rPr>
          <w:rFonts w:asciiTheme="majorHAnsi" w:hAnsiTheme="majorHAnsi" w:cstheme="majorHAnsi"/>
          <w:sz w:val="28"/>
          <w:szCs w:val="28"/>
        </w:rPr>
        <w:t>on skills deve</w:t>
      </w:r>
      <w:r w:rsidR="00BE6C5B" w:rsidRPr="00327B3A">
        <w:rPr>
          <w:rFonts w:asciiTheme="majorHAnsi" w:hAnsiTheme="majorHAnsi" w:cstheme="majorHAnsi"/>
          <w:sz w:val="28"/>
          <w:szCs w:val="28"/>
        </w:rPr>
        <w:t>lopment in SSA (World Bank, 2019</w:t>
      </w:r>
      <w:r w:rsidR="0015463A" w:rsidRPr="00327B3A">
        <w:rPr>
          <w:rFonts w:asciiTheme="majorHAnsi" w:hAnsiTheme="majorHAnsi" w:cstheme="majorHAnsi"/>
          <w:sz w:val="28"/>
          <w:szCs w:val="28"/>
        </w:rPr>
        <w:t xml:space="preserve">) </w:t>
      </w:r>
      <w:r w:rsidR="003608B2" w:rsidRPr="00327B3A">
        <w:rPr>
          <w:rFonts w:asciiTheme="majorHAnsi" w:hAnsiTheme="majorHAnsi" w:cstheme="majorHAnsi"/>
          <w:sz w:val="28"/>
          <w:szCs w:val="28"/>
        </w:rPr>
        <w:t xml:space="preserve">which itself has </w:t>
      </w:r>
      <w:r w:rsidR="00E220CF">
        <w:rPr>
          <w:rFonts w:asciiTheme="majorHAnsi" w:hAnsiTheme="majorHAnsi" w:cstheme="majorHAnsi"/>
          <w:sz w:val="28"/>
          <w:szCs w:val="28"/>
        </w:rPr>
        <w:t xml:space="preserve">a number of </w:t>
      </w:r>
      <w:r w:rsidR="003608B2" w:rsidRPr="00327B3A">
        <w:rPr>
          <w:rFonts w:asciiTheme="majorHAnsi" w:hAnsiTheme="majorHAnsi" w:cstheme="majorHAnsi"/>
          <w:sz w:val="28"/>
          <w:szCs w:val="28"/>
        </w:rPr>
        <w:t>conceptual and empirical shortcomings</w:t>
      </w:r>
      <w:r w:rsidR="00116F14" w:rsidRPr="00327B3A">
        <w:rPr>
          <w:rFonts w:asciiTheme="majorHAnsi" w:hAnsiTheme="majorHAnsi" w:cstheme="majorHAnsi"/>
          <w:sz w:val="28"/>
          <w:szCs w:val="28"/>
        </w:rPr>
        <w:t xml:space="preserve"> (see Bennell, 2021</w:t>
      </w:r>
      <w:r w:rsidR="00C77308" w:rsidRPr="00327B3A">
        <w:rPr>
          <w:rFonts w:asciiTheme="majorHAnsi" w:hAnsiTheme="majorHAnsi" w:cstheme="majorHAnsi"/>
          <w:sz w:val="28"/>
          <w:szCs w:val="28"/>
        </w:rPr>
        <w:t>c</w:t>
      </w:r>
      <w:r w:rsidR="00116F14" w:rsidRPr="00327B3A">
        <w:rPr>
          <w:rFonts w:asciiTheme="majorHAnsi" w:hAnsiTheme="majorHAnsi" w:cstheme="majorHAnsi"/>
          <w:sz w:val="28"/>
          <w:szCs w:val="28"/>
        </w:rPr>
        <w:t>)</w:t>
      </w:r>
      <w:r w:rsidR="003608B2" w:rsidRPr="00327B3A">
        <w:rPr>
          <w:rFonts w:asciiTheme="majorHAnsi" w:hAnsiTheme="majorHAnsi" w:cstheme="majorHAnsi"/>
          <w:sz w:val="28"/>
          <w:szCs w:val="28"/>
        </w:rPr>
        <w:t xml:space="preserve">. </w:t>
      </w:r>
    </w:p>
    <w:p w:rsidR="00D729CD" w:rsidRPr="00327B3A" w:rsidRDefault="00976830" w:rsidP="00D729CD">
      <w:pPr>
        <w:jc w:val="both"/>
        <w:rPr>
          <w:rFonts w:asciiTheme="majorHAnsi" w:hAnsiTheme="majorHAnsi" w:cstheme="majorHAnsi"/>
          <w:sz w:val="28"/>
          <w:szCs w:val="28"/>
        </w:rPr>
      </w:pPr>
      <w:r w:rsidRPr="00327B3A">
        <w:rPr>
          <w:rFonts w:asciiTheme="majorHAnsi" w:hAnsiTheme="majorHAnsi" w:cstheme="majorHAnsi"/>
          <w:sz w:val="28"/>
          <w:szCs w:val="28"/>
        </w:rPr>
        <w:t>The key issue is that ‘t</w:t>
      </w:r>
      <w:r w:rsidR="00D729CD" w:rsidRPr="00327B3A">
        <w:rPr>
          <w:rFonts w:asciiTheme="majorHAnsi" w:hAnsiTheme="majorHAnsi" w:cstheme="majorHAnsi"/>
          <w:sz w:val="28"/>
          <w:szCs w:val="28"/>
        </w:rPr>
        <w:t xml:space="preserve">he future of work’ in </w:t>
      </w:r>
      <w:r w:rsidR="0015463A" w:rsidRPr="00327B3A">
        <w:rPr>
          <w:rFonts w:asciiTheme="majorHAnsi" w:hAnsiTheme="majorHAnsi" w:cstheme="majorHAnsi"/>
          <w:sz w:val="28"/>
          <w:szCs w:val="28"/>
        </w:rPr>
        <w:t>‘</w:t>
      </w:r>
      <w:r w:rsidR="00D729CD" w:rsidRPr="00327B3A">
        <w:rPr>
          <w:rFonts w:asciiTheme="majorHAnsi" w:hAnsiTheme="majorHAnsi" w:cstheme="majorHAnsi"/>
          <w:sz w:val="28"/>
          <w:szCs w:val="28"/>
        </w:rPr>
        <w:t>automated and digitalised enterprises</w:t>
      </w:r>
      <w:r w:rsidR="0015463A" w:rsidRPr="00327B3A">
        <w:rPr>
          <w:rFonts w:asciiTheme="majorHAnsi" w:hAnsiTheme="majorHAnsi" w:cstheme="majorHAnsi"/>
          <w:sz w:val="28"/>
          <w:szCs w:val="28"/>
        </w:rPr>
        <w:t>’</w:t>
      </w:r>
      <w:r w:rsidR="00D729CD" w:rsidRPr="00327B3A">
        <w:rPr>
          <w:rFonts w:asciiTheme="majorHAnsi" w:hAnsiTheme="majorHAnsi" w:cstheme="majorHAnsi"/>
          <w:sz w:val="28"/>
          <w:szCs w:val="28"/>
        </w:rPr>
        <w:t xml:space="preserve"> has little </w:t>
      </w:r>
      <w:r w:rsidR="00E220CF">
        <w:rPr>
          <w:rFonts w:asciiTheme="majorHAnsi" w:hAnsiTheme="majorHAnsi" w:cstheme="majorHAnsi"/>
          <w:sz w:val="28"/>
          <w:szCs w:val="28"/>
        </w:rPr>
        <w:t xml:space="preserve">immediate </w:t>
      </w:r>
      <w:r w:rsidR="00D729CD" w:rsidRPr="00327B3A">
        <w:rPr>
          <w:rFonts w:asciiTheme="majorHAnsi" w:hAnsiTheme="majorHAnsi" w:cstheme="majorHAnsi"/>
          <w:sz w:val="28"/>
          <w:szCs w:val="28"/>
        </w:rPr>
        <w:t xml:space="preserve">relevance </w:t>
      </w:r>
      <w:r w:rsidR="0015463A" w:rsidRPr="00327B3A">
        <w:rPr>
          <w:rFonts w:asciiTheme="majorHAnsi" w:hAnsiTheme="majorHAnsi" w:cstheme="majorHAnsi"/>
          <w:sz w:val="28"/>
          <w:szCs w:val="28"/>
        </w:rPr>
        <w:t xml:space="preserve">for </w:t>
      </w:r>
      <w:r w:rsidR="00D729CD" w:rsidRPr="00327B3A">
        <w:rPr>
          <w:rFonts w:asciiTheme="majorHAnsi" w:hAnsiTheme="majorHAnsi" w:cstheme="majorHAnsi"/>
          <w:sz w:val="28"/>
          <w:szCs w:val="28"/>
        </w:rPr>
        <w:t>most workers in SSA</w:t>
      </w:r>
      <w:r w:rsidRPr="00327B3A">
        <w:rPr>
          <w:rFonts w:asciiTheme="majorHAnsi" w:hAnsiTheme="majorHAnsi" w:cstheme="majorHAnsi"/>
          <w:sz w:val="28"/>
          <w:szCs w:val="28"/>
        </w:rPr>
        <w:t xml:space="preserve"> both now and for the foreseeable future</w:t>
      </w:r>
      <w:r w:rsidR="00D729CD" w:rsidRPr="00327B3A">
        <w:rPr>
          <w:rFonts w:asciiTheme="majorHAnsi" w:hAnsiTheme="majorHAnsi" w:cstheme="majorHAnsi"/>
          <w:sz w:val="28"/>
          <w:szCs w:val="28"/>
        </w:rPr>
        <w:t xml:space="preserve">. Given that most young people will continue to work in predominantly subsistence agriculture and household and other micro enterprises in the informal sector, the </w:t>
      </w:r>
      <w:r w:rsidRPr="00327B3A">
        <w:rPr>
          <w:rFonts w:asciiTheme="majorHAnsi" w:hAnsiTheme="majorHAnsi" w:cstheme="majorHAnsi"/>
          <w:sz w:val="28"/>
          <w:szCs w:val="28"/>
        </w:rPr>
        <w:t xml:space="preserve">(effective) </w:t>
      </w:r>
      <w:r w:rsidR="00D729CD" w:rsidRPr="00327B3A">
        <w:rPr>
          <w:rFonts w:asciiTheme="majorHAnsi" w:hAnsiTheme="majorHAnsi" w:cstheme="majorHAnsi"/>
          <w:sz w:val="28"/>
          <w:szCs w:val="28"/>
        </w:rPr>
        <w:t xml:space="preserve">demand for these type of skills will remain limited as will the overall scope for significant productivity gains.  </w:t>
      </w:r>
      <w:r w:rsidR="00971B10" w:rsidRPr="00327B3A">
        <w:rPr>
          <w:rFonts w:asciiTheme="majorHAnsi" w:hAnsiTheme="majorHAnsi" w:cstheme="majorHAnsi"/>
          <w:sz w:val="28"/>
          <w:szCs w:val="28"/>
        </w:rPr>
        <w:t xml:space="preserve">Even within the formal sector, </w:t>
      </w:r>
      <w:r w:rsidR="00D729CD" w:rsidRPr="00327B3A">
        <w:rPr>
          <w:rFonts w:asciiTheme="majorHAnsi" w:hAnsiTheme="majorHAnsi" w:cstheme="majorHAnsi"/>
          <w:sz w:val="28"/>
          <w:szCs w:val="28"/>
        </w:rPr>
        <w:t xml:space="preserve">there are </w:t>
      </w:r>
      <w:r w:rsidRPr="00327B3A">
        <w:rPr>
          <w:rFonts w:asciiTheme="majorHAnsi" w:hAnsiTheme="majorHAnsi" w:cstheme="majorHAnsi"/>
          <w:sz w:val="28"/>
          <w:szCs w:val="28"/>
        </w:rPr>
        <w:t xml:space="preserve">generally </w:t>
      </w:r>
      <w:r w:rsidR="00D729CD" w:rsidRPr="00327B3A">
        <w:rPr>
          <w:rFonts w:asciiTheme="majorHAnsi" w:hAnsiTheme="majorHAnsi" w:cstheme="majorHAnsi"/>
          <w:sz w:val="28"/>
          <w:szCs w:val="28"/>
        </w:rPr>
        <w:t>no acute economy-wide skills shortages in the key productive sectors in most countries</w:t>
      </w:r>
      <w:r w:rsidR="0015463A" w:rsidRPr="00327B3A">
        <w:rPr>
          <w:rFonts w:asciiTheme="majorHAnsi" w:hAnsiTheme="majorHAnsi" w:cstheme="majorHAnsi"/>
          <w:sz w:val="28"/>
          <w:szCs w:val="28"/>
        </w:rPr>
        <w:t xml:space="preserve">. This is because most </w:t>
      </w:r>
      <w:r w:rsidR="00D729CD" w:rsidRPr="00327B3A">
        <w:rPr>
          <w:rFonts w:asciiTheme="majorHAnsi" w:hAnsiTheme="majorHAnsi" w:cstheme="majorHAnsi"/>
          <w:sz w:val="28"/>
          <w:szCs w:val="28"/>
        </w:rPr>
        <w:t xml:space="preserve">enterprises </w:t>
      </w:r>
      <w:r w:rsidR="0015463A" w:rsidRPr="00327B3A">
        <w:rPr>
          <w:rFonts w:asciiTheme="majorHAnsi" w:hAnsiTheme="majorHAnsi" w:cstheme="majorHAnsi"/>
          <w:sz w:val="28"/>
          <w:szCs w:val="28"/>
        </w:rPr>
        <w:t xml:space="preserve">are small (less than 100 employees) and </w:t>
      </w:r>
      <w:r w:rsidR="00D729CD" w:rsidRPr="00327B3A">
        <w:rPr>
          <w:rFonts w:asciiTheme="majorHAnsi" w:hAnsiTheme="majorHAnsi" w:cstheme="majorHAnsi"/>
          <w:sz w:val="28"/>
          <w:szCs w:val="28"/>
        </w:rPr>
        <w:t>utilis</w:t>
      </w:r>
      <w:r w:rsidR="0015463A" w:rsidRPr="00327B3A">
        <w:rPr>
          <w:rFonts w:asciiTheme="majorHAnsi" w:hAnsiTheme="majorHAnsi" w:cstheme="majorHAnsi"/>
          <w:sz w:val="28"/>
          <w:szCs w:val="28"/>
        </w:rPr>
        <w:t xml:space="preserve">e </w:t>
      </w:r>
      <w:r w:rsidR="00D729CD" w:rsidRPr="00327B3A">
        <w:rPr>
          <w:rFonts w:asciiTheme="majorHAnsi" w:hAnsiTheme="majorHAnsi" w:cstheme="majorHAnsi"/>
          <w:sz w:val="28"/>
          <w:szCs w:val="28"/>
        </w:rPr>
        <w:t xml:space="preserve">relatively simple technologies </w:t>
      </w:r>
      <w:r w:rsidR="0015463A" w:rsidRPr="00327B3A">
        <w:rPr>
          <w:rFonts w:asciiTheme="majorHAnsi" w:hAnsiTheme="majorHAnsi" w:cstheme="majorHAnsi"/>
          <w:sz w:val="28"/>
          <w:szCs w:val="28"/>
        </w:rPr>
        <w:t xml:space="preserve">and can, therefore, </w:t>
      </w:r>
      <w:r w:rsidR="00D729CD" w:rsidRPr="00327B3A">
        <w:rPr>
          <w:rFonts w:asciiTheme="majorHAnsi" w:hAnsiTheme="majorHAnsi" w:cstheme="majorHAnsi"/>
          <w:sz w:val="28"/>
          <w:szCs w:val="28"/>
        </w:rPr>
        <w:t xml:space="preserve">rely primarily on internal training processes (see </w:t>
      </w:r>
      <w:r w:rsidR="00D729CD" w:rsidRPr="00327B3A">
        <w:rPr>
          <w:rFonts w:asciiTheme="majorHAnsi" w:hAnsiTheme="majorHAnsi" w:cstheme="majorHAnsi"/>
          <w:sz w:val="28"/>
          <w:szCs w:val="28"/>
        </w:rPr>
        <w:lastRenderedPageBreak/>
        <w:t>Bennell, 2021</w:t>
      </w:r>
      <w:r w:rsidR="00BE6C5B" w:rsidRPr="00327B3A">
        <w:rPr>
          <w:rFonts w:asciiTheme="majorHAnsi" w:hAnsiTheme="majorHAnsi" w:cstheme="majorHAnsi"/>
          <w:sz w:val="28"/>
          <w:szCs w:val="28"/>
        </w:rPr>
        <w:t>c</w:t>
      </w:r>
      <w:r w:rsidR="005318B9">
        <w:rPr>
          <w:rFonts w:asciiTheme="majorHAnsi" w:hAnsiTheme="majorHAnsi" w:cstheme="majorHAnsi"/>
          <w:sz w:val="28"/>
          <w:szCs w:val="28"/>
        </w:rPr>
        <w:t xml:space="preserve"> and 2021d</w:t>
      </w:r>
      <w:r w:rsidR="00D729CD" w:rsidRPr="00327B3A">
        <w:rPr>
          <w:rFonts w:asciiTheme="majorHAnsi" w:hAnsiTheme="majorHAnsi" w:cstheme="majorHAnsi"/>
          <w:sz w:val="28"/>
          <w:szCs w:val="28"/>
        </w:rPr>
        <w:t>).</w:t>
      </w:r>
      <w:r w:rsidRPr="00327B3A">
        <w:rPr>
          <w:rFonts w:asciiTheme="majorHAnsi" w:hAnsiTheme="majorHAnsi" w:cstheme="majorHAnsi"/>
          <w:sz w:val="28"/>
          <w:szCs w:val="28"/>
        </w:rPr>
        <w:t xml:space="preserve"> </w:t>
      </w:r>
      <w:r w:rsidR="00A06D20" w:rsidRPr="00327B3A">
        <w:rPr>
          <w:rFonts w:asciiTheme="majorHAnsi" w:hAnsiTheme="majorHAnsi" w:cstheme="majorHAnsi"/>
          <w:sz w:val="28"/>
          <w:szCs w:val="28"/>
        </w:rPr>
        <w:t>Where th</w:t>
      </w:r>
      <w:r w:rsidR="0015463A" w:rsidRPr="00327B3A">
        <w:rPr>
          <w:rFonts w:asciiTheme="majorHAnsi" w:hAnsiTheme="majorHAnsi" w:cstheme="majorHAnsi"/>
          <w:sz w:val="28"/>
          <w:szCs w:val="28"/>
        </w:rPr>
        <w:t xml:space="preserve">is modern </w:t>
      </w:r>
      <w:r w:rsidR="00A06D20" w:rsidRPr="00327B3A">
        <w:rPr>
          <w:rFonts w:asciiTheme="majorHAnsi" w:hAnsiTheme="majorHAnsi" w:cstheme="majorHAnsi"/>
          <w:sz w:val="28"/>
          <w:szCs w:val="28"/>
        </w:rPr>
        <w:t>skills</w:t>
      </w:r>
      <w:r w:rsidR="00BE6C5B" w:rsidRPr="00327B3A">
        <w:rPr>
          <w:rFonts w:asciiTheme="majorHAnsi" w:hAnsiTheme="majorHAnsi" w:cstheme="majorHAnsi"/>
          <w:sz w:val="28"/>
          <w:szCs w:val="28"/>
        </w:rPr>
        <w:t xml:space="preserve"> set</w:t>
      </w:r>
      <w:r w:rsidR="00A06D20" w:rsidRPr="00327B3A">
        <w:rPr>
          <w:rFonts w:asciiTheme="majorHAnsi" w:hAnsiTheme="majorHAnsi" w:cstheme="majorHAnsi"/>
          <w:sz w:val="28"/>
          <w:szCs w:val="28"/>
        </w:rPr>
        <w:t xml:space="preserve"> </w:t>
      </w:r>
      <w:r w:rsidR="0015463A" w:rsidRPr="00327B3A">
        <w:rPr>
          <w:rFonts w:asciiTheme="majorHAnsi" w:hAnsiTheme="majorHAnsi" w:cstheme="majorHAnsi"/>
          <w:sz w:val="28"/>
          <w:szCs w:val="28"/>
        </w:rPr>
        <w:t xml:space="preserve">is </w:t>
      </w:r>
      <w:r w:rsidR="00CC2CDA" w:rsidRPr="00327B3A">
        <w:rPr>
          <w:rFonts w:asciiTheme="majorHAnsi" w:hAnsiTheme="majorHAnsi" w:cstheme="majorHAnsi"/>
          <w:sz w:val="28"/>
          <w:szCs w:val="28"/>
        </w:rPr>
        <w:t xml:space="preserve">most </w:t>
      </w:r>
      <w:r w:rsidR="0015463A" w:rsidRPr="00327B3A">
        <w:rPr>
          <w:rFonts w:asciiTheme="majorHAnsi" w:hAnsiTheme="majorHAnsi" w:cstheme="majorHAnsi"/>
          <w:sz w:val="28"/>
          <w:szCs w:val="28"/>
        </w:rPr>
        <w:t>urgently r</w:t>
      </w:r>
      <w:r w:rsidR="00A06D20" w:rsidRPr="00327B3A">
        <w:rPr>
          <w:rFonts w:asciiTheme="majorHAnsi" w:hAnsiTheme="majorHAnsi" w:cstheme="majorHAnsi"/>
          <w:sz w:val="28"/>
          <w:szCs w:val="28"/>
        </w:rPr>
        <w:t>equired are in specific catalytic</w:t>
      </w:r>
      <w:r w:rsidRPr="00327B3A">
        <w:rPr>
          <w:rFonts w:asciiTheme="majorHAnsi" w:hAnsiTheme="majorHAnsi" w:cstheme="majorHAnsi"/>
          <w:sz w:val="28"/>
          <w:szCs w:val="28"/>
        </w:rPr>
        <w:t xml:space="preserve"> growth </w:t>
      </w:r>
      <w:r w:rsidR="00BE6C5B" w:rsidRPr="00327B3A">
        <w:rPr>
          <w:rFonts w:asciiTheme="majorHAnsi" w:hAnsiTheme="majorHAnsi" w:cstheme="majorHAnsi"/>
          <w:sz w:val="28"/>
          <w:szCs w:val="28"/>
        </w:rPr>
        <w:t>industries in the forma</w:t>
      </w:r>
      <w:r w:rsidR="00E220CF">
        <w:rPr>
          <w:rFonts w:asciiTheme="majorHAnsi" w:hAnsiTheme="majorHAnsi" w:cstheme="majorHAnsi"/>
          <w:sz w:val="28"/>
          <w:szCs w:val="28"/>
        </w:rPr>
        <w:t>l</w:t>
      </w:r>
      <w:r w:rsidR="00BE6C5B" w:rsidRPr="00327B3A">
        <w:rPr>
          <w:rFonts w:asciiTheme="majorHAnsi" w:hAnsiTheme="majorHAnsi" w:cstheme="majorHAnsi"/>
          <w:sz w:val="28"/>
          <w:szCs w:val="28"/>
        </w:rPr>
        <w:t xml:space="preserve"> sectors</w:t>
      </w:r>
      <w:r w:rsidR="00A06D20" w:rsidRPr="00327B3A">
        <w:rPr>
          <w:rFonts w:asciiTheme="majorHAnsi" w:hAnsiTheme="majorHAnsi" w:cstheme="majorHAnsi"/>
          <w:sz w:val="28"/>
          <w:szCs w:val="28"/>
        </w:rPr>
        <w:t xml:space="preserve"> (such as mining, oil,</w:t>
      </w:r>
      <w:r w:rsidR="00BE6C5B" w:rsidRPr="00327B3A">
        <w:rPr>
          <w:rFonts w:asciiTheme="majorHAnsi" w:hAnsiTheme="majorHAnsi" w:cstheme="majorHAnsi"/>
          <w:sz w:val="28"/>
          <w:szCs w:val="28"/>
        </w:rPr>
        <w:t xml:space="preserve"> construction,</w:t>
      </w:r>
      <w:r w:rsidR="00A06D20" w:rsidRPr="00327B3A">
        <w:rPr>
          <w:rFonts w:asciiTheme="majorHAnsi" w:hAnsiTheme="majorHAnsi" w:cstheme="majorHAnsi"/>
          <w:sz w:val="28"/>
          <w:szCs w:val="28"/>
        </w:rPr>
        <w:t xml:space="preserve"> tourism</w:t>
      </w:r>
      <w:r w:rsidR="00BE6C5B" w:rsidRPr="00327B3A">
        <w:rPr>
          <w:rFonts w:asciiTheme="majorHAnsi" w:hAnsiTheme="majorHAnsi" w:cstheme="majorHAnsi"/>
          <w:sz w:val="28"/>
          <w:szCs w:val="28"/>
        </w:rPr>
        <w:t xml:space="preserve"> and hospitality</w:t>
      </w:r>
      <w:r w:rsidR="00A06D20" w:rsidRPr="00327B3A">
        <w:rPr>
          <w:rFonts w:asciiTheme="majorHAnsi" w:hAnsiTheme="majorHAnsi" w:cstheme="majorHAnsi"/>
          <w:sz w:val="28"/>
          <w:szCs w:val="28"/>
        </w:rPr>
        <w:t xml:space="preserve">, advanced manufacturing, modern agri-business, telecommunications, finance etc.). However, total employment in these sectors </w:t>
      </w:r>
      <w:r w:rsidR="00BE6C5B" w:rsidRPr="00327B3A">
        <w:rPr>
          <w:rFonts w:asciiTheme="majorHAnsi" w:hAnsiTheme="majorHAnsi" w:cstheme="majorHAnsi"/>
          <w:sz w:val="28"/>
          <w:szCs w:val="28"/>
        </w:rPr>
        <w:t xml:space="preserve">is likely to </w:t>
      </w:r>
      <w:r w:rsidR="00A06D20" w:rsidRPr="00327B3A">
        <w:rPr>
          <w:rFonts w:asciiTheme="majorHAnsi" w:hAnsiTheme="majorHAnsi" w:cstheme="majorHAnsi"/>
          <w:sz w:val="28"/>
          <w:szCs w:val="28"/>
        </w:rPr>
        <w:t>remain limited for the time being</w:t>
      </w:r>
      <w:r w:rsidR="00CC2CDA" w:rsidRPr="00327B3A">
        <w:rPr>
          <w:rFonts w:asciiTheme="majorHAnsi" w:hAnsiTheme="majorHAnsi" w:cstheme="majorHAnsi"/>
          <w:sz w:val="28"/>
          <w:szCs w:val="28"/>
        </w:rPr>
        <w:t xml:space="preserve"> (see </w:t>
      </w:r>
      <w:r w:rsidR="00A06D20" w:rsidRPr="00327B3A">
        <w:rPr>
          <w:rFonts w:asciiTheme="majorHAnsi" w:hAnsiTheme="majorHAnsi" w:cstheme="majorHAnsi"/>
          <w:sz w:val="28"/>
          <w:szCs w:val="28"/>
        </w:rPr>
        <w:t>section 5</w:t>
      </w:r>
      <w:r w:rsidR="00CC2CDA" w:rsidRPr="00327B3A">
        <w:rPr>
          <w:rFonts w:asciiTheme="majorHAnsi" w:hAnsiTheme="majorHAnsi" w:cstheme="majorHAnsi"/>
          <w:sz w:val="28"/>
          <w:szCs w:val="28"/>
        </w:rPr>
        <w:t>).</w:t>
      </w:r>
      <w:r w:rsidR="00A06D20" w:rsidRPr="00327B3A">
        <w:rPr>
          <w:rFonts w:asciiTheme="majorHAnsi" w:hAnsiTheme="majorHAnsi" w:cstheme="majorHAnsi"/>
          <w:sz w:val="28"/>
          <w:szCs w:val="28"/>
        </w:rPr>
        <w:t xml:space="preserve"> </w:t>
      </w:r>
      <w:r w:rsidR="00D729CD" w:rsidRPr="00327B3A">
        <w:rPr>
          <w:rFonts w:asciiTheme="majorHAnsi" w:hAnsiTheme="majorHAnsi" w:cstheme="majorHAnsi"/>
          <w:sz w:val="28"/>
          <w:szCs w:val="28"/>
        </w:rPr>
        <w:t xml:space="preserve">  </w:t>
      </w:r>
    </w:p>
    <w:p w:rsidR="00A06D20" w:rsidRPr="00327B3A" w:rsidRDefault="00A06D20" w:rsidP="00A06D20">
      <w:pPr>
        <w:jc w:val="both"/>
        <w:rPr>
          <w:rFonts w:asciiTheme="majorHAnsi" w:hAnsiTheme="majorHAnsi" w:cstheme="majorHAnsi"/>
          <w:i/>
          <w:sz w:val="28"/>
          <w:szCs w:val="28"/>
        </w:rPr>
      </w:pPr>
      <w:r w:rsidRPr="00327B3A">
        <w:rPr>
          <w:rFonts w:asciiTheme="majorHAnsi" w:hAnsiTheme="majorHAnsi" w:cstheme="majorHAnsi"/>
          <w:i/>
          <w:sz w:val="28"/>
          <w:szCs w:val="28"/>
        </w:rPr>
        <w:t>School-based vocational and technical training</w:t>
      </w:r>
    </w:p>
    <w:p w:rsidR="009D2D9B" w:rsidRPr="00327B3A" w:rsidRDefault="009D2D9B" w:rsidP="009D2D9B">
      <w:pPr>
        <w:jc w:val="both"/>
        <w:rPr>
          <w:rFonts w:asciiTheme="majorHAnsi" w:hAnsiTheme="majorHAnsi" w:cstheme="majorHAnsi"/>
          <w:sz w:val="28"/>
          <w:szCs w:val="28"/>
        </w:rPr>
      </w:pPr>
      <w:r w:rsidRPr="00327B3A">
        <w:rPr>
          <w:rFonts w:asciiTheme="majorHAnsi" w:hAnsiTheme="majorHAnsi" w:cstheme="majorHAnsi"/>
          <w:sz w:val="28"/>
          <w:szCs w:val="28"/>
        </w:rPr>
        <w:t>In line with its overall rationale for curriculum reform, t</w:t>
      </w:r>
      <w:r w:rsidR="00A06D20" w:rsidRPr="00327B3A">
        <w:rPr>
          <w:rFonts w:asciiTheme="majorHAnsi" w:hAnsiTheme="majorHAnsi" w:cstheme="majorHAnsi"/>
          <w:sz w:val="28"/>
          <w:szCs w:val="28"/>
        </w:rPr>
        <w:t>he Report a</w:t>
      </w:r>
      <w:r w:rsidR="00E220CF">
        <w:rPr>
          <w:rFonts w:asciiTheme="majorHAnsi" w:hAnsiTheme="majorHAnsi" w:cstheme="majorHAnsi"/>
          <w:sz w:val="28"/>
          <w:szCs w:val="28"/>
        </w:rPr>
        <w:t xml:space="preserve">sserts </w:t>
      </w:r>
      <w:r w:rsidR="00A06D20" w:rsidRPr="00327B3A">
        <w:rPr>
          <w:rFonts w:asciiTheme="majorHAnsi" w:hAnsiTheme="majorHAnsi" w:cstheme="majorHAnsi"/>
          <w:sz w:val="28"/>
          <w:szCs w:val="28"/>
        </w:rPr>
        <w:t xml:space="preserve">that ‘a more intentional focus on skill development is needed in many countries’ secondary school curricula’ </w:t>
      </w:r>
      <w:r w:rsidRPr="00327B3A">
        <w:rPr>
          <w:rFonts w:asciiTheme="majorHAnsi" w:hAnsiTheme="majorHAnsi" w:cstheme="majorHAnsi"/>
          <w:sz w:val="28"/>
          <w:szCs w:val="28"/>
        </w:rPr>
        <w:t>(</w:t>
      </w:r>
      <w:r w:rsidR="00A06D20" w:rsidRPr="00327B3A">
        <w:rPr>
          <w:rFonts w:asciiTheme="majorHAnsi" w:hAnsiTheme="majorHAnsi" w:cstheme="majorHAnsi"/>
          <w:sz w:val="28"/>
          <w:szCs w:val="28"/>
        </w:rPr>
        <w:t>p.71</w:t>
      </w:r>
      <w:r w:rsidRPr="00327B3A">
        <w:rPr>
          <w:rFonts w:asciiTheme="majorHAnsi" w:hAnsiTheme="majorHAnsi" w:cstheme="majorHAnsi"/>
          <w:sz w:val="28"/>
          <w:szCs w:val="28"/>
        </w:rPr>
        <w:t>)</w:t>
      </w:r>
      <w:r w:rsidR="00A06D20" w:rsidRPr="00327B3A">
        <w:rPr>
          <w:rFonts w:asciiTheme="majorHAnsi" w:hAnsiTheme="majorHAnsi" w:cstheme="majorHAnsi"/>
          <w:sz w:val="28"/>
          <w:szCs w:val="28"/>
        </w:rPr>
        <w:t xml:space="preserve"> </w:t>
      </w:r>
      <w:r w:rsidRPr="00327B3A">
        <w:rPr>
          <w:rFonts w:asciiTheme="majorHAnsi" w:hAnsiTheme="majorHAnsi" w:cstheme="majorHAnsi"/>
          <w:sz w:val="28"/>
          <w:szCs w:val="28"/>
        </w:rPr>
        <w:t>and that, in particular, ‘secondary level TVET has yet to be leveraged to its full potential</w:t>
      </w:r>
      <w:r w:rsidR="00BA7CB0">
        <w:rPr>
          <w:rFonts w:asciiTheme="majorHAnsi" w:hAnsiTheme="majorHAnsi" w:cstheme="majorHAnsi"/>
          <w:sz w:val="28"/>
          <w:szCs w:val="28"/>
        </w:rPr>
        <w:t>’</w:t>
      </w:r>
      <w:r w:rsidRPr="00327B3A">
        <w:rPr>
          <w:rFonts w:asciiTheme="majorHAnsi" w:hAnsiTheme="majorHAnsi" w:cstheme="majorHAnsi"/>
          <w:sz w:val="28"/>
          <w:szCs w:val="28"/>
        </w:rPr>
        <w:t xml:space="preserve">. (p.67). While it is recognised that ‘there is continuing debate about the value and cost-effectiveness of school-based pre-vocational and vocational education’ (p.91), in common with the other recommended actions, the Report </w:t>
      </w:r>
      <w:r w:rsidR="00BE6C5B" w:rsidRPr="00327B3A">
        <w:rPr>
          <w:rFonts w:asciiTheme="majorHAnsi" w:hAnsiTheme="majorHAnsi" w:cstheme="majorHAnsi"/>
          <w:sz w:val="28"/>
          <w:szCs w:val="28"/>
        </w:rPr>
        <w:t xml:space="preserve">only briefly </w:t>
      </w:r>
      <w:r w:rsidR="00CC2CDA" w:rsidRPr="00327B3A">
        <w:rPr>
          <w:rFonts w:asciiTheme="majorHAnsi" w:hAnsiTheme="majorHAnsi" w:cstheme="majorHAnsi"/>
          <w:sz w:val="28"/>
          <w:szCs w:val="28"/>
        </w:rPr>
        <w:t>address</w:t>
      </w:r>
      <w:r w:rsidR="00BE6C5B" w:rsidRPr="00327B3A">
        <w:rPr>
          <w:rFonts w:asciiTheme="majorHAnsi" w:hAnsiTheme="majorHAnsi" w:cstheme="majorHAnsi"/>
          <w:sz w:val="28"/>
          <w:szCs w:val="28"/>
        </w:rPr>
        <w:t xml:space="preserve">es </w:t>
      </w:r>
      <w:r w:rsidRPr="00327B3A">
        <w:rPr>
          <w:rFonts w:asciiTheme="majorHAnsi" w:hAnsiTheme="majorHAnsi" w:cstheme="majorHAnsi"/>
          <w:sz w:val="28"/>
          <w:szCs w:val="28"/>
        </w:rPr>
        <w:t>the key issues and evidence around w</w:t>
      </w:r>
      <w:r w:rsidR="00BE6C5B" w:rsidRPr="00327B3A">
        <w:rPr>
          <w:rFonts w:asciiTheme="majorHAnsi" w:hAnsiTheme="majorHAnsi" w:cstheme="majorHAnsi"/>
          <w:sz w:val="28"/>
          <w:szCs w:val="28"/>
        </w:rPr>
        <w:t>hich these debates are centred.</w:t>
      </w:r>
    </w:p>
    <w:p w:rsidR="009D2D9B" w:rsidRPr="00327B3A" w:rsidRDefault="009D2D9B" w:rsidP="001D588A">
      <w:pPr>
        <w:jc w:val="both"/>
        <w:rPr>
          <w:rFonts w:asciiTheme="majorHAnsi" w:hAnsiTheme="majorHAnsi" w:cstheme="majorHAnsi"/>
          <w:sz w:val="28"/>
          <w:szCs w:val="28"/>
        </w:rPr>
      </w:pPr>
      <w:r w:rsidRPr="00327B3A">
        <w:rPr>
          <w:rFonts w:asciiTheme="majorHAnsi" w:hAnsiTheme="majorHAnsi" w:cstheme="majorHAnsi"/>
          <w:sz w:val="28"/>
          <w:szCs w:val="28"/>
        </w:rPr>
        <w:t>This attachment to wholesale curriculum vo</w:t>
      </w:r>
      <w:r w:rsidR="00703A9B" w:rsidRPr="00327B3A">
        <w:rPr>
          <w:rFonts w:asciiTheme="majorHAnsi" w:hAnsiTheme="majorHAnsi" w:cstheme="majorHAnsi"/>
          <w:sz w:val="28"/>
          <w:szCs w:val="28"/>
        </w:rPr>
        <w:t>cationalisation (including full-</w:t>
      </w:r>
      <w:r w:rsidRPr="00327B3A">
        <w:rPr>
          <w:rFonts w:asciiTheme="majorHAnsi" w:hAnsiTheme="majorHAnsi" w:cstheme="majorHAnsi"/>
          <w:sz w:val="28"/>
          <w:szCs w:val="28"/>
        </w:rPr>
        <w:t>blown</w:t>
      </w:r>
      <w:r w:rsidR="00BA7CB0">
        <w:rPr>
          <w:rFonts w:asciiTheme="majorHAnsi" w:hAnsiTheme="majorHAnsi" w:cstheme="majorHAnsi"/>
          <w:sz w:val="28"/>
          <w:szCs w:val="28"/>
        </w:rPr>
        <w:t>,</w:t>
      </w:r>
      <w:r w:rsidRPr="00327B3A">
        <w:rPr>
          <w:rFonts w:asciiTheme="majorHAnsi" w:hAnsiTheme="majorHAnsi" w:cstheme="majorHAnsi"/>
          <w:sz w:val="28"/>
          <w:szCs w:val="28"/>
        </w:rPr>
        <w:t xml:space="preserve"> </w:t>
      </w:r>
      <w:r w:rsidR="00703A9B" w:rsidRPr="00327B3A">
        <w:rPr>
          <w:rFonts w:asciiTheme="majorHAnsi" w:hAnsiTheme="majorHAnsi" w:cstheme="majorHAnsi"/>
          <w:sz w:val="28"/>
          <w:szCs w:val="28"/>
        </w:rPr>
        <w:t xml:space="preserve">pre-employment </w:t>
      </w:r>
      <w:r w:rsidRPr="00327B3A">
        <w:rPr>
          <w:rFonts w:asciiTheme="majorHAnsi" w:hAnsiTheme="majorHAnsi" w:cstheme="majorHAnsi"/>
          <w:sz w:val="28"/>
          <w:szCs w:val="28"/>
        </w:rPr>
        <w:t>occupational training) is misconceived</w:t>
      </w:r>
      <w:r w:rsidR="001D588A" w:rsidRPr="00327B3A">
        <w:rPr>
          <w:rFonts w:asciiTheme="majorHAnsi" w:hAnsiTheme="majorHAnsi" w:cstheme="majorHAnsi"/>
          <w:sz w:val="28"/>
          <w:szCs w:val="28"/>
        </w:rPr>
        <w:t xml:space="preserve"> on both conceptual and practical grounds</w:t>
      </w:r>
      <w:r w:rsidRPr="00327B3A">
        <w:rPr>
          <w:rFonts w:asciiTheme="majorHAnsi" w:hAnsiTheme="majorHAnsi" w:cstheme="majorHAnsi"/>
          <w:sz w:val="28"/>
          <w:szCs w:val="28"/>
        </w:rPr>
        <w:t xml:space="preserve">. </w:t>
      </w:r>
      <w:r w:rsidR="001D588A" w:rsidRPr="00327B3A">
        <w:rPr>
          <w:rFonts w:asciiTheme="majorHAnsi" w:hAnsiTheme="majorHAnsi" w:cstheme="majorHAnsi"/>
          <w:sz w:val="28"/>
          <w:szCs w:val="28"/>
        </w:rPr>
        <w:t>Conceptually, i</w:t>
      </w:r>
      <w:r w:rsidRPr="00327B3A">
        <w:rPr>
          <w:rFonts w:asciiTheme="majorHAnsi" w:hAnsiTheme="majorHAnsi" w:cstheme="majorHAnsi"/>
          <w:sz w:val="28"/>
          <w:szCs w:val="28"/>
        </w:rPr>
        <w:t>t is akin to the simplistic discourse which has dominated poli</w:t>
      </w:r>
      <w:r w:rsidR="001D588A" w:rsidRPr="00327B3A">
        <w:rPr>
          <w:rFonts w:asciiTheme="majorHAnsi" w:hAnsiTheme="majorHAnsi" w:cstheme="majorHAnsi"/>
          <w:sz w:val="28"/>
          <w:szCs w:val="28"/>
        </w:rPr>
        <w:t>tical discussions in SSA on the need for increased vocational intent in the school curriculum since well before Independence over sixty years ago.</w:t>
      </w:r>
      <w:r w:rsidR="001D588A" w:rsidRPr="00327B3A">
        <w:rPr>
          <w:rStyle w:val="FootnoteReference"/>
          <w:rFonts w:asciiTheme="majorHAnsi" w:hAnsiTheme="majorHAnsi" w:cstheme="majorHAnsi"/>
          <w:sz w:val="28"/>
          <w:szCs w:val="28"/>
        </w:rPr>
        <w:footnoteReference w:id="12"/>
      </w:r>
    </w:p>
    <w:p w:rsidR="00FA1CFC" w:rsidRPr="00327B3A" w:rsidRDefault="00703A9B" w:rsidP="009D2D9B">
      <w:pPr>
        <w:spacing w:before="240"/>
        <w:jc w:val="both"/>
        <w:rPr>
          <w:rFonts w:asciiTheme="majorHAnsi" w:hAnsiTheme="majorHAnsi" w:cstheme="majorHAnsi"/>
          <w:sz w:val="28"/>
          <w:szCs w:val="28"/>
        </w:rPr>
      </w:pPr>
      <w:r w:rsidRPr="00327B3A">
        <w:rPr>
          <w:rFonts w:asciiTheme="majorHAnsi" w:hAnsiTheme="majorHAnsi" w:cstheme="majorHAnsi"/>
          <w:sz w:val="28"/>
          <w:szCs w:val="28"/>
        </w:rPr>
        <w:t xml:space="preserve">What the Report does not point out is </w:t>
      </w:r>
      <w:r w:rsidR="001D588A" w:rsidRPr="00327B3A">
        <w:rPr>
          <w:rFonts w:asciiTheme="majorHAnsi" w:hAnsiTheme="majorHAnsi" w:cstheme="majorHAnsi"/>
          <w:sz w:val="28"/>
          <w:szCs w:val="28"/>
        </w:rPr>
        <w:t xml:space="preserve">that the </w:t>
      </w:r>
      <w:r w:rsidRPr="00327B3A">
        <w:rPr>
          <w:rFonts w:asciiTheme="majorHAnsi" w:hAnsiTheme="majorHAnsi" w:cstheme="majorHAnsi"/>
          <w:sz w:val="28"/>
          <w:szCs w:val="28"/>
        </w:rPr>
        <w:t xml:space="preserve">African </w:t>
      </w:r>
      <w:r w:rsidR="001D588A" w:rsidRPr="00327B3A">
        <w:rPr>
          <w:rFonts w:asciiTheme="majorHAnsi" w:hAnsiTheme="majorHAnsi" w:cstheme="majorHAnsi"/>
          <w:sz w:val="28"/>
          <w:szCs w:val="28"/>
        </w:rPr>
        <w:t>continent is littered with failed attempts to vocationalise the secondary school curriculum.</w:t>
      </w:r>
      <w:r w:rsidRPr="00327B3A">
        <w:rPr>
          <w:rFonts w:asciiTheme="majorHAnsi" w:hAnsiTheme="majorHAnsi" w:cstheme="majorHAnsi"/>
          <w:sz w:val="28"/>
          <w:szCs w:val="28"/>
        </w:rPr>
        <w:t xml:space="preserve"> The experience of </w:t>
      </w:r>
      <w:r w:rsidR="00CA315E" w:rsidRPr="00327B3A">
        <w:rPr>
          <w:rFonts w:asciiTheme="majorHAnsi" w:hAnsiTheme="majorHAnsi" w:cstheme="majorHAnsi"/>
          <w:sz w:val="28"/>
          <w:szCs w:val="28"/>
        </w:rPr>
        <w:t>the last 50 years has repeatedly confirmed the ‘vocational school</w:t>
      </w:r>
      <w:r w:rsidR="001D588A" w:rsidRPr="00327B3A">
        <w:rPr>
          <w:rFonts w:asciiTheme="majorHAnsi" w:hAnsiTheme="majorHAnsi" w:cstheme="majorHAnsi"/>
          <w:sz w:val="28"/>
          <w:szCs w:val="28"/>
        </w:rPr>
        <w:t xml:space="preserve"> </w:t>
      </w:r>
      <w:r w:rsidR="00CA315E" w:rsidRPr="00327B3A">
        <w:rPr>
          <w:rFonts w:asciiTheme="majorHAnsi" w:hAnsiTheme="majorHAnsi" w:cstheme="majorHAnsi"/>
          <w:sz w:val="28"/>
          <w:szCs w:val="28"/>
        </w:rPr>
        <w:t>fallacy’ (originally coined by Philip Foster in 1966) which postulates that</w:t>
      </w:r>
      <w:r w:rsidR="00482972" w:rsidRPr="00327B3A">
        <w:rPr>
          <w:rFonts w:asciiTheme="majorHAnsi" w:hAnsiTheme="majorHAnsi" w:cstheme="majorHAnsi"/>
          <w:sz w:val="28"/>
          <w:szCs w:val="28"/>
        </w:rPr>
        <w:t>,</w:t>
      </w:r>
      <w:r w:rsidR="00CA315E" w:rsidRPr="00327B3A">
        <w:rPr>
          <w:rFonts w:asciiTheme="majorHAnsi" w:hAnsiTheme="majorHAnsi" w:cstheme="majorHAnsi"/>
          <w:sz w:val="28"/>
          <w:szCs w:val="28"/>
        </w:rPr>
        <w:t xml:space="preserve"> given the </w:t>
      </w:r>
      <w:r w:rsidR="00CC2CDA" w:rsidRPr="00327B3A">
        <w:rPr>
          <w:rFonts w:asciiTheme="majorHAnsi" w:hAnsiTheme="majorHAnsi" w:cstheme="majorHAnsi"/>
          <w:sz w:val="28"/>
          <w:szCs w:val="28"/>
        </w:rPr>
        <w:t xml:space="preserve">central </w:t>
      </w:r>
      <w:r w:rsidR="00CA315E" w:rsidRPr="00327B3A">
        <w:rPr>
          <w:rFonts w:asciiTheme="majorHAnsi" w:hAnsiTheme="majorHAnsi" w:cstheme="majorHAnsi"/>
          <w:sz w:val="28"/>
          <w:szCs w:val="28"/>
        </w:rPr>
        <w:t>sorting function of secondary schooling coupled with the dominant economic incentives and goals of bo</w:t>
      </w:r>
      <w:r w:rsidR="00482972" w:rsidRPr="00327B3A">
        <w:rPr>
          <w:rFonts w:asciiTheme="majorHAnsi" w:hAnsiTheme="majorHAnsi" w:cstheme="majorHAnsi"/>
          <w:sz w:val="28"/>
          <w:szCs w:val="28"/>
        </w:rPr>
        <w:t>th students and parents</w:t>
      </w:r>
      <w:r w:rsidR="006768D6">
        <w:rPr>
          <w:rFonts w:asciiTheme="majorHAnsi" w:hAnsiTheme="majorHAnsi" w:cstheme="majorHAnsi"/>
          <w:sz w:val="28"/>
          <w:szCs w:val="28"/>
        </w:rPr>
        <w:t xml:space="preserve"> in most of SSA</w:t>
      </w:r>
      <w:r w:rsidR="00482972" w:rsidRPr="00327B3A">
        <w:rPr>
          <w:rFonts w:asciiTheme="majorHAnsi" w:hAnsiTheme="majorHAnsi" w:cstheme="majorHAnsi"/>
          <w:sz w:val="28"/>
          <w:szCs w:val="28"/>
        </w:rPr>
        <w:t xml:space="preserve">, vocationalisation and other types of school-based vocational training </w:t>
      </w:r>
      <w:r w:rsidR="00CA315E" w:rsidRPr="00327B3A">
        <w:rPr>
          <w:rFonts w:asciiTheme="majorHAnsi" w:hAnsiTheme="majorHAnsi" w:cstheme="majorHAnsi"/>
          <w:sz w:val="28"/>
          <w:szCs w:val="28"/>
        </w:rPr>
        <w:t xml:space="preserve">schooling </w:t>
      </w:r>
      <w:r w:rsidR="00482972" w:rsidRPr="00327B3A">
        <w:rPr>
          <w:rFonts w:asciiTheme="majorHAnsi" w:hAnsiTheme="majorHAnsi" w:cstheme="majorHAnsi"/>
          <w:sz w:val="28"/>
          <w:szCs w:val="28"/>
        </w:rPr>
        <w:t xml:space="preserve">are generally </w:t>
      </w:r>
      <w:r w:rsidR="00CA315E" w:rsidRPr="00327B3A">
        <w:rPr>
          <w:rFonts w:asciiTheme="majorHAnsi" w:hAnsiTheme="majorHAnsi" w:cstheme="majorHAnsi"/>
          <w:sz w:val="28"/>
          <w:szCs w:val="28"/>
        </w:rPr>
        <w:t xml:space="preserve">unable to </w:t>
      </w:r>
      <w:r w:rsidR="00482972" w:rsidRPr="00327B3A">
        <w:rPr>
          <w:rFonts w:asciiTheme="majorHAnsi" w:hAnsiTheme="majorHAnsi" w:cstheme="majorHAnsi"/>
          <w:sz w:val="28"/>
          <w:szCs w:val="28"/>
        </w:rPr>
        <w:t xml:space="preserve">alter </w:t>
      </w:r>
      <w:r w:rsidR="00CA315E" w:rsidRPr="00327B3A">
        <w:rPr>
          <w:rFonts w:asciiTheme="majorHAnsi" w:hAnsiTheme="majorHAnsi" w:cstheme="majorHAnsi"/>
          <w:sz w:val="28"/>
          <w:szCs w:val="28"/>
        </w:rPr>
        <w:t xml:space="preserve">fundamentally </w:t>
      </w:r>
      <w:r w:rsidRPr="00327B3A">
        <w:rPr>
          <w:rFonts w:asciiTheme="majorHAnsi" w:hAnsiTheme="majorHAnsi" w:cstheme="majorHAnsi"/>
          <w:sz w:val="28"/>
          <w:szCs w:val="28"/>
        </w:rPr>
        <w:t xml:space="preserve">deeply engrained </w:t>
      </w:r>
      <w:r w:rsidR="00CA315E" w:rsidRPr="00327B3A">
        <w:rPr>
          <w:rFonts w:asciiTheme="majorHAnsi" w:hAnsiTheme="majorHAnsi" w:cstheme="majorHAnsi"/>
          <w:sz w:val="28"/>
          <w:szCs w:val="28"/>
        </w:rPr>
        <w:t>attitudes about the importance of general, academic education</w:t>
      </w:r>
      <w:r w:rsidRPr="00327B3A">
        <w:rPr>
          <w:rFonts w:asciiTheme="majorHAnsi" w:hAnsiTheme="majorHAnsi" w:cstheme="majorHAnsi"/>
          <w:sz w:val="28"/>
          <w:szCs w:val="28"/>
        </w:rPr>
        <w:t xml:space="preserve"> (see, for example, </w:t>
      </w:r>
      <w:r w:rsidR="00540923">
        <w:rPr>
          <w:rFonts w:asciiTheme="majorHAnsi" w:hAnsiTheme="majorHAnsi" w:cstheme="majorHAnsi"/>
          <w:sz w:val="28"/>
          <w:szCs w:val="28"/>
        </w:rPr>
        <w:t>Foster 1965,  Lauglo2012, Lauglo and Maclean 2007, Middleton et. al.1993</w:t>
      </w:r>
      <w:r w:rsidR="00DF0CFD">
        <w:rPr>
          <w:rFonts w:asciiTheme="majorHAnsi" w:hAnsiTheme="majorHAnsi" w:cstheme="majorHAnsi"/>
          <w:sz w:val="28"/>
          <w:szCs w:val="28"/>
        </w:rPr>
        <w:t>)</w:t>
      </w:r>
      <w:r w:rsidR="00CA315E" w:rsidRPr="00327B3A">
        <w:rPr>
          <w:rFonts w:asciiTheme="majorHAnsi" w:hAnsiTheme="majorHAnsi" w:cstheme="majorHAnsi"/>
          <w:sz w:val="28"/>
          <w:szCs w:val="28"/>
        </w:rPr>
        <w:t xml:space="preserve">. </w:t>
      </w:r>
    </w:p>
    <w:p w:rsidR="00CC2CDA" w:rsidRPr="00327B3A" w:rsidRDefault="00FA1CFC" w:rsidP="009D2D9B">
      <w:pPr>
        <w:spacing w:before="240"/>
        <w:jc w:val="both"/>
        <w:rPr>
          <w:rFonts w:asciiTheme="majorHAnsi" w:hAnsiTheme="majorHAnsi" w:cstheme="majorHAnsi"/>
          <w:sz w:val="28"/>
          <w:szCs w:val="28"/>
        </w:rPr>
      </w:pPr>
      <w:r w:rsidRPr="00327B3A">
        <w:rPr>
          <w:rFonts w:asciiTheme="majorHAnsi" w:hAnsiTheme="majorHAnsi" w:cstheme="majorHAnsi"/>
          <w:sz w:val="28"/>
          <w:szCs w:val="28"/>
        </w:rPr>
        <w:t xml:space="preserve">Quite apart from </w:t>
      </w:r>
      <w:r w:rsidR="00CC2CDA" w:rsidRPr="00327B3A">
        <w:rPr>
          <w:rFonts w:asciiTheme="majorHAnsi" w:hAnsiTheme="majorHAnsi" w:cstheme="majorHAnsi"/>
          <w:sz w:val="28"/>
          <w:szCs w:val="28"/>
        </w:rPr>
        <w:t xml:space="preserve">these </w:t>
      </w:r>
      <w:r w:rsidRPr="00327B3A">
        <w:rPr>
          <w:rFonts w:asciiTheme="majorHAnsi" w:hAnsiTheme="majorHAnsi" w:cstheme="majorHAnsi"/>
          <w:sz w:val="28"/>
          <w:szCs w:val="28"/>
        </w:rPr>
        <w:t xml:space="preserve">conceptual concerns, the practical challenges of providing school-based VET in SSA have been </w:t>
      </w:r>
      <w:r w:rsidR="006768D6">
        <w:rPr>
          <w:rFonts w:asciiTheme="majorHAnsi" w:hAnsiTheme="majorHAnsi" w:cstheme="majorHAnsi"/>
          <w:sz w:val="28"/>
          <w:szCs w:val="28"/>
        </w:rPr>
        <w:t>daunting</w:t>
      </w:r>
      <w:r w:rsidRPr="00327B3A">
        <w:rPr>
          <w:rFonts w:asciiTheme="majorHAnsi" w:hAnsiTheme="majorHAnsi" w:cstheme="majorHAnsi"/>
          <w:sz w:val="28"/>
          <w:szCs w:val="28"/>
        </w:rPr>
        <w:t xml:space="preserve">. The cost of pre-employment </w:t>
      </w:r>
      <w:r w:rsidRPr="00327B3A">
        <w:rPr>
          <w:rFonts w:asciiTheme="majorHAnsi" w:hAnsiTheme="majorHAnsi" w:cstheme="majorHAnsi"/>
          <w:sz w:val="28"/>
          <w:szCs w:val="28"/>
        </w:rPr>
        <w:lastRenderedPageBreak/>
        <w:t>occupational courses (which are usually limited to increasingly out-dated artisan trades) are typically three-five times higher than general academic secondary school</w:t>
      </w:r>
      <w:r w:rsidR="00482972" w:rsidRPr="00327B3A">
        <w:rPr>
          <w:rFonts w:asciiTheme="majorHAnsi" w:hAnsiTheme="majorHAnsi" w:cstheme="majorHAnsi"/>
          <w:sz w:val="28"/>
          <w:szCs w:val="28"/>
        </w:rPr>
        <w:t>ing. E</w:t>
      </w:r>
      <w:r w:rsidR="007631EC" w:rsidRPr="00327B3A">
        <w:rPr>
          <w:rFonts w:asciiTheme="majorHAnsi" w:hAnsiTheme="majorHAnsi" w:cstheme="majorHAnsi"/>
          <w:sz w:val="28"/>
          <w:szCs w:val="28"/>
        </w:rPr>
        <w:t>ven with these much higher costs,</w:t>
      </w:r>
      <w:r w:rsidRPr="00327B3A">
        <w:rPr>
          <w:rFonts w:asciiTheme="majorHAnsi" w:hAnsiTheme="majorHAnsi" w:cstheme="majorHAnsi"/>
          <w:sz w:val="28"/>
          <w:szCs w:val="28"/>
        </w:rPr>
        <w:t xml:space="preserve"> the quality of training is </w:t>
      </w:r>
      <w:r w:rsidR="00BE6C5B" w:rsidRPr="00327B3A">
        <w:rPr>
          <w:rFonts w:asciiTheme="majorHAnsi" w:hAnsiTheme="majorHAnsi" w:cstheme="majorHAnsi"/>
          <w:sz w:val="28"/>
          <w:szCs w:val="28"/>
        </w:rPr>
        <w:t xml:space="preserve">invariably </w:t>
      </w:r>
      <w:r w:rsidRPr="00327B3A">
        <w:rPr>
          <w:rFonts w:asciiTheme="majorHAnsi" w:hAnsiTheme="majorHAnsi" w:cstheme="majorHAnsi"/>
          <w:sz w:val="28"/>
          <w:szCs w:val="28"/>
        </w:rPr>
        <w:t xml:space="preserve">compromised by </w:t>
      </w:r>
      <w:r w:rsidR="00CC2CDA" w:rsidRPr="00327B3A">
        <w:rPr>
          <w:rFonts w:asciiTheme="majorHAnsi" w:hAnsiTheme="majorHAnsi" w:cstheme="majorHAnsi"/>
          <w:sz w:val="28"/>
          <w:szCs w:val="28"/>
        </w:rPr>
        <w:t xml:space="preserve">shortages of </w:t>
      </w:r>
      <w:r w:rsidRPr="00327B3A">
        <w:rPr>
          <w:rFonts w:asciiTheme="majorHAnsi" w:hAnsiTheme="majorHAnsi" w:cstheme="majorHAnsi"/>
          <w:sz w:val="28"/>
          <w:szCs w:val="28"/>
        </w:rPr>
        <w:t xml:space="preserve">poorly trained instructors </w:t>
      </w:r>
      <w:r w:rsidR="00CC2CDA" w:rsidRPr="00327B3A">
        <w:rPr>
          <w:rFonts w:asciiTheme="majorHAnsi" w:hAnsiTheme="majorHAnsi" w:cstheme="majorHAnsi"/>
          <w:sz w:val="28"/>
          <w:szCs w:val="28"/>
        </w:rPr>
        <w:t>(</w:t>
      </w:r>
      <w:r w:rsidR="00BE6C5B" w:rsidRPr="00327B3A">
        <w:rPr>
          <w:rFonts w:asciiTheme="majorHAnsi" w:hAnsiTheme="majorHAnsi" w:cstheme="majorHAnsi"/>
          <w:sz w:val="28"/>
          <w:szCs w:val="28"/>
        </w:rPr>
        <w:t xml:space="preserve">especially because they </w:t>
      </w:r>
      <w:r w:rsidR="00CC2CDA" w:rsidRPr="00327B3A">
        <w:rPr>
          <w:rFonts w:asciiTheme="majorHAnsi" w:hAnsiTheme="majorHAnsi" w:cstheme="majorHAnsi"/>
          <w:sz w:val="28"/>
          <w:szCs w:val="28"/>
        </w:rPr>
        <w:t xml:space="preserve">lack essential </w:t>
      </w:r>
      <w:r w:rsidRPr="00327B3A">
        <w:rPr>
          <w:rFonts w:asciiTheme="majorHAnsi" w:hAnsiTheme="majorHAnsi" w:cstheme="majorHAnsi"/>
          <w:sz w:val="28"/>
          <w:szCs w:val="28"/>
        </w:rPr>
        <w:t>practical work experience</w:t>
      </w:r>
      <w:r w:rsidR="00CC2CDA" w:rsidRPr="00327B3A">
        <w:rPr>
          <w:rFonts w:asciiTheme="majorHAnsi" w:hAnsiTheme="majorHAnsi" w:cstheme="majorHAnsi"/>
          <w:sz w:val="28"/>
          <w:szCs w:val="28"/>
        </w:rPr>
        <w:t>)</w:t>
      </w:r>
      <w:r w:rsidRPr="00327B3A">
        <w:rPr>
          <w:rFonts w:asciiTheme="majorHAnsi" w:hAnsiTheme="majorHAnsi" w:cstheme="majorHAnsi"/>
          <w:sz w:val="28"/>
          <w:szCs w:val="28"/>
        </w:rPr>
        <w:t xml:space="preserve">, </w:t>
      </w:r>
      <w:r w:rsidR="00BE6C5B" w:rsidRPr="00327B3A">
        <w:rPr>
          <w:rFonts w:asciiTheme="majorHAnsi" w:hAnsiTheme="majorHAnsi" w:cstheme="majorHAnsi"/>
          <w:sz w:val="28"/>
          <w:szCs w:val="28"/>
        </w:rPr>
        <w:t xml:space="preserve">as well as </w:t>
      </w:r>
      <w:r w:rsidR="00482972" w:rsidRPr="00327B3A">
        <w:rPr>
          <w:rFonts w:asciiTheme="majorHAnsi" w:hAnsiTheme="majorHAnsi" w:cstheme="majorHAnsi"/>
          <w:sz w:val="28"/>
          <w:szCs w:val="28"/>
        </w:rPr>
        <w:t>equipment and materials</w:t>
      </w:r>
      <w:r w:rsidR="00613FB6">
        <w:rPr>
          <w:rFonts w:asciiTheme="majorHAnsi" w:hAnsiTheme="majorHAnsi" w:cstheme="majorHAnsi"/>
          <w:sz w:val="28"/>
          <w:szCs w:val="28"/>
        </w:rPr>
        <w:t>. G</w:t>
      </w:r>
      <w:r w:rsidR="00613FB6" w:rsidRPr="00327B3A">
        <w:rPr>
          <w:rFonts w:asciiTheme="majorHAnsi" w:hAnsiTheme="majorHAnsi" w:cstheme="majorHAnsi"/>
          <w:sz w:val="28"/>
          <w:szCs w:val="28"/>
        </w:rPr>
        <w:t>iven the low status of this training</w:t>
      </w:r>
      <w:r w:rsidR="00613FB6">
        <w:rPr>
          <w:rFonts w:asciiTheme="majorHAnsi" w:hAnsiTheme="majorHAnsi" w:cstheme="majorHAnsi"/>
          <w:sz w:val="28"/>
          <w:szCs w:val="28"/>
        </w:rPr>
        <w:t xml:space="preserve">, the </w:t>
      </w:r>
      <w:r w:rsidRPr="00327B3A">
        <w:rPr>
          <w:rFonts w:asciiTheme="majorHAnsi" w:hAnsiTheme="majorHAnsi" w:cstheme="majorHAnsi"/>
          <w:sz w:val="28"/>
          <w:szCs w:val="28"/>
        </w:rPr>
        <w:t xml:space="preserve">quality of student intakes </w:t>
      </w:r>
      <w:r w:rsidR="00613FB6">
        <w:rPr>
          <w:rFonts w:asciiTheme="majorHAnsi" w:hAnsiTheme="majorHAnsi" w:cstheme="majorHAnsi"/>
          <w:sz w:val="28"/>
          <w:szCs w:val="28"/>
        </w:rPr>
        <w:t xml:space="preserve">is also another frequent concern. </w:t>
      </w:r>
      <w:r w:rsidR="00482972" w:rsidRPr="00327B3A">
        <w:rPr>
          <w:rFonts w:asciiTheme="majorHAnsi" w:hAnsiTheme="majorHAnsi" w:cstheme="majorHAnsi"/>
          <w:sz w:val="28"/>
          <w:szCs w:val="28"/>
        </w:rPr>
        <w:t>With l</w:t>
      </w:r>
      <w:r w:rsidR="00052151">
        <w:rPr>
          <w:rFonts w:asciiTheme="majorHAnsi" w:hAnsiTheme="majorHAnsi" w:cstheme="majorHAnsi"/>
          <w:sz w:val="28"/>
          <w:szCs w:val="28"/>
        </w:rPr>
        <w:t xml:space="preserve">ow </w:t>
      </w:r>
      <w:r w:rsidR="00CC2CDA" w:rsidRPr="00327B3A">
        <w:rPr>
          <w:rFonts w:asciiTheme="majorHAnsi" w:hAnsiTheme="majorHAnsi" w:cstheme="majorHAnsi"/>
          <w:sz w:val="28"/>
          <w:szCs w:val="28"/>
        </w:rPr>
        <w:t xml:space="preserve">levels of </w:t>
      </w:r>
      <w:r w:rsidR="007631EC" w:rsidRPr="00327B3A">
        <w:rPr>
          <w:rFonts w:asciiTheme="majorHAnsi" w:hAnsiTheme="majorHAnsi" w:cstheme="majorHAnsi"/>
          <w:sz w:val="28"/>
          <w:szCs w:val="28"/>
        </w:rPr>
        <w:t xml:space="preserve">vocational intent and limited job opportunities in the formal sector, </w:t>
      </w:r>
      <w:r w:rsidR="00482972" w:rsidRPr="00327B3A">
        <w:rPr>
          <w:rFonts w:asciiTheme="majorHAnsi" w:hAnsiTheme="majorHAnsi" w:cstheme="majorHAnsi"/>
          <w:sz w:val="28"/>
          <w:szCs w:val="28"/>
        </w:rPr>
        <w:t xml:space="preserve">only a minority </w:t>
      </w:r>
      <w:r w:rsidR="007631EC" w:rsidRPr="00327B3A">
        <w:rPr>
          <w:rFonts w:asciiTheme="majorHAnsi" w:hAnsiTheme="majorHAnsi" w:cstheme="majorHAnsi"/>
          <w:sz w:val="28"/>
          <w:szCs w:val="28"/>
        </w:rPr>
        <w:t xml:space="preserve">of </w:t>
      </w:r>
      <w:r w:rsidR="00482972" w:rsidRPr="00327B3A">
        <w:rPr>
          <w:rFonts w:asciiTheme="majorHAnsi" w:hAnsiTheme="majorHAnsi" w:cstheme="majorHAnsi"/>
          <w:sz w:val="28"/>
          <w:szCs w:val="28"/>
        </w:rPr>
        <w:t xml:space="preserve">vocationally-trained school </w:t>
      </w:r>
      <w:r w:rsidR="007631EC" w:rsidRPr="00327B3A">
        <w:rPr>
          <w:rFonts w:asciiTheme="majorHAnsi" w:hAnsiTheme="majorHAnsi" w:cstheme="majorHAnsi"/>
          <w:sz w:val="28"/>
          <w:szCs w:val="28"/>
        </w:rPr>
        <w:t xml:space="preserve">students </w:t>
      </w:r>
      <w:r w:rsidR="00482972" w:rsidRPr="00327B3A">
        <w:rPr>
          <w:rFonts w:asciiTheme="majorHAnsi" w:hAnsiTheme="majorHAnsi" w:cstheme="majorHAnsi"/>
          <w:sz w:val="28"/>
          <w:szCs w:val="28"/>
        </w:rPr>
        <w:t xml:space="preserve">usually </w:t>
      </w:r>
      <w:r w:rsidR="007631EC" w:rsidRPr="00327B3A">
        <w:rPr>
          <w:rFonts w:asciiTheme="majorHAnsi" w:hAnsiTheme="majorHAnsi" w:cstheme="majorHAnsi"/>
          <w:sz w:val="28"/>
          <w:szCs w:val="28"/>
        </w:rPr>
        <w:t xml:space="preserve">end up in training-related employment. </w:t>
      </w:r>
    </w:p>
    <w:p w:rsidR="00FA1CFC" w:rsidRPr="00327B3A" w:rsidRDefault="00482972" w:rsidP="009D2D9B">
      <w:pPr>
        <w:spacing w:before="240"/>
        <w:jc w:val="both"/>
        <w:rPr>
          <w:rFonts w:asciiTheme="majorHAnsi" w:hAnsiTheme="majorHAnsi" w:cstheme="majorHAnsi"/>
          <w:sz w:val="28"/>
          <w:szCs w:val="28"/>
        </w:rPr>
      </w:pPr>
      <w:r w:rsidRPr="00327B3A">
        <w:rPr>
          <w:rFonts w:asciiTheme="majorHAnsi" w:hAnsiTheme="majorHAnsi" w:cstheme="majorHAnsi"/>
          <w:sz w:val="28"/>
          <w:szCs w:val="28"/>
        </w:rPr>
        <w:t>It is also important to point out that s</w:t>
      </w:r>
      <w:r w:rsidR="00FA1CFC" w:rsidRPr="00327B3A">
        <w:rPr>
          <w:rFonts w:asciiTheme="majorHAnsi" w:hAnsiTheme="majorHAnsi" w:cstheme="majorHAnsi"/>
          <w:sz w:val="28"/>
          <w:szCs w:val="28"/>
        </w:rPr>
        <w:t xml:space="preserve">chool-based </w:t>
      </w:r>
      <w:r w:rsidR="007631EC" w:rsidRPr="00327B3A">
        <w:rPr>
          <w:rFonts w:asciiTheme="majorHAnsi" w:hAnsiTheme="majorHAnsi" w:cstheme="majorHAnsi"/>
          <w:sz w:val="28"/>
          <w:szCs w:val="28"/>
        </w:rPr>
        <w:t xml:space="preserve">occupational </w:t>
      </w:r>
      <w:r w:rsidR="00FA1CFC" w:rsidRPr="00327B3A">
        <w:rPr>
          <w:rFonts w:asciiTheme="majorHAnsi" w:hAnsiTheme="majorHAnsi" w:cstheme="majorHAnsi"/>
          <w:sz w:val="28"/>
          <w:szCs w:val="28"/>
        </w:rPr>
        <w:t xml:space="preserve">training </w:t>
      </w:r>
      <w:r w:rsidRPr="00327B3A">
        <w:rPr>
          <w:rFonts w:asciiTheme="majorHAnsi" w:hAnsiTheme="majorHAnsi" w:cstheme="majorHAnsi"/>
          <w:sz w:val="28"/>
          <w:szCs w:val="28"/>
        </w:rPr>
        <w:t xml:space="preserve">in SSA </w:t>
      </w:r>
      <w:r w:rsidR="00FA1CFC" w:rsidRPr="00327B3A">
        <w:rPr>
          <w:rFonts w:asciiTheme="majorHAnsi" w:hAnsiTheme="majorHAnsi" w:cstheme="majorHAnsi"/>
          <w:sz w:val="28"/>
          <w:szCs w:val="28"/>
        </w:rPr>
        <w:t xml:space="preserve">is mainly confined to Francophone countries which have the lowest secondary schooling enrolment rates in the continent and, somewhat ironically, report the highest skill </w:t>
      </w:r>
      <w:r w:rsidR="00540923">
        <w:rPr>
          <w:rFonts w:asciiTheme="majorHAnsi" w:hAnsiTheme="majorHAnsi" w:cstheme="majorHAnsi"/>
          <w:sz w:val="28"/>
          <w:szCs w:val="28"/>
        </w:rPr>
        <w:t>shortages (see Bennell</w:t>
      </w:r>
      <w:r w:rsidR="00FA1CFC" w:rsidRPr="00327B3A">
        <w:rPr>
          <w:rFonts w:asciiTheme="majorHAnsi" w:hAnsiTheme="majorHAnsi" w:cstheme="majorHAnsi"/>
          <w:sz w:val="28"/>
          <w:szCs w:val="28"/>
        </w:rPr>
        <w:t xml:space="preserve"> 2021</w:t>
      </w:r>
      <w:r w:rsidR="0097263B" w:rsidRPr="00327B3A">
        <w:rPr>
          <w:rFonts w:asciiTheme="majorHAnsi" w:hAnsiTheme="majorHAnsi" w:cstheme="majorHAnsi"/>
          <w:sz w:val="28"/>
          <w:szCs w:val="28"/>
        </w:rPr>
        <w:t>c</w:t>
      </w:r>
      <w:r w:rsidR="00FA1CFC" w:rsidRPr="00327B3A">
        <w:rPr>
          <w:rFonts w:asciiTheme="majorHAnsi" w:hAnsiTheme="majorHAnsi" w:cstheme="majorHAnsi"/>
          <w:sz w:val="28"/>
          <w:szCs w:val="28"/>
        </w:rPr>
        <w:t xml:space="preserve">). </w:t>
      </w:r>
      <w:r w:rsidR="007631EC" w:rsidRPr="00327B3A">
        <w:rPr>
          <w:rFonts w:asciiTheme="majorHAnsi" w:hAnsiTheme="majorHAnsi" w:cstheme="majorHAnsi"/>
          <w:sz w:val="28"/>
          <w:szCs w:val="28"/>
        </w:rPr>
        <w:t xml:space="preserve">Almost all Anglophone countries in SSA have effectively abandoned school-based occupational training and, as in most countries across the world, rely on mainly on post-secondary school pre-employment occupational training institutions.  </w:t>
      </w:r>
      <w:r w:rsidR="00FA1CFC" w:rsidRPr="00327B3A">
        <w:rPr>
          <w:rFonts w:asciiTheme="majorHAnsi" w:hAnsiTheme="majorHAnsi" w:cstheme="majorHAnsi"/>
          <w:sz w:val="28"/>
          <w:szCs w:val="28"/>
        </w:rPr>
        <w:t xml:space="preserve"> </w:t>
      </w:r>
    </w:p>
    <w:p w:rsidR="009D2D9B" w:rsidRPr="00327B3A" w:rsidRDefault="00FA1CFC" w:rsidP="009D2D9B">
      <w:pPr>
        <w:spacing w:before="240"/>
        <w:jc w:val="both"/>
        <w:rPr>
          <w:rFonts w:asciiTheme="majorHAnsi" w:hAnsiTheme="majorHAnsi" w:cstheme="majorHAnsi"/>
          <w:sz w:val="28"/>
          <w:szCs w:val="28"/>
        </w:rPr>
      </w:pPr>
      <w:r w:rsidRPr="00327B3A">
        <w:rPr>
          <w:rFonts w:asciiTheme="majorHAnsi" w:hAnsiTheme="majorHAnsi" w:cstheme="majorHAnsi"/>
          <w:sz w:val="28"/>
          <w:szCs w:val="28"/>
        </w:rPr>
        <w:t>The key lesson is</w:t>
      </w:r>
      <w:r w:rsidR="00CC2CDA" w:rsidRPr="00327B3A">
        <w:rPr>
          <w:rFonts w:asciiTheme="majorHAnsi" w:hAnsiTheme="majorHAnsi" w:cstheme="majorHAnsi"/>
          <w:sz w:val="28"/>
          <w:szCs w:val="28"/>
        </w:rPr>
        <w:t>,</w:t>
      </w:r>
      <w:r w:rsidRPr="00327B3A">
        <w:rPr>
          <w:rFonts w:asciiTheme="majorHAnsi" w:hAnsiTheme="majorHAnsi" w:cstheme="majorHAnsi"/>
          <w:sz w:val="28"/>
          <w:szCs w:val="28"/>
        </w:rPr>
        <w:t xml:space="preserve"> therefore</w:t>
      </w:r>
      <w:r w:rsidR="00CC2CDA" w:rsidRPr="00327B3A">
        <w:rPr>
          <w:rFonts w:asciiTheme="majorHAnsi" w:hAnsiTheme="majorHAnsi" w:cstheme="majorHAnsi"/>
          <w:sz w:val="28"/>
          <w:szCs w:val="28"/>
        </w:rPr>
        <w:t>,</w:t>
      </w:r>
      <w:r w:rsidRPr="00327B3A">
        <w:rPr>
          <w:rFonts w:asciiTheme="majorHAnsi" w:hAnsiTheme="majorHAnsi" w:cstheme="majorHAnsi"/>
          <w:sz w:val="28"/>
          <w:szCs w:val="28"/>
        </w:rPr>
        <w:t xml:space="preserve"> is that beyond the introduction of ‘pre-vocational’ training in core skills (particularly IT and entrepreneurship</w:t>
      </w:r>
      <w:r w:rsidR="007631EC" w:rsidRPr="00327B3A">
        <w:rPr>
          <w:rFonts w:asciiTheme="majorHAnsi" w:hAnsiTheme="majorHAnsi" w:cstheme="majorHAnsi"/>
          <w:sz w:val="28"/>
          <w:szCs w:val="28"/>
        </w:rPr>
        <w:t xml:space="preserve"> and work-readiness</w:t>
      </w:r>
      <w:r w:rsidRPr="00327B3A">
        <w:rPr>
          <w:rFonts w:asciiTheme="majorHAnsi" w:hAnsiTheme="majorHAnsi" w:cstheme="majorHAnsi"/>
          <w:sz w:val="28"/>
          <w:szCs w:val="28"/>
        </w:rPr>
        <w:t xml:space="preserve">), attempts to more comprehensively vocationalise the </w:t>
      </w:r>
      <w:r w:rsidR="007631EC" w:rsidRPr="00327B3A">
        <w:rPr>
          <w:rFonts w:asciiTheme="majorHAnsi" w:hAnsiTheme="majorHAnsi" w:cstheme="majorHAnsi"/>
          <w:sz w:val="28"/>
          <w:szCs w:val="28"/>
        </w:rPr>
        <w:t xml:space="preserve">secondary school </w:t>
      </w:r>
      <w:r w:rsidRPr="00327B3A">
        <w:rPr>
          <w:rFonts w:asciiTheme="majorHAnsi" w:hAnsiTheme="majorHAnsi" w:cstheme="majorHAnsi"/>
          <w:sz w:val="28"/>
          <w:szCs w:val="28"/>
        </w:rPr>
        <w:t>curriculum</w:t>
      </w:r>
      <w:r w:rsidR="00CA315E" w:rsidRPr="00327B3A">
        <w:rPr>
          <w:rFonts w:asciiTheme="majorHAnsi" w:hAnsiTheme="majorHAnsi" w:cstheme="majorHAnsi"/>
          <w:sz w:val="28"/>
          <w:szCs w:val="28"/>
        </w:rPr>
        <w:t xml:space="preserve"> </w:t>
      </w:r>
      <w:r w:rsidR="00482972" w:rsidRPr="00327B3A">
        <w:rPr>
          <w:rFonts w:asciiTheme="majorHAnsi" w:hAnsiTheme="majorHAnsi" w:cstheme="majorHAnsi"/>
          <w:sz w:val="28"/>
          <w:szCs w:val="28"/>
        </w:rPr>
        <w:t xml:space="preserve">are </w:t>
      </w:r>
      <w:r w:rsidR="007631EC" w:rsidRPr="00327B3A">
        <w:rPr>
          <w:rFonts w:asciiTheme="majorHAnsi" w:hAnsiTheme="majorHAnsi" w:cstheme="majorHAnsi"/>
          <w:sz w:val="28"/>
          <w:szCs w:val="28"/>
        </w:rPr>
        <w:t>unlikely to succeed.</w:t>
      </w:r>
      <w:r w:rsidR="001345D4" w:rsidRPr="00327B3A">
        <w:rPr>
          <w:rFonts w:asciiTheme="majorHAnsi" w:hAnsiTheme="majorHAnsi" w:cstheme="majorHAnsi"/>
          <w:sz w:val="28"/>
          <w:szCs w:val="28"/>
        </w:rPr>
        <w:t xml:space="preserve"> </w:t>
      </w:r>
      <w:r w:rsidR="0097263B" w:rsidRPr="00327B3A">
        <w:rPr>
          <w:rFonts w:asciiTheme="majorHAnsi" w:hAnsiTheme="majorHAnsi" w:cstheme="majorHAnsi"/>
          <w:sz w:val="28"/>
          <w:szCs w:val="28"/>
        </w:rPr>
        <w:t>V</w:t>
      </w:r>
      <w:r w:rsidR="00482972" w:rsidRPr="00327B3A">
        <w:rPr>
          <w:rFonts w:asciiTheme="majorHAnsi" w:hAnsiTheme="majorHAnsi" w:cstheme="majorHAnsi"/>
          <w:sz w:val="28"/>
          <w:szCs w:val="28"/>
        </w:rPr>
        <w:t>ocationalis</w:t>
      </w:r>
      <w:r w:rsidR="0097263B" w:rsidRPr="00327B3A">
        <w:rPr>
          <w:rFonts w:asciiTheme="majorHAnsi" w:hAnsiTheme="majorHAnsi" w:cstheme="majorHAnsi"/>
          <w:sz w:val="28"/>
          <w:szCs w:val="28"/>
        </w:rPr>
        <w:t>ing</w:t>
      </w:r>
      <w:r w:rsidR="00482972" w:rsidRPr="00327B3A">
        <w:rPr>
          <w:rFonts w:asciiTheme="majorHAnsi" w:hAnsiTheme="majorHAnsi" w:cstheme="majorHAnsi"/>
          <w:sz w:val="28"/>
          <w:szCs w:val="28"/>
        </w:rPr>
        <w:t xml:space="preserve"> </w:t>
      </w:r>
      <w:r w:rsidR="005E4183" w:rsidRPr="00327B3A">
        <w:rPr>
          <w:rFonts w:asciiTheme="majorHAnsi" w:hAnsiTheme="majorHAnsi" w:cstheme="majorHAnsi"/>
          <w:sz w:val="28"/>
          <w:szCs w:val="28"/>
        </w:rPr>
        <w:t>t</w:t>
      </w:r>
      <w:r w:rsidR="001345D4" w:rsidRPr="00327B3A">
        <w:rPr>
          <w:rFonts w:asciiTheme="majorHAnsi" w:hAnsiTheme="majorHAnsi" w:cstheme="majorHAnsi"/>
          <w:sz w:val="28"/>
          <w:szCs w:val="28"/>
        </w:rPr>
        <w:t>he curriculum</w:t>
      </w:r>
      <w:r w:rsidR="005E4183" w:rsidRPr="00327B3A">
        <w:rPr>
          <w:rFonts w:asciiTheme="majorHAnsi" w:hAnsiTheme="majorHAnsi" w:cstheme="majorHAnsi"/>
          <w:sz w:val="28"/>
          <w:szCs w:val="28"/>
        </w:rPr>
        <w:t xml:space="preserve"> invariably exacerbate</w:t>
      </w:r>
      <w:r w:rsidR="00DF0CFD">
        <w:rPr>
          <w:rFonts w:asciiTheme="majorHAnsi" w:hAnsiTheme="majorHAnsi" w:cstheme="majorHAnsi"/>
          <w:sz w:val="28"/>
          <w:szCs w:val="28"/>
        </w:rPr>
        <w:t>s</w:t>
      </w:r>
      <w:r w:rsidR="005E4183" w:rsidRPr="00327B3A">
        <w:rPr>
          <w:rFonts w:asciiTheme="majorHAnsi" w:hAnsiTheme="majorHAnsi" w:cstheme="majorHAnsi"/>
          <w:sz w:val="28"/>
          <w:szCs w:val="28"/>
        </w:rPr>
        <w:t xml:space="preserve"> already high levels of curriculum overload</w:t>
      </w:r>
      <w:r w:rsidR="00095B4A" w:rsidRPr="00327B3A">
        <w:rPr>
          <w:rFonts w:asciiTheme="majorHAnsi" w:hAnsiTheme="majorHAnsi" w:cstheme="majorHAnsi"/>
          <w:sz w:val="28"/>
          <w:szCs w:val="28"/>
        </w:rPr>
        <w:t xml:space="preserve">. </w:t>
      </w:r>
      <w:r w:rsidR="00CA315E" w:rsidRPr="00327B3A">
        <w:rPr>
          <w:rFonts w:asciiTheme="majorHAnsi" w:hAnsiTheme="majorHAnsi" w:cstheme="majorHAnsi"/>
          <w:sz w:val="28"/>
          <w:szCs w:val="28"/>
        </w:rPr>
        <w:t xml:space="preserve"> </w:t>
      </w:r>
    </w:p>
    <w:p w:rsidR="0072591E" w:rsidRPr="00327B3A" w:rsidRDefault="0072591E" w:rsidP="0072591E">
      <w:pPr>
        <w:jc w:val="both"/>
        <w:rPr>
          <w:rFonts w:asciiTheme="majorHAnsi" w:hAnsiTheme="majorHAnsi" w:cstheme="majorHAnsi"/>
          <w:i/>
          <w:sz w:val="28"/>
          <w:szCs w:val="28"/>
        </w:rPr>
      </w:pPr>
      <w:r w:rsidRPr="00327B3A">
        <w:rPr>
          <w:rFonts w:asciiTheme="majorHAnsi" w:hAnsiTheme="majorHAnsi" w:cstheme="majorHAnsi"/>
          <w:i/>
          <w:sz w:val="28"/>
          <w:szCs w:val="28"/>
        </w:rPr>
        <w:t>Curriculum</w:t>
      </w:r>
      <w:r w:rsidR="00BC71C4" w:rsidRPr="00327B3A">
        <w:rPr>
          <w:rFonts w:asciiTheme="majorHAnsi" w:hAnsiTheme="majorHAnsi" w:cstheme="majorHAnsi"/>
          <w:i/>
          <w:sz w:val="28"/>
          <w:szCs w:val="28"/>
        </w:rPr>
        <w:t xml:space="preserve"> pedagogy</w:t>
      </w:r>
      <w:r w:rsidRPr="00327B3A">
        <w:rPr>
          <w:rFonts w:asciiTheme="majorHAnsi" w:hAnsiTheme="majorHAnsi" w:cstheme="majorHAnsi"/>
          <w:i/>
          <w:sz w:val="28"/>
          <w:szCs w:val="28"/>
        </w:rPr>
        <w:t xml:space="preserve"> </w:t>
      </w:r>
    </w:p>
    <w:p w:rsidR="001345D4" w:rsidRPr="00327B3A" w:rsidRDefault="00BC71C4" w:rsidP="0072591E">
      <w:pPr>
        <w:jc w:val="both"/>
        <w:rPr>
          <w:rFonts w:asciiTheme="majorHAnsi" w:hAnsiTheme="majorHAnsi" w:cstheme="majorHAnsi"/>
          <w:sz w:val="28"/>
          <w:szCs w:val="28"/>
        </w:rPr>
      </w:pPr>
      <w:r w:rsidRPr="00327B3A">
        <w:rPr>
          <w:rFonts w:asciiTheme="majorHAnsi" w:hAnsiTheme="majorHAnsi" w:cstheme="majorHAnsi"/>
          <w:sz w:val="28"/>
          <w:szCs w:val="28"/>
        </w:rPr>
        <w:t xml:space="preserve">As with almost all </w:t>
      </w:r>
      <w:r w:rsidR="00447017" w:rsidRPr="00327B3A">
        <w:rPr>
          <w:rFonts w:asciiTheme="majorHAnsi" w:hAnsiTheme="majorHAnsi" w:cstheme="majorHAnsi"/>
          <w:sz w:val="28"/>
          <w:szCs w:val="28"/>
        </w:rPr>
        <w:t xml:space="preserve">continent-wide </w:t>
      </w:r>
      <w:r w:rsidRPr="00327B3A">
        <w:rPr>
          <w:rFonts w:asciiTheme="majorHAnsi" w:hAnsiTheme="majorHAnsi" w:cstheme="majorHAnsi"/>
          <w:sz w:val="28"/>
          <w:szCs w:val="28"/>
        </w:rPr>
        <w:t>education policy reviews before it, the Report is strongly supportive of learner-centred, c</w:t>
      </w:r>
      <w:r w:rsidR="0072591E" w:rsidRPr="00327B3A">
        <w:rPr>
          <w:rFonts w:asciiTheme="majorHAnsi" w:hAnsiTheme="majorHAnsi" w:cstheme="majorHAnsi"/>
          <w:sz w:val="28"/>
          <w:szCs w:val="28"/>
        </w:rPr>
        <w:t>ompetency-based curricula</w:t>
      </w:r>
      <w:r w:rsidRPr="00327B3A">
        <w:rPr>
          <w:rFonts w:asciiTheme="majorHAnsi" w:hAnsiTheme="majorHAnsi" w:cstheme="majorHAnsi"/>
          <w:sz w:val="28"/>
          <w:szCs w:val="28"/>
        </w:rPr>
        <w:t>. At the same time, the Report cautions that ‘although competency-based curricula have been widely adopted on paper, implementing these changes can be challenging’ and, therefore ‘gradual</w:t>
      </w:r>
      <w:r w:rsidR="00BA0CC3">
        <w:rPr>
          <w:rFonts w:asciiTheme="majorHAnsi" w:hAnsiTheme="majorHAnsi" w:cstheme="majorHAnsi"/>
          <w:sz w:val="28"/>
          <w:szCs w:val="28"/>
        </w:rPr>
        <w:t xml:space="preserve">’ </w:t>
      </w:r>
      <w:r w:rsidRPr="00327B3A">
        <w:rPr>
          <w:rFonts w:asciiTheme="majorHAnsi" w:hAnsiTheme="majorHAnsi" w:cstheme="majorHAnsi"/>
          <w:sz w:val="28"/>
          <w:szCs w:val="28"/>
        </w:rPr>
        <w:t>rol</w:t>
      </w:r>
      <w:r w:rsidR="00BA0CC3">
        <w:rPr>
          <w:rFonts w:asciiTheme="majorHAnsi" w:hAnsiTheme="majorHAnsi" w:cstheme="majorHAnsi"/>
          <w:sz w:val="28"/>
          <w:szCs w:val="28"/>
        </w:rPr>
        <w:t>l-</w:t>
      </w:r>
      <w:r w:rsidRPr="00327B3A">
        <w:rPr>
          <w:rFonts w:asciiTheme="majorHAnsi" w:hAnsiTheme="majorHAnsi" w:cstheme="majorHAnsi"/>
          <w:sz w:val="28"/>
          <w:szCs w:val="28"/>
        </w:rPr>
        <w:t>out is required</w:t>
      </w:r>
      <w:r w:rsidR="005E4183" w:rsidRPr="00327B3A">
        <w:rPr>
          <w:rFonts w:asciiTheme="majorHAnsi" w:hAnsiTheme="majorHAnsi" w:cstheme="majorHAnsi"/>
          <w:sz w:val="28"/>
          <w:szCs w:val="28"/>
        </w:rPr>
        <w:t xml:space="preserve"> (p.</w:t>
      </w:r>
      <w:r w:rsidR="00BD4A5F">
        <w:rPr>
          <w:rFonts w:asciiTheme="majorHAnsi" w:hAnsiTheme="majorHAnsi" w:cstheme="majorHAnsi"/>
          <w:sz w:val="28"/>
          <w:szCs w:val="28"/>
        </w:rPr>
        <w:t>100</w:t>
      </w:r>
      <w:r w:rsidR="005E4183" w:rsidRPr="00327B3A">
        <w:rPr>
          <w:rFonts w:asciiTheme="majorHAnsi" w:hAnsiTheme="majorHAnsi" w:cstheme="majorHAnsi"/>
          <w:sz w:val="28"/>
          <w:szCs w:val="28"/>
        </w:rPr>
        <w:t>)</w:t>
      </w:r>
      <w:r w:rsidRPr="00327B3A">
        <w:rPr>
          <w:rFonts w:asciiTheme="majorHAnsi" w:hAnsiTheme="majorHAnsi" w:cstheme="majorHAnsi"/>
          <w:sz w:val="28"/>
          <w:szCs w:val="28"/>
        </w:rPr>
        <w:t>.</w:t>
      </w:r>
      <w:r w:rsidR="0072591E" w:rsidRPr="00327B3A">
        <w:rPr>
          <w:rFonts w:asciiTheme="majorHAnsi" w:hAnsiTheme="majorHAnsi" w:cstheme="majorHAnsi"/>
          <w:sz w:val="28"/>
          <w:szCs w:val="28"/>
        </w:rPr>
        <w:t xml:space="preserve"> </w:t>
      </w:r>
    </w:p>
    <w:p w:rsidR="00BC71C4" w:rsidRPr="00327B3A" w:rsidRDefault="005E4183" w:rsidP="0072591E">
      <w:pPr>
        <w:jc w:val="both"/>
        <w:rPr>
          <w:rFonts w:asciiTheme="majorHAnsi" w:hAnsiTheme="majorHAnsi" w:cstheme="majorHAnsi"/>
          <w:sz w:val="28"/>
          <w:szCs w:val="28"/>
        </w:rPr>
      </w:pPr>
      <w:r w:rsidRPr="00327B3A">
        <w:rPr>
          <w:rFonts w:asciiTheme="majorHAnsi" w:hAnsiTheme="majorHAnsi" w:cstheme="majorHAnsi"/>
          <w:sz w:val="28"/>
          <w:szCs w:val="28"/>
        </w:rPr>
        <w:t>For a variety of reasons, w</w:t>
      </w:r>
      <w:r w:rsidR="00447017" w:rsidRPr="00327B3A">
        <w:rPr>
          <w:rFonts w:asciiTheme="majorHAnsi" w:hAnsiTheme="majorHAnsi" w:cstheme="majorHAnsi"/>
          <w:sz w:val="28"/>
          <w:szCs w:val="28"/>
        </w:rPr>
        <w:t>idespread attempts</w:t>
      </w:r>
      <w:r w:rsidR="00095B4A" w:rsidRPr="00327B3A">
        <w:rPr>
          <w:rFonts w:asciiTheme="majorHAnsi" w:hAnsiTheme="majorHAnsi" w:cstheme="majorHAnsi"/>
          <w:sz w:val="28"/>
          <w:szCs w:val="28"/>
        </w:rPr>
        <w:t xml:space="preserve"> over the last 30 years </w:t>
      </w:r>
      <w:r w:rsidR="00BC71C4" w:rsidRPr="00327B3A">
        <w:rPr>
          <w:rFonts w:asciiTheme="majorHAnsi" w:hAnsiTheme="majorHAnsi" w:cstheme="majorHAnsi"/>
          <w:sz w:val="28"/>
          <w:szCs w:val="28"/>
        </w:rPr>
        <w:t>to ‘switch-over’ to new learner-centred</w:t>
      </w:r>
      <w:r w:rsidR="004F39AB" w:rsidRPr="00327B3A">
        <w:rPr>
          <w:rFonts w:asciiTheme="majorHAnsi" w:hAnsiTheme="majorHAnsi" w:cstheme="majorHAnsi"/>
          <w:sz w:val="28"/>
          <w:szCs w:val="28"/>
        </w:rPr>
        <w:t xml:space="preserve"> curricula have been </w:t>
      </w:r>
      <w:r w:rsidR="00447017" w:rsidRPr="00327B3A">
        <w:rPr>
          <w:rFonts w:asciiTheme="majorHAnsi" w:hAnsiTheme="majorHAnsi" w:cstheme="majorHAnsi"/>
          <w:sz w:val="28"/>
          <w:szCs w:val="28"/>
        </w:rPr>
        <w:t xml:space="preserve">largely </w:t>
      </w:r>
      <w:r w:rsidR="004F39AB" w:rsidRPr="00327B3A">
        <w:rPr>
          <w:rFonts w:asciiTheme="majorHAnsi" w:hAnsiTheme="majorHAnsi" w:cstheme="majorHAnsi"/>
          <w:sz w:val="28"/>
          <w:szCs w:val="28"/>
        </w:rPr>
        <w:t xml:space="preserve">ineffective </w:t>
      </w:r>
      <w:r w:rsidRPr="00327B3A">
        <w:rPr>
          <w:rFonts w:asciiTheme="majorHAnsi" w:hAnsiTheme="majorHAnsi" w:cstheme="majorHAnsi"/>
          <w:sz w:val="28"/>
          <w:szCs w:val="28"/>
        </w:rPr>
        <w:t>in SSA</w:t>
      </w:r>
      <w:r w:rsidR="00BA0CC3">
        <w:rPr>
          <w:rFonts w:asciiTheme="majorHAnsi" w:hAnsiTheme="majorHAnsi" w:cstheme="majorHAnsi"/>
          <w:sz w:val="28"/>
          <w:szCs w:val="28"/>
        </w:rPr>
        <w:t xml:space="preserve"> for three main reasons</w:t>
      </w:r>
      <w:r w:rsidR="004F39AB" w:rsidRPr="00327B3A">
        <w:rPr>
          <w:rFonts w:asciiTheme="majorHAnsi" w:hAnsiTheme="majorHAnsi" w:cstheme="majorHAnsi"/>
          <w:sz w:val="28"/>
          <w:szCs w:val="28"/>
        </w:rPr>
        <w:t xml:space="preserve">. </w:t>
      </w:r>
      <w:r w:rsidR="00BA0CC3">
        <w:rPr>
          <w:rFonts w:asciiTheme="majorHAnsi" w:hAnsiTheme="majorHAnsi" w:cstheme="majorHAnsi"/>
          <w:sz w:val="28"/>
          <w:szCs w:val="28"/>
        </w:rPr>
        <w:t>Firstly</w:t>
      </w:r>
      <w:r w:rsidRPr="00327B3A">
        <w:rPr>
          <w:rFonts w:asciiTheme="majorHAnsi" w:hAnsiTheme="majorHAnsi" w:cstheme="majorHAnsi"/>
          <w:sz w:val="28"/>
          <w:szCs w:val="28"/>
        </w:rPr>
        <w:t xml:space="preserve">, </w:t>
      </w:r>
      <w:r w:rsidR="004F39AB" w:rsidRPr="00327B3A">
        <w:rPr>
          <w:rFonts w:asciiTheme="majorHAnsi" w:hAnsiTheme="majorHAnsi" w:cstheme="majorHAnsi"/>
          <w:sz w:val="28"/>
          <w:szCs w:val="28"/>
        </w:rPr>
        <w:t xml:space="preserve">the overall commitment for </w:t>
      </w:r>
      <w:r w:rsidRPr="00327B3A">
        <w:rPr>
          <w:rFonts w:asciiTheme="majorHAnsi" w:hAnsiTheme="majorHAnsi" w:cstheme="majorHAnsi"/>
          <w:sz w:val="28"/>
          <w:szCs w:val="28"/>
        </w:rPr>
        <w:t xml:space="preserve">such </w:t>
      </w:r>
      <w:r w:rsidR="004F39AB" w:rsidRPr="00327B3A">
        <w:rPr>
          <w:rFonts w:asciiTheme="majorHAnsi" w:hAnsiTheme="majorHAnsi" w:cstheme="majorHAnsi"/>
          <w:sz w:val="28"/>
          <w:szCs w:val="28"/>
        </w:rPr>
        <w:t xml:space="preserve">change by teachers, school management, and parents </w:t>
      </w:r>
      <w:r w:rsidRPr="00327B3A">
        <w:rPr>
          <w:rFonts w:asciiTheme="majorHAnsi" w:hAnsiTheme="majorHAnsi" w:cstheme="majorHAnsi"/>
          <w:sz w:val="28"/>
          <w:szCs w:val="28"/>
        </w:rPr>
        <w:t xml:space="preserve">has been and continues to be </w:t>
      </w:r>
      <w:r w:rsidR="004F39AB" w:rsidRPr="00327B3A">
        <w:rPr>
          <w:rFonts w:asciiTheme="majorHAnsi" w:hAnsiTheme="majorHAnsi" w:cstheme="majorHAnsi"/>
          <w:sz w:val="28"/>
          <w:szCs w:val="28"/>
        </w:rPr>
        <w:t xml:space="preserve">limited. </w:t>
      </w:r>
      <w:r w:rsidR="00BA0CC3">
        <w:rPr>
          <w:rFonts w:asciiTheme="majorHAnsi" w:hAnsiTheme="majorHAnsi" w:cstheme="majorHAnsi"/>
          <w:sz w:val="28"/>
          <w:szCs w:val="28"/>
        </w:rPr>
        <w:t>And secondly, c</w:t>
      </w:r>
      <w:r w:rsidR="004F39AB" w:rsidRPr="00327B3A">
        <w:rPr>
          <w:rFonts w:asciiTheme="majorHAnsi" w:hAnsiTheme="majorHAnsi" w:cstheme="majorHAnsi"/>
          <w:sz w:val="28"/>
          <w:szCs w:val="28"/>
        </w:rPr>
        <w:t>lass sizes</w:t>
      </w:r>
      <w:r w:rsidR="00095B4A" w:rsidRPr="00327B3A">
        <w:rPr>
          <w:rFonts w:asciiTheme="majorHAnsi" w:hAnsiTheme="majorHAnsi" w:cstheme="majorHAnsi"/>
          <w:sz w:val="28"/>
          <w:szCs w:val="28"/>
        </w:rPr>
        <w:t>, especially in urban areas,</w:t>
      </w:r>
      <w:r w:rsidR="004F39AB" w:rsidRPr="00327B3A">
        <w:rPr>
          <w:rFonts w:asciiTheme="majorHAnsi" w:hAnsiTheme="majorHAnsi" w:cstheme="majorHAnsi"/>
          <w:sz w:val="28"/>
          <w:szCs w:val="28"/>
        </w:rPr>
        <w:t xml:space="preserve"> are too large for learner-centred group work approaches to be practicable</w:t>
      </w:r>
      <w:r w:rsidR="00BA0CC3">
        <w:rPr>
          <w:rFonts w:asciiTheme="majorHAnsi" w:hAnsiTheme="majorHAnsi" w:cstheme="majorHAnsi"/>
          <w:sz w:val="28"/>
          <w:szCs w:val="28"/>
        </w:rPr>
        <w:t xml:space="preserve">. And thirdly, </w:t>
      </w:r>
      <w:r w:rsidR="004F39AB" w:rsidRPr="00327B3A">
        <w:rPr>
          <w:rFonts w:asciiTheme="majorHAnsi" w:hAnsiTheme="majorHAnsi" w:cstheme="majorHAnsi"/>
          <w:sz w:val="28"/>
          <w:szCs w:val="28"/>
        </w:rPr>
        <w:t xml:space="preserve">teachers </w:t>
      </w:r>
      <w:r w:rsidR="00BA0CC3">
        <w:rPr>
          <w:rFonts w:asciiTheme="majorHAnsi" w:hAnsiTheme="majorHAnsi" w:cstheme="majorHAnsi"/>
          <w:sz w:val="28"/>
          <w:szCs w:val="28"/>
        </w:rPr>
        <w:t xml:space="preserve">are not </w:t>
      </w:r>
      <w:r w:rsidR="004F39AB" w:rsidRPr="00327B3A">
        <w:rPr>
          <w:rFonts w:asciiTheme="majorHAnsi" w:hAnsiTheme="majorHAnsi" w:cstheme="majorHAnsi"/>
          <w:sz w:val="28"/>
          <w:szCs w:val="28"/>
        </w:rPr>
        <w:t xml:space="preserve">sufficiently </w:t>
      </w:r>
      <w:r w:rsidR="00BA0CC3">
        <w:rPr>
          <w:rFonts w:asciiTheme="majorHAnsi" w:hAnsiTheme="majorHAnsi" w:cstheme="majorHAnsi"/>
          <w:sz w:val="28"/>
          <w:szCs w:val="28"/>
        </w:rPr>
        <w:t xml:space="preserve">well prepared </w:t>
      </w:r>
      <w:r w:rsidR="004F39AB" w:rsidRPr="00327B3A">
        <w:rPr>
          <w:rFonts w:asciiTheme="majorHAnsi" w:hAnsiTheme="majorHAnsi" w:cstheme="majorHAnsi"/>
          <w:sz w:val="28"/>
          <w:szCs w:val="28"/>
        </w:rPr>
        <w:t xml:space="preserve">to adopt more complex and demanding pedagogies. Given the deeply entrenched conservativeness and highly competitive nature </w:t>
      </w:r>
      <w:r w:rsidR="00A32FA1" w:rsidRPr="00327B3A">
        <w:rPr>
          <w:rFonts w:asciiTheme="majorHAnsi" w:hAnsiTheme="majorHAnsi" w:cstheme="majorHAnsi"/>
          <w:sz w:val="28"/>
          <w:szCs w:val="28"/>
        </w:rPr>
        <w:t xml:space="preserve">of </w:t>
      </w:r>
      <w:r w:rsidR="004F39AB" w:rsidRPr="00327B3A">
        <w:rPr>
          <w:rFonts w:asciiTheme="majorHAnsi" w:hAnsiTheme="majorHAnsi" w:cstheme="majorHAnsi"/>
          <w:sz w:val="28"/>
          <w:szCs w:val="28"/>
        </w:rPr>
        <w:lastRenderedPageBreak/>
        <w:t>school systems in SSA, this again highlights the limited room for manoeuvre</w:t>
      </w:r>
      <w:r w:rsidR="001345D4" w:rsidRPr="00327B3A">
        <w:rPr>
          <w:rFonts w:asciiTheme="majorHAnsi" w:hAnsiTheme="majorHAnsi" w:cstheme="majorHAnsi"/>
          <w:sz w:val="28"/>
          <w:szCs w:val="28"/>
        </w:rPr>
        <w:t xml:space="preserve"> with regard to most </w:t>
      </w:r>
      <w:r w:rsidR="00447017" w:rsidRPr="00327B3A">
        <w:rPr>
          <w:rFonts w:asciiTheme="majorHAnsi" w:hAnsiTheme="majorHAnsi" w:cstheme="majorHAnsi"/>
          <w:sz w:val="28"/>
          <w:szCs w:val="28"/>
        </w:rPr>
        <w:t xml:space="preserve">of the Report’s </w:t>
      </w:r>
      <w:r w:rsidR="001345D4" w:rsidRPr="00327B3A">
        <w:rPr>
          <w:rFonts w:asciiTheme="majorHAnsi" w:hAnsiTheme="majorHAnsi" w:cstheme="majorHAnsi"/>
          <w:sz w:val="28"/>
          <w:szCs w:val="28"/>
        </w:rPr>
        <w:t>proposed reforms.</w:t>
      </w:r>
      <w:r w:rsidR="004F39AB" w:rsidRPr="00327B3A">
        <w:rPr>
          <w:rFonts w:asciiTheme="majorHAnsi" w:hAnsiTheme="majorHAnsi" w:cstheme="majorHAnsi"/>
          <w:sz w:val="28"/>
          <w:szCs w:val="28"/>
        </w:rPr>
        <w:t xml:space="preserve">       </w:t>
      </w:r>
      <w:r w:rsidR="00BC71C4" w:rsidRPr="00327B3A">
        <w:rPr>
          <w:rFonts w:asciiTheme="majorHAnsi" w:hAnsiTheme="majorHAnsi" w:cstheme="majorHAnsi"/>
          <w:sz w:val="28"/>
          <w:szCs w:val="28"/>
        </w:rPr>
        <w:t xml:space="preserve"> </w:t>
      </w:r>
    </w:p>
    <w:p w:rsidR="001345D4" w:rsidRPr="00327B3A" w:rsidRDefault="001345D4" w:rsidP="001345D4">
      <w:pPr>
        <w:jc w:val="both"/>
        <w:rPr>
          <w:rFonts w:asciiTheme="majorHAnsi" w:hAnsiTheme="majorHAnsi" w:cstheme="majorHAnsi"/>
          <w:i/>
          <w:sz w:val="28"/>
          <w:szCs w:val="28"/>
        </w:rPr>
      </w:pPr>
      <w:r w:rsidRPr="00327B3A">
        <w:rPr>
          <w:rFonts w:asciiTheme="majorHAnsi" w:hAnsiTheme="majorHAnsi" w:cstheme="majorHAnsi"/>
          <w:i/>
          <w:sz w:val="28"/>
          <w:szCs w:val="28"/>
        </w:rPr>
        <w:t>Assessment</w:t>
      </w:r>
    </w:p>
    <w:p w:rsidR="001345D4" w:rsidRPr="00327B3A" w:rsidRDefault="00095B4A" w:rsidP="001345D4">
      <w:pPr>
        <w:jc w:val="both"/>
        <w:rPr>
          <w:rFonts w:asciiTheme="majorHAnsi" w:hAnsiTheme="majorHAnsi" w:cstheme="majorHAnsi"/>
          <w:sz w:val="28"/>
          <w:szCs w:val="28"/>
        </w:rPr>
      </w:pPr>
      <w:r w:rsidRPr="00327B3A">
        <w:rPr>
          <w:rFonts w:asciiTheme="majorHAnsi" w:hAnsiTheme="majorHAnsi" w:cstheme="majorHAnsi"/>
          <w:sz w:val="28"/>
          <w:szCs w:val="28"/>
        </w:rPr>
        <w:t>The p</w:t>
      </w:r>
      <w:r w:rsidR="001345D4" w:rsidRPr="00327B3A">
        <w:rPr>
          <w:rFonts w:asciiTheme="majorHAnsi" w:hAnsiTheme="majorHAnsi" w:cstheme="majorHAnsi"/>
          <w:sz w:val="28"/>
          <w:szCs w:val="28"/>
        </w:rPr>
        <w:t xml:space="preserve">roposed replacement of high-stakes </w:t>
      </w:r>
      <w:r w:rsidRPr="00327B3A">
        <w:rPr>
          <w:rFonts w:asciiTheme="majorHAnsi" w:hAnsiTheme="majorHAnsi" w:cstheme="majorHAnsi"/>
          <w:sz w:val="28"/>
          <w:szCs w:val="28"/>
        </w:rPr>
        <w:t xml:space="preserve">terminal </w:t>
      </w:r>
      <w:r w:rsidR="001345D4" w:rsidRPr="00327B3A">
        <w:rPr>
          <w:rFonts w:asciiTheme="majorHAnsi" w:hAnsiTheme="majorHAnsi" w:cstheme="majorHAnsi"/>
          <w:sz w:val="28"/>
          <w:szCs w:val="28"/>
        </w:rPr>
        <w:t xml:space="preserve">examinations with continuous assessment </w:t>
      </w:r>
      <w:r w:rsidR="005E4183" w:rsidRPr="00327B3A">
        <w:rPr>
          <w:rFonts w:asciiTheme="majorHAnsi" w:hAnsiTheme="majorHAnsi" w:cstheme="majorHAnsi"/>
          <w:sz w:val="28"/>
          <w:szCs w:val="28"/>
        </w:rPr>
        <w:t xml:space="preserve">is </w:t>
      </w:r>
      <w:r w:rsidR="001345D4" w:rsidRPr="00327B3A">
        <w:rPr>
          <w:rFonts w:asciiTheme="majorHAnsi" w:hAnsiTheme="majorHAnsi" w:cstheme="majorHAnsi"/>
          <w:sz w:val="28"/>
          <w:szCs w:val="28"/>
        </w:rPr>
        <w:t>unrealistic in the context of highly competitive secondary schooling system</w:t>
      </w:r>
      <w:r w:rsidR="005E4183" w:rsidRPr="00327B3A">
        <w:rPr>
          <w:rFonts w:asciiTheme="majorHAnsi" w:hAnsiTheme="majorHAnsi" w:cstheme="majorHAnsi"/>
          <w:sz w:val="28"/>
          <w:szCs w:val="28"/>
        </w:rPr>
        <w:t>s</w:t>
      </w:r>
      <w:r w:rsidR="001345D4" w:rsidRPr="00327B3A">
        <w:rPr>
          <w:rFonts w:asciiTheme="majorHAnsi" w:hAnsiTheme="majorHAnsi" w:cstheme="majorHAnsi"/>
          <w:sz w:val="28"/>
          <w:szCs w:val="28"/>
        </w:rPr>
        <w:t xml:space="preserve"> </w:t>
      </w:r>
      <w:r w:rsidR="005E4183" w:rsidRPr="00327B3A">
        <w:rPr>
          <w:rFonts w:asciiTheme="majorHAnsi" w:hAnsiTheme="majorHAnsi" w:cstheme="majorHAnsi"/>
          <w:sz w:val="28"/>
          <w:szCs w:val="28"/>
        </w:rPr>
        <w:t xml:space="preserve">in SSA </w:t>
      </w:r>
      <w:r w:rsidR="001345D4" w:rsidRPr="00327B3A">
        <w:rPr>
          <w:rFonts w:asciiTheme="majorHAnsi" w:hAnsiTheme="majorHAnsi" w:cstheme="majorHAnsi"/>
          <w:sz w:val="28"/>
          <w:szCs w:val="28"/>
        </w:rPr>
        <w:t>which</w:t>
      </w:r>
      <w:r w:rsidR="0097263B" w:rsidRPr="00327B3A">
        <w:rPr>
          <w:rFonts w:asciiTheme="majorHAnsi" w:hAnsiTheme="majorHAnsi" w:cstheme="majorHAnsi"/>
          <w:sz w:val="28"/>
          <w:szCs w:val="28"/>
        </w:rPr>
        <w:t xml:space="preserve">, as discussed earlier, </w:t>
      </w:r>
      <w:r w:rsidR="001345D4" w:rsidRPr="00327B3A">
        <w:rPr>
          <w:rFonts w:asciiTheme="majorHAnsi" w:hAnsiTheme="majorHAnsi" w:cstheme="majorHAnsi"/>
          <w:sz w:val="28"/>
          <w:szCs w:val="28"/>
        </w:rPr>
        <w:t xml:space="preserve">play the </w:t>
      </w:r>
      <w:r w:rsidR="005E4183" w:rsidRPr="00327B3A">
        <w:rPr>
          <w:rFonts w:asciiTheme="majorHAnsi" w:hAnsiTheme="majorHAnsi" w:cstheme="majorHAnsi"/>
          <w:sz w:val="28"/>
          <w:szCs w:val="28"/>
        </w:rPr>
        <w:t xml:space="preserve">central </w:t>
      </w:r>
      <w:r w:rsidR="001345D4" w:rsidRPr="00327B3A">
        <w:rPr>
          <w:rFonts w:asciiTheme="majorHAnsi" w:hAnsiTheme="majorHAnsi" w:cstheme="majorHAnsi"/>
          <w:sz w:val="28"/>
          <w:szCs w:val="28"/>
        </w:rPr>
        <w:t xml:space="preserve">sorting role with regard to progression </w:t>
      </w:r>
      <w:r w:rsidRPr="00327B3A">
        <w:rPr>
          <w:rFonts w:asciiTheme="majorHAnsi" w:hAnsiTheme="majorHAnsi" w:cstheme="majorHAnsi"/>
          <w:sz w:val="28"/>
          <w:szCs w:val="28"/>
        </w:rPr>
        <w:t>to</w:t>
      </w:r>
      <w:r w:rsidR="001345D4" w:rsidRPr="00327B3A">
        <w:rPr>
          <w:rFonts w:asciiTheme="majorHAnsi" w:hAnsiTheme="majorHAnsi" w:cstheme="majorHAnsi"/>
          <w:sz w:val="28"/>
          <w:szCs w:val="28"/>
        </w:rPr>
        <w:t xml:space="preserve"> post-secondary education and training and where reported levels of corruption and cheating are high</w:t>
      </w:r>
      <w:r w:rsidRPr="00327B3A">
        <w:rPr>
          <w:rFonts w:asciiTheme="majorHAnsi" w:hAnsiTheme="majorHAnsi" w:cstheme="majorHAnsi"/>
          <w:sz w:val="28"/>
          <w:szCs w:val="28"/>
        </w:rPr>
        <w:t xml:space="preserve"> in many countries</w:t>
      </w:r>
      <w:r w:rsidR="001345D4" w:rsidRPr="00327B3A">
        <w:rPr>
          <w:rFonts w:asciiTheme="majorHAnsi" w:hAnsiTheme="majorHAnsi" w:cstheme="majorHAnsi"/>
          <w:sz w:val="28"/>
          <w:szCs w:val="28"/>
        </w:rPr>
        <w:t>.</w:t>
      </w:r>
      <w:r w:rsidRPr="00327B3A">
        <w:rPr>
          <w:rFonts w:asciiTheme="majorHAnsi" w:hAnsiTheme="majorHAnsi" w:cstheme="majorHAnsi"/>
          <w:sz w:val="28"/>
          <w:szCs w:val="28"/>
        </w:rPr>
        <w:t xml:space="preserve"> </w:t>
      </w:r>
      <w:r w:rsidR="0097263B" w:rsidRPr="00327B3A">
        <w:rPr>
          <w:rFonts w:asciiTheme="majorHAnsi" w:hAnsiTheme="majorHAnsi" w:cstheme="majorHAnsi"/>
          <w:sz w:val="28"/>
          <w:szCs w:val="28"/>
        </w:rPr>
        <w:t>C</w:t>
      </w:r>
      <w:r w:rsidRPr="00327B3A">
        <w:rPr>
          <w:rFonts w:asciiTheme="majorHAnsi" w:hAnsiTheme="majorHAnsi" w:cstheme="majorHAnsi"/>
          <w:sz w:val="28"/>
          <w:szCs w:val="28"/>
        </w:rPr>
        <w:t xml:space="preserve">ontinuous assessment calls for a further </w:t>
      </w:r>
      <w:r w:rsidR="001345D4" w:rsidRPr="00327B3A">
        <w:rPr>
          <w:rFonts w:asciiTheme="majorHAnsi" w:hAnsiTheme="majorHAnsi" w:cstheme="majorHAnsi"/>
          <w:sz w:val="28"/>
          <w:szCs w:val="28"/>
        </w:rPr>
        <w:t xml:space="preserve">intensification of teacher </w:t>
      </w:r>
      <w:r w:rsidRPr="00327B3A">
        <w:rPr>
          <w:rFonts w:asciiTheme="majorHAnsi" w:hAnsiTheme="majorHAnsi" w:cstheme="majorHAnsi"/>
          <w:sz w:val="28"/>
          <w:szCs w:val="28"/>
        </w:rPr>
        <w:t xml:space="preserve">effort </w:t>
      </w:r>
      <w:r w:rsidR="001345D4" w:rsidRPr="00327B3A">
        <w:rPr>
          <w:rFonts w:asciiTheme="majorHAnsi" w:hAnsiTheme="majorHAnsi" w:cstheme="majorHAnsi"/>
          <w:sz w:val="28"/>
          <w:szCs w:val="28"/>
        </w:rPr>
        <w:t>both in terms of both time and task complexity</w:t>
      </w:r>
      <w:r w:rsidRPr="00327B3A">
        <w:rPr>
          <w:rFonts w:asciiTheme="majorHAnsi" w:hAnsiTheme="majorHAnsi" w:cstheme="majorHAnsi"/>
          <w:sz w:val="28"/>
          <w:szCs w:val="28"/>
        </w:rPr>
        <w:t xml:space="preserve">, which </w:t>
      </w:r>
      <w:r w:rsidR="0097263B" w:rsidRPr="00327B3A">
        <w:rPr>
          <w:rFonts w:asciiTheme="majorHAnsi" w:hAnsiTheme="majorHAnsi" w:cstheme="majorHAnsi"/>
          <w:sz w:val="28"/>
          <w:szCs w:val="28"/>
        </w:rPr>
        <w:t xml:space="preserve">has been </w:t>
      </w:r>
      <w:r w:rsidRPr="00327B3A">
        <w:rPr>
          <w:rFonts w:asciiTheme="majorHAnsi" w:hAnsiTheme="majorHAnsi" w:cstheme="majorHAnsi"/>
          <w:sz w:val="28"/>
          <w:szCs w:val="28"/>
        </w:rPr>
        <w:t>resisted by both teachers and teacher unions</w:t>
      </w:r>
      <w:r w:rsidR="001345D4" w:rsidRPr="00327B3A">
        <w:rPr>
          <w:rFonts w:asciiTheme="majorHAnsi" w:hAnsiTheme="majorHAnsi" w:cstheme="majorHAnsi"/>
          <w:sz w:val="28"/>
          <w:szCs w:val="28"/>
        </w:rPr>
        <w:t xml:space="preserve">. </w:t>
      </w:r>
    </w:p>
    <w:p w:rsidR="0072591E" w:rsidRPr="00327B3A" w:rsidRDefault="0072591E" w:rsidP="0072591E">
      <w:pPr>
        <w:jc w:val="both"/>
        <w:rPr>
          <w:rFonts w:asciiTheme="majorHAnsi" w:hAnsiTheme="majorHAnsi" w:cstheme="majorHAnsi"/>
          <w:i/>
          <w:sz w:val="28"/>
          <w:szCs w:val="28"/>
        </w:rPr>
      </w:pPr>
      <w:r w:rsidRPr="00327B3A">
        <w:rPr>
          <w:rFonts w:asciiTheme="majorHAnsi" w:hAnsiTheme="majorHAnsi" w:cstheme="majorHAnsi"/>
          <w:i/>
          <w:sz w:val="28"/>
          <w:szCs w:val="28"/>
        </w:rPr>
        <w:t>Teachers</w:t>
      </w:r>
    </w:p>
    <w:p w:rsidR="0072591E" w:rsidRPr="00327B3A" w:rsidRDefault="0072591E" w:rsidP="0072591E">
      <w:pPr>
        <w:jc w:val="both"/>
        <w:rPr>
          <w:rFonts w:asciiTheme="majorHAnsi" w:hAnsiTheme="majorHAnsi" w:cstheme="majorHAnsi"/>
          <w:sz w:val="28"/>
          <w:szCs w:val="28"/>
        </w:rPr>
      </w:pPr>
      <w:r w:rsidRPr="00327B3A">
        <w:rPr>
          <w:rFonts w:asciiTheme="majorHAnsi" w:hAnsiTheme="majorHAnsi" w:cstheme="majorHAnsi"/>
          <w:sz w:val="28"/>
          <w:szCs w:val="28"/>
        </w:rPr>
        <w:t xml:space="preserve">The Report recognises that the success of its </w:t>
      </w:r>
      <w:r w:rsidR="00447017" w:rsidRPr="00327B3A">
        <w:rPr>
          <w:rFonts w:asciiTheme="majorHAnsi" w:hAnsiTheme="majorHAnsi" w:cstheme="majorHAnsi"/>
          <w:sz w:val="28"/>
          <w:szCs w:val="28"/>
        </w:rPr>
        <w:t xml:space="preserve">proposed </w:t>
      </w:r>
      <w:r w:rsidRPr="00327B3A">
        <w:rPr>
          <w:rFonts w:asciiTheme="majorHAnsi" w:hAnsiTheme="majorHAnsi" w:cstheme="majorHAnsi"/>
          <w:sz w:val="28"/>
          <w:szCs w:val="28"/>
        </w:rPr>
        <w:t xml:space="preserve">USE strategy is dependent on the availability of </w:t>
      </w:r>
      <w:r w:rsidR="00BA0CC3">
        <w:rPr>
          <w:rFonts w:asciiTheme="majorHAnsi" w:hAnsiTheme="majorHAnsi" w:cstheme="majorHAnsi"/>
          <w:sz w:val="28"/>
          <w:szCs w:val="28"/>
        </w:rPr>
        <w:t xml:space="preserve">adequate </w:t>
      </w:r>
      <w:r w:rsidRPr="00327B3A">
        <w:rPr>
          <w:rFonts w:asciiTheme="majorHAnsi" w:hAnsiTheme="majorHAnsi" w:cstheme="majorHAnsi"/>
          <w:sz w:val="28"/>
          <w:szCs w:val="28"/>
        </w:rPr>
        <w:t>numbers of competent and committed female and male teachers. In common with other continent</w:t>
      </w:r>
      <w:r w:rsidR="00BA0CC3">
        <w:rPr>
          <w:rFonts w:asciiTheme="majorHAnsi" w:hAnsiTheme="majorHAnsi" w:cstheme="majorHAnsi"/>
          <w:sz w:val="28"/>
          <w:szCs w:val="28"/>
        </w:rPr>
        <w:t>-wide</w:t>
      </w:r>
      <w:r w:rsidRPr="00327B3A">
        <w:rPr>
          <w:rFonts w:asciiTheme="majorHAnsi" w:hAnsiTheme="majorHAnsi" w:cstheme="majorHAnsi"/>
          <w:sz w:val="28"/>
          <w:szCs w:val="28"/>
        </w:rPr>
        <w:t xml:space="preserve"> and national reviews of </w:t>
      </w:r>
      <w:r w:rsidR="000E1134" w:rsidRPr="00327B3A">
        <w:rPr>
          <w:rFonts w:asciiTheme="majorHAnsi" w:hAnsiTheme="majorHAnsi" w:cstheme="majorHAnsi"/>
          <w:sz w:val="28"/>
          <w:szCs w:val="28"/>
        </w:rPr>
        <w:t>secondary education</w:t>
      </w:r>
      <w:r w:rsidRPr="00327B3A">
        <w:rPr>
          <w:rFonts w:asciiTheme="majorHAnsi" w:hAnsiTheme="majorHAnsi" w:cstheme="majorHAnsi"/>
          <w:sz w:val="28"/>
          <w:szCs w:val="28"/>
        </w:rPr>
        <w:t xml:space="preserve">, many of the key recommendations directly affect teachers. The </w:t>
      </w:r>
      <w:r w:rsidR="006D4C35" w:rsidRPr="00327B3A">
        <w:rPr>
          <w:rFonts w:asciiTheme="majorHAnsi" w:hAnsiTheme="majorHAnsi" w:cstheme="majorHAnsi"/>
          <w:sz w:val="28"/>
          <w:szCs w:val="28"/>
        </w:rPr>
        <w:t>Report’s calls for ‘a huge expansion’ in teacher recruitment and training (with an additional 10.8 million teachers in schools by 2030)</w:t>
      </w:r>
      <w:r w:rsidR="00BA0CC3">
        <w:rPr>
          <w:rFonts w:asciiTheme="majorHAnsi" w:hAnsiTheme="majorHAnsi" w:cstheme="majorHAnsi"/>
          <w:sz w:val="28"/>
          <w:szCs w:val="28"/>
        </w:rPr>
        <w:t xml:space="preserve"> </w:t>
      </w:r>
      <w:r w:rsidR="006D4C35" w:rsidRPr="00327B3A">
        <w:rPr>
          <w:rFonts w:asciiTheme="majorHAnsi" w:hAnsiTheme="majorHAnsi" w:cstheme="majorHAnsi"/>
          <w:sz w:val="28"/>
          <w:szCs w:val="28"/>
        </w:rPr>
        <w:t xml:space="preserve">‘while also improving teacher’ working conditions to attract good-quality entrants and reduce attrition’ (p.25). In order to improve teacher efficiency, </w:t>
      </w:r>
      <w:r w:rsidR="0097263B" w:rsidRPr="00327B3A">
        <w:rPr>
          <w:rFonts w:asciiTheme="majorHAnsi" w:hAnsiTheme="majorHAnsi" w:cstheme="majorHAnsi"/>
          <w:sz w:val="28"/>
          <w:szCs w:val="28"/>
        </w:rPr>
        <w:t xml:space="preserve">the Report </w:t>
      </w:r>
      <w:r w:rsidR="00BA0CC3">
        <w:rPr>
          <w:rFonts w:asciiTheme="majorHAnsi" w:hAnsiTheme="majorHAnsi" w:cstheme="majorHAnsi"/>
          <w:sz w:val="28"/>
          <w:szCs w:val="28"/>
        </w:rPr>
        <w:t xml:space="preserve">recommends </w:t>
      </w:r>
      <w:r w:rsidR="0097263B" w:rsidRPr="00327B3A">
        <w:rPr>
          <w:rFonts w:asciiTheme="majorHAnsi" w:hAnsiTheme="majorHAnsi" w:cstheme="majorHAnsi"/>
          <w:sz w:val="28"/>
          <w:szCs w:val="28"/>
        </w:rPr>
        <w:t xml:space="preserve">that </w:t>
      </w:r>
      <w:r w:rsidR="006D4C35" w:rsidRPr="00327B3A">
        <w:rPr>
          <w:rFonts w:asciiTheme="majorHAnsi" w:hAnsiTheme="majorHAnsi" w:cstheme="majorHAnsi"/>
          <w:sz w:val="28"/>
          <w:szCs w:val="28"/>
        </w:rPr>
        <w:t xml:space="preserve">concerted efforts should </w:t>
      </w:r>
      <w:r w:rsidR="00447017" w:rsidRPr="00327B3A">
        <w:rPr>
          <w:rFonts w:asciiTheme="majorHAnsi" w:hAnsiTheme="majorHAnsi" w:cstheme="majorHAnsi"/>
          <w:sz w:val="28"/>
          <w:szCs w:val="28"/>
        </w:rPr>
        <w:t xml:space="preserve">also </w:t>
      </w:r>
      <w:r w:rsidR="006D4C35" w:rsidRPr="00327B3A">
        <w:rPr>
          <w:rFonts w:asciiTheme="majorHAnsi" w:hAnsiTheme="majorHAnsi" w:cstheme="majorHAnsi"/>
          <w:sz w:val="28"/>
          <w:szCs w:val="28"/>
        </w:rPr>
        <w:t xml:space="preserve">be made to increase teacher-stream ratios, ensure more equitable teacher deployment and reduce teacher absenteeism. </w:t>
      </w:r>
    </w:p>
    <w:p w:rsidR="001D058D" w:rsidRPr="00327B3A" w:rsidRDefault="001D058D" w:rsidP="0072591E">
      <w:pPr>
        <w:jc w:val="both"/>
        <w:rPr>
          <w:rFonts w:asciiTheme="majorHAnsi" w:hAnsiTheme="majorHAnsi" w:cstheme="majorHAnsi"/>
          <w:sz w:val="28"/>
          <w:szCs w:val="28"/>
        </w:rPr>
      </w:pPr>
      <w:r w:rsidRPr="00327B3A">
        <w:rPr>
          <w:rFonts w:asciiTheme="majorHAnsi" w:hAnsiTheme="majorHAnsi" w:cstheme="majorHAnsi"/>
          <w:sz w:val="28"/>
          <w:szCs w:val="28"/>
        </w:rPr>
        <w:t>Given the centrality of teachers in the proposed reform process and schooling provision in general, a detailed situational analysis is required of all aspects of teacher recruitment, training, utilisation and job satisfaction and motivation. The report merely notes that ‘the world’s best education systems have succeeded in making teaching a high status profession… By contrast, many African education systems struggle to attract well-qualified candidates in to a profession that has declined in status and relative pay in recent years’ (p.121).</w:t>
      </w:r>
    </w:p>
    <w:p w:rsidR="00E11630" w:rsidRPr="00327B3A" w:rsidRDefault="00DA669C" w:rsidP="00E11630">
      <w:pPr>
        <w:jc w:val="both"/>
        <w:rPr>
          <w:rFonts w:asciiTheme="majorHAnsi" w:hAnsiTheme="majorHAnsi" w:cstheme="majorHAnsi"/>
          <w:sz w:val="28"/>
          <w:szCs w:val="28"/>
        </w:rPr>
      </w:pPr>
      <w:r w:rsidRPr="00327B3A">
        <w:rPr>
          <w:rFonts w:asciiTheme="majorHAnsi" w:hAnsiTheme="majorHAnsi" w:cstheme="majorHAnsi"/>
          <w:sz w:val="28"/>
          <w:szCs w:val="28"/>
        </w:rPr>
        <w:t xml:space="preserve">The stark reality is that there is no immediate likelihood of the </w:t>
      </w:r>
      <w:r w:rsidR="00640AF3">
        <w:rPr>
          <w:rFonts w:asciiTheme="majorHAnsi" w:hAnsiTheme="majorHAnsi" w:cstheme="majorHAnsi"/>
          <w:sz w:val="28"/>
          <w:szCs w:val="28"/>
        </w:rPr>
        <w:t xml:space="preserve">enormous </w:t>
      </w:r>
      <w:r w:rsidRPr="00327B3A">
        <w:rPr>
          <w:rFonts w:asciiTheme="majorHAnsi" w:hAnsiTheme="majorHAnsi" w:cstheme="majorHAnsi"/>
          <w:sz w:val="28"/>
          <w:szCs w:val="28"/>
        </w:rPr>
        <w:t xml:space="preserve">increase in funding that is needed </w:t>
      </w:r>
      <w:r w:rsidR="00640AF3">
        <w:rPr>
          <w:rFonts w:asciiTheme="majorHAnsi" w:hAnsiTheme="majorHAnsi" w:cstheme="majorHAnsi"/>
          <w:sz w:val="28"/>
          <w:szCs w:val="28"/>
        </w:rPr>
        <w:t xml:space="preserve">in order </w:t>
      </w:r>
      <w:r w:rsidRPr="00327B3A">
        <w:rPr>
          <w:rFonts w:asciiTheme="majorHAnsi" w:hAnsiTheme="majorHAnsi" w:cstheme="majorHAnsi"/>
          <w:sz w:val="28"/>
          <w:szCs w:val="28"/>
        </w:rPr>
        <w:t xml:space="preserve">to </w:t>
      </w:r>
      <w:r w:rsidR="00E11630" w:rsidRPr="00327B3A">
        <w:rPr>
          <w:rFonts w:asciiTheme="majorHAnsi" w:hAnsiTheme="majorHAnsi" w:cstheme="majorHAnsi"/>
          <w:sz w:val="28"/>
          <w:szCs w:val="28"/>
        </w:rPr>
        <w:t xml:space="preserve">meet the </w:t>
      </w:r>
      <w:r w:rsidRPr="00327B3A">
        <w:rPr>
          <w:rFonts w:asciiTheme="majorHAnsi" w:hAnsiTheme="majorHAnsi" w:cstheme="majorHAnsi"/>
          <w:sz w:val="28"/>
          <w:szCs w:val="28"/>
        </w:rPr>
        <w:t xml:space="preserve">projected </w:t>
      </w:r>
      <w:r w:rsidR="00E11630" w:rsidRPr="00327B3A">
        <w:rPr>
          <w:rFonts w:asciiTheme="majorHAnsi" w:hAnsiTheme="majorHAnsi" w:cstheme="majorHAnsi"/>
          <w:sz w:val="28"/>
          <w:szCs w:val="28"/>
        </w:rPr>
        <w:t xml:space="preserve">recruitment targets for </w:t>
      </w:r>
      <w:r w:rsidRPr="00327B3A">
        <w:rPr>
          <w:rFonts w:asciiTheme="majorHAnsi" w:hAnsiTheme="majorHAnsi" w:cstheme="majorHAnsi"/>
          <w:sz w:val="28"/>
          <w:szCs w:val="28"/>
        </w:rPr>
        <w:t>teachers</w:t>
      </w:r>
      <w:r w:rsidR="00E11630" w:rsidRPr="00327B3A">
        <w:rPr>
          <w:rFonts w:asciiTheme="majorHAnsi" w:hAnsiTheme="majorHAnsi" w:cstheme="majorHAnsi"/>
          <w:sz w:val="28"/>
          <w:szCs w:val="28"/>
        </w:rPr>
        <w:t xml:space="preserve"> (especially in priority shortage subjects)</w:t>
      </w:r>
      <w:r w:rsidRPr="00327B3A">
        <w:rPr>
          <w:rFonts w:asciiTheme="majorHAnsi" w:hAnsiTheme="majorHAnsi" w:cstheme="majorHAnsi"/>
          <w:sz w:val="28"/>
          <w:szCs w:val="28"/>
        </w:rPr>
        <w:t xml:space="preserve"> while</w:t>
      </w:r>
      <w:r w:rsidR="0097263B" w:rsidRPr="00327B3A">
        <w:rPr>
          <w:rFonts w:asciiTheme="majorHAnsi" w:hAnsiTheme="majorHAnsi" w:cstheme="majorHAnsi"/>
          <w:sz w:val="28"/>
          <w:szCs w:val="28"/>
        </w:rPr>
        <w:t>,</w:t>
      </w:r>
      <w:r w:rsidRPr="00327B3A">
        <w:rPr>
          <w:rFonts w:asciiTheme="majorHAnsi" w:hAnsiTheme="majorHAnsi" w:cstheme="majorHAnsi"/>
          <w:sz w:val="28"/>
          <w:szCs w:val="28"/>
        </w:rPr>
        <w:t xml:space="preserve"> at the same time</w:t>
      </w:r>
      <w:r w:rsidR="0097263B" w:rsidRPr="00327B3A">
        <w:rPr>
          <w:rFonts w:asciiTheme="majorHAnsi" w:hAnsiTheme="majorHAnsi" w:cstheme="majorHAnsi"/>
          <w:sz w:val="28"/>
          <w:szCs w:val="28"/>
        </w:rPr>
        <w:t>,</w:t>
      </w:r>
      <w:r w:rsidRPr="00327B3A">
        <w:rPr>
          <w:rFonts w:asciiTheme="majorHAnsi" w:hAnsiTheme="majorHAnsi" w:cstheme="majorHAnsi"/>
          <w:sz w:val="28"/>
          <w:szCs w:val="28"/>
        </w:rPr>
        <w:t xml:space="preserve"> creat</w:t>
      </w:r>
      <w:r w:rsidR="00640AF3">
        <w:rPr>
          <w:rFonts w:asciiTheme="majorHAnsi" w:hAnsiTheme="majorHAnsi" w:cstheme="majorHAnsi"/>
          <w:sz w:val="28"/>
          <w:szCs w:val="28"/>
        </w:rPr>
        <w:t>ing</w:t>
      </w:r>
      <w:r w:rsidRPr="00327B3A">
        <w:rPr>
          <w:rFonts w:asciiTheme="majorHAnsi" w:hAnsiTheme="majorHAnsi" w:cstheme="majorHAnsi"/>
          <w:sz w:val="28"/>
          <w:szCs w:val="28"/>
        </w:rPr>
        <w:t xml:space="preserve"> a ‘virtuous cycle’ of sustained improvement in teacher competence and commitment.</w:t>
      </w:r>
      <w:r w:rsidR="00E11630" w:rsidRPr="00327B3A">
        <w:rPr>
          <w:rFonts w:asciiTheme="majorHAnsi" w:hAnsiTheme="majorHAnsi" w:cstheme="majorHAnsi"/>
          <w:sz w:val="28"/>
          <w:szCs w:val="28"/>
        </w:rPr>
        <w:t xml:space="preserve"> </w:t>
      </w:r>
      <w:r w:rsidR="00585CEE" w:rsidRPr="00327B3A">
        <w:rPr>
          <w:rFonts w:asciiTheme="majorHAnsi" w:hAnsiTheme="majorHAnsi" w:cstheme="majorHAnsi"/>
          <w:sz w:val="28"/>
          <w:szCs w:val="28"/>
        </w:rPr>
        <w:t xml:space="preserve">It is well to recall that similar </w:t>
      </w:r>
      <w:r w:rsidR="0097263B" w:rsidRPr="00327B3A">
        <w:rPr>
          <w:rFonts w:asciiTheme="majorHAnsi" w:hAnsiTheme="majorHAnsi" w:cstheme="majorHAnsi"/>
          <w:sz w:val="28"/>
          <w:szCs w:val="28"/>
        </w:rPr>
        <w:t>(</w:t>
      </w:r>
      <w:r w:rsidR="00E11630" w:rsidRPr="00327B3A">
        <w:rPr>
          <w:rFonts w:asciiTheme="majorHAnsi" w:hAnsiTheme="majorHAnsi" w:cstheme="majorHAnsi"/>
          <w:sz w:val="28"/>
          <w:szCs w:val="28"/>
        </w:rPr>
        <w:t>wishful</w:t>
      </w:r>
      <w:r w:rsidR="0097263B" w:rsidRPr="00327B3A">
        <w:rPr>
          <w:rFonts w:asciiTheme="majorHAnsi" w:hAnsiTheme="majorHAnsi" w:cstheme="majorHAnsi"/>
          <w:sz w:val="28"/>
          <w:szCs w:val="28"/>
        </w:rPr>
        <w:t>)</w:t>
      </w:r>
      <w:r w:rsidR="00E11630" w:rsidRPr="00327B3A">
        <w:rPr>
          <w:rFonts w:asciiTheme="majorHAnsi" w:hAnsiTheme="majorHAnsi" w:cstheme="majorHAnsi"/>
          <w:sz w:val="28"/>
          <w:szCs w:val="28"/>
        </w:rPr>
        <w:t xml:space="preserve"> thinking was widespread during the </w:t>
      </w:r>
      <w:r w:rsidR="00585CEE" w:rsidRPr="00327B3A">
        <w:rPr>
          <w:rFonts w:asciiTheme="majorHAnsi" w:hAnsiTheme="majorHAnsi" w:cstheme="majorHAnsi"/>
          <w:sz w:val="28"/>
          <w:szCs w:val="28"/>
        </w:rPr>
        <w:t xml:space="preserve">planning for </w:t>
      </w:r>
      <w:r w:rsidR="00E11630" w:rsidRPr="00327B3A">
        <w:rPr>
          <w:rFonts w:asciiTheme="majorHAnsi" w:hAnsiTheme="majorHAnsi" w:cstheme="majorHAnsi"/>
          <w:sz w:val="28"/>
          <w:szCs w:val="28"/>
        </w:rPr>
        <w:t>UPE</w:t>
      </w:r>
      <w:r w:rsidR="00585CEE" w:rsidRPr="00327B3A">
        <w:rPr>
          <w:rFonts w:asciiTheme="majorHAnsi" w:hAnsiTheme="majorHAnsi" w:cstheme="majorHAnsi"/>
          <w:sz w:val="28"/>
          <w:szCs w:val="28"/>
        </w:rPr>
        <w:t xml:space="preserve"> which led to major implementation shortcomings</w:t>
      </w:r>
      <w:r w:rsidR="00E11630" w:rsidRPr="00327B3A">
        <w:rPr>
          <w:rFonts w:asciiTheme="majorHAnsi" w:hAnsiTheme="majorHAnsi" w:cstheme="majorHAnsi"/>
          <w:sz w:val="28"/>
          <w:szCs w:val="28"/>
        </w:rPr>
        <w:t xml:space="preserve">. As </w:t>
      </w:r>
      <w:r w:rsidR="00E11630" w:rsidRPr="00327B3A">
        <w:rPr>
          <w:rFonts w:asciiTheme="majorHAnsi" w:hAnsiTheme="majorHAnsi" w:cstheme="majorHAnsi"/>
          <w:sz w:val="28"/>
          <w:szCs w:val="28"/>
        </w:rPr>
        <w:lastRenderedPageBreak/>
        <w:t xml:space="preserve">with UPE, given the likely persistence of acute resource constraints, the rapid expansion of secondary school enrolments is likely to </w:t>
      </w:r>
      <w:r w:rsidR="00585CEE" w:rsidRPr="00327B3A">
        <w:rPr>
          <w:rFonts w:asciiTheme="majorHAnsi" w:hAnsiTheme="majorHAnsi" w:cstheme="majorHAnsi"/>
          <w:sz w:val="28"/>
          <w:szCs w:val="28"/>
        </w:rPr>
        <w:t xml:space="preserve">lead to a worsening of the working and living conditions of </w:t>
      </w:r>
      <w:r w:rsidR="00E11630" w:rsidRPr="00327B3A">
        <w:rPr>
          <w:rFonts w:asciiTheme="majorHAnsi" w:hAnsiTheme="majorHAnsi" w:cstheme="majorHAnsi"/>
          <w:sz w:val="28"/>
          <w:szCs w:val="28"/>
        </w:rPr>
        <w:t>teachers. The pressure to recruit under-qualified teachers will be enormous and motivation and job satisfaction levels are likely to fall with the added work load burdens of larger classes, higher teaching loads and more demanding curricula</w:t>
      </w:r>
      <w:r w:rsidR="00640AF3">
        <w:rPr>
          <w:rFonts w:asciiTheme="majorHAnsi" w:hAnsiTheme="majorHAnsi" w:cstheme="majorHAnsi"/>
          <w:sz w:val="28"/>
          <w:szCs w:val="28"/>
        </w:rPr>
        <w:t xml:space="preserve">, all of which will </w:t>
      </w:r>
      <w:r w:rsidR="00585CEE" w:rsidRPr="00327B3A">
        <w:rPr>
          <w:rFonts w:asciiTheme="majorHAnsi" w:hAnsiTheme="majorHAnsi" w:cstheme="majorHAnsi"/>
          <w:sz w:val="28"/>
          <w:szCs w:val="28"/>
        </w:rPr>
        <w:t>undermine the attainment of USE.</w:t>
      </w:r>
    </w:p>
    <w:p w:rsidR="002542F3" w:rsidRPr="00327B3A" w:rsidRDefault="00447017" w:rsidP="0072591E">
      <w:pPr>
        <w:jc w:val="both"/>
        <w:rPr>
          <w:rFonts w:asciiTheme="majorHAnsi" w:hAnsiTheme="majorHAnsi" w:cstheme="majorHAnsi"/>
          <w:sz w:val="28"/>
          <w:szCs w:val="28"/>
        </w:rPr>
      </w:pPr>
      <w:r w:rsidRPr="00327B3A">
        <w:rPr>
          <w:rFonts w:asciiTheme="majorHAnsi" w:hAnsiTheme="majorHAnsi" w:cstheme="majorHAnsi"/>
          <w:sz w:val="28"/>
          <w:szCs w:val="28"/>
        </w:rPr>
        <w:t xml:space="preserve">Finally, considerably </w:t>
      </w:r>
      <w:r w:rsidR="002626F4" w:rsidRPr="00327B3A">
        <w:rPr>
          <w:rFonts w:asciiTheme="majorHAnsi" w:hAnsiTheme="majorHAnsi" w:cstheme="majorHAnsi"/>
          <w:sz w:val="28"/>
          <w:szCs w:val="28"/>
        </w:rPr>
        <w:t>more r</w:t>
      </w:r>
      <w:r w:rsidR="002542F3" w:rsidRPr="00327B3A">
        <w:rPr>
          <w:rFonts w:asciiTheme="majorHAnsi" w:hAnsiTheme="majorHAnsi" w:cstheme="majorHAnsi"/>
          <w:sz w:val="28"/>
          <w:szCs w:val="28"/>
        </w:rPr>
        <w:t xml:space="preserve">obust planning is </w:t>
      </w:r>
      <w:r w:rsidR="002626F4" w:rsidRPr="00327B3A">
        <w:rPr>
          <w:rFonts w:asciiTheme="majorHAnsi" w:hAnsiTheme="majorHAnsi" w:cstheme="majorHAnsi"/>
          <w:sz w:val="28"/>
          <w:szCs w:val="28"/>
        </w:rPr>
        <w:t>required</w:t>
      </w:r>
      <w:r w:rsidR="002626F4" w:rsidRPr="00327B3A">
        <w:rPr>
          <w:rStyle w:val="FootnoteReference"/>
          <w:rFonts w:asciiTheme="majorHAnsi" w:hAnsiTheme="majorHAnsi" w:cstheme="majorHAnsi"/>
          <w:sz w:val="28"/>
          <w:szCs w:val="28"/>
        </w:rPr>
        <w:footnoteReference w:id="13"/>
      </w:r>
      <w:r w:rsidR="002542F3" w:rsidRPr="00327B3A">
        <w:rPr>
          <w:rFonts w:asciiTheme="majorHAnsi" w:hAnsiTheme="majorHAnsi" w:cstheme="majorHAnsi"/>
          <w:sz w:val="28"/>
          <w:szCs w:val="28"/>
        </w:rPr>
        <w:t xml:space="preserve">. In particular, modelling of teacher requirements and recruitment targets </w:t>
      </w:r>
      <w:r w:rsidR="0097263B" w:rsidRPr="00327B3A">
        <w:rPr>
          <w:rFonts w:asciiTheme="majorHAnsi" w:hAnsiTheme="majorHAnsi" w:cstheme="majorHAnsi"/>
          <w:sz w:val="28"/>
          <w:szCs w:val="28"/>
        </w:rPr>
        <w:t xml:space="preserve">should </w:t>
      </w:r>
      <w:r w:rsidR="002542F3" w:rsidRPr="00327B3A">
        <w:rPr>
          <w:rFonts w:asciiTheme="majorHAnsi" w:hAnsiTheme="majorHAnsi" w:cstheme="majorHAnsi"/>
          <w:sz w:val="28"/>
          <w:szCs w:val="28"/>
        </w:rPr>
        <w:t xml:space="preserve">be based on detailed labour market analysis. It is particularly important to take into account the very high </w:t>
      </w:r>
      <w:r w:rsidR="0072591E" w:rsidRPr="00327B3A">
        <w:rPr>
          <w:rFonts w:asciiTheme="majorHAnsi" w:hAnsiTheme="majorHAnsi" w:cstheme="majorHAnsi"/>
          <w:sz w:val="28"/>
          <w:szCs w:val="28"/>
        </w:rPr>
        <w:t>level</w:t>
      </w:r>
      <w:r w:rsidR="002542F3" w:rsidRPr="00327B3A">
        <w:rPr>
          <w:rFonts w:asciiTheme="majorHAnsi" w:hAnsiTheme="majorHAnsi" w:cstheme="majorHAnsi"/>
          <w:sz w:val="28"/>
          <w:szCs w:val="28"/>
        </w:rPr>
        <w:t>s</w:t>
      </w:r>
      <w:r w:rsidR="0072591E" w:rsidRPr="00327B3A">
        <w:rPr>
          <w:rFonts w:asciiTheme="majorHAnsi" w:hAnsiTheme="majorHAnsi" w:cstheme="majorHAnsi"/>
          <w:sz w:val="28"/>
          <w:szCs w:val="28"/>
        </w:rPr>
        <w:t xml:space="preserve"> of unemployment among teachers </w:t>
      </w:r>
      <w:r w:rsidR="002542F3" w:rsidRPr="00327B3A">
        <w:rPr>
          <w:rFonts w:asciiTheme="majorHAnsi" w:hAnsiTheme="majorHAnsi" w:cstheme="majorHAnsi"/>
          <w:sz w:val="28"/>
          <w:szCs w:val="28"/>
        </w:rPr>
        <w:t>in many countries</w:t>
      </w:r>
      <w:r w:rsidRPr="00327B3A">
        <w:rPr>
          <w:rFonts w:asciiTheme="majorHAnsi" w:hAnsiTheme="majorHAnsi" w:cstheme="majorHAnsi"/>
          <w:sz w:val="28"/>
          <w:szCs w:val="28"/>
        </w:rPr>
        <w:t xml:space="preserve"> in SSA</w:t>
      </w:r>
      <w:r w:rsidR="002542F3" w:rsidRPr="00327B3A">
        <w:rPr>
          <w:rStyle w:val="FootnoteReference"/>
          <w:rFonts w:asciiTheme="majorHAnsi" w:hAnsiTheme="majorHAnsi" w:cstheme="majorHAnsi"/>
          <w:sz w:val="28"/>
          <w:szCs w:val="28"/>
        </w:rPr>
        <w:footnoteReference w:id="14"/>
      </w:r>
      <w:r w:rsidR="0072591E" w:rsidRPr="00327B3A">
        <w:rPr>
          <w:rFonts w:asciiTheme="majorHAnsi" w:hAnsiTheme="majorHAnsi" w:cstheme="majorHAnsi"/>
          <w:sz w:val="28"/>
          <w:szCs w:val="28"/>
        </w:rPr>
        <w:t xml:space="preserve">. </w:t>
      </w:r>
    </w:p>
    <w:p w:rsidR="00DA7028" w:rsidRPr="00CC0CAD" w:rsidRDefault="00DA7028" w:rsidP="00DA7028">
      <w:pPr>
        <w:jc w:val="both"/>
        <w:rPr>
          <w:rFonts w:asciiTheme="majorHAnsi" w:hAnsiTheme="majorHAnsi" w:cstheme="majorHAnsi"/>
          <w:i/>
          <w:sz w:val="28"/>
          <w:szCs w:val="28"/>
        </w:rPr>
      </w:pPr>
      <w:r w:rsidRPr="00CC0CAD">
        <w:rPr>
          <w:rFonts w:asciiTheme="majorHAnsi" w:hAnsiTheme="majorHAnsi" w:cstheme="majorHAnsi"/>
          <w:i/>
          <w:sz w:val="28"/>
          <w:szCs w:val="28"/>
        </w:rPr>
        <w:t xml:space="preserve">3.2 Increasing access </w:t>
      </w:r>
      <w:r w:rsidR="00EA37EF" w:rsidRPr="00CC0CAD">
        <w:rPr>
          <w:rFonts w:asciiTheme="majorHAnsi" w:hAnsiTheme="majorHAnsi" w:cstheme="majorHAnsi"/>
          <w:i/>
          <w:sz w:val="28"/>
          <w:szCs w:val="28"/>
        </w:rPr>
        <w:t>and equity</w:t>
      </w:r>
    </w:p>
    <w:p w:rsidR="00DA7028" w:rsidRPr="00327B3A" w:rsidRDefault="00DA7028" w:rsidP="00DA7028">
      <w:pPr>
        <w:jc w:val="both"/>
        <w:rPr>
          <w:rFonts w:asciiTheme="majorHAnsi" w:hAnsiTheme="majorHAnsi" w:cstheme="majorHAnsi"/>
          <w:sz w:val="28"/>
          <w:szCs w:val="28"/>
        </w:rPr>
      </w:pPr>
      <w:r w:rsidRPr="00327B3A">
        <w:rPr>
          <w:rFonts w:asciiTheme="majorHAnsi" w:hAnsiTheme="majorHAnsi" w:cstheme="majorHAnsi"/>
          <w:sz w:val="28"/>
          <w:szCs w:val="28"/>
        </w:rPr>
        <w:t xml:space="preserve">The Report justifies the rapid implementation of USE on </w:t>
      </w:r>
      <w:r w:rsidR="00640AF3">
        <w:rPr>
          <w:rFonts w:asciiTheme="majorHAnsi" w:hAnsiTheme="majorHAnsi" w:cstheme="majorHAnsi"/>
          <w:sz w:val="28"/>
          <w:szCs w:val="28"/>
        </w:rPr>
        <w:t xml:space="preserve">the basis of </w:t>
      </w:r>
      <w:r w:rsidRPr="00327B3A">
        <w:rPr>
          <w:rFonts w:asciiTheme="majorHAnsi" w:hAnsiTheme="majorHAnsi" w:cstheme="majorHAnsi"/>
          <w:sz w:val="28"/>
          <w:szCs w:val="28"/>
        </w:rPr>
        <w:t>both human right</w:t>
      </w:r>
      <w:r w:rsidR="00447017" w:rsidRPr="00327B3A">
        <w:rPr>
          <w:rFonts w:asciiTheme="majorHAnsi" w:hAnsiTheme="majorHAnsi" w:cstheme="majorHAnsi"/>
          <w:sz w:val="28"/>
          <w:szCs w:val="28"/>
        </w:rPr>
        <w:t>s</w:t>
      </w:r>
      <w:r w:rsidRPr="00327B3A">
        <w:rPr>
          <w:rFonts w:asciiTheme="majorHAnsi" w:hAnsiTheme="majorHAnsi" w:cstheme="majorHAnsi"/>
          <w:sz w:val="28"/>
          <w:szCs w:val="28"/>
        </w:rPr>
        <w:t xml:space="preserve"> entitlement and more strictly economic grounds.</w:t>
      </w:r>
      <w:r w:rsidR="00A00AF8" w:rsidRPr="00327B3A">
        <w:rPr>
          <w:rFonts w:asciiTheme="majorHAnsi" w:hAnsiTheme="majorHAnsi" w:cstheme="majorHAnsi"/>
          <w:sz w:val="28"/>
          <w:szCs w:val="28"/>
        </w:rPr>
        <w:t xml:space="preserve"> Its main access recommendation is </w:t>
      </w:r>
      <w:r w:rsidR="005750C1" w:rsidRPr="00327B3A">
        <w:rPr>
          <w:rFonts w:asciiTheme="majorHAnsi" w:hAnsiTheme="majorHAnsi" w:cstheme="majorHAnsi"/>
          <w:sz w:val="28"/>
          <w:szCs w:val="28"/>
        </w:rPr>
        <w:t xml:space="preserve">that </w:t>
      </w:r>
      <w:r w:rsidR="00A00AF8" w:rsidRPr="00327B3A">
        <w:rPr>
          <w:rFonts w:asciiTheme="majorHAnsi" w:hAnsiTheme="majorHAnsi" w:cstheme="majorHAnsi"/>
          <w:sz w:val="28"/>
          <w:szCs w:val="28"/>
        </w:rPr>
        <w:t xml:space="preserve">fee-free secondary education </w:t>
      </w:r>
      <w:r w:rsidR="005750C1" w:rsidRPr="00327B3A">
        <w:rPr>
          <w:rFonts w:asciiTheme="majorHAnsi" w:hAnsiTheme="majorHAnsi" w:cstheme="majorHAnsi"/>
          <w:sz w:val="28"/>
          <w:szCs w:val="28"/>
        </w:rPr>
        <w:t>should be complemented with ‘</w:t>
      </w:r>
      <w:r w:rsidR="00A00AF8" w:rsidRPr="00327B3A">
        <w:rPr>
          <w:rFonts w:asciiTheme="majorHAnsi" w:hAnsiTheme="majorHAnsi" w:cstheme="majorHAnsi"/>
          <w:sz w:val="28"/>
          <w:szCs w:val="28"/>
        </w:rPr>
        <w:t>equity-based financing</w:t>
      </w:r>
      <w:r w:rsidR="005750C1" w:rsidRPr="00327B3A">
        <w:rPr>
          <w:rFonts w:asciiTheme="majorHAnsi" w:hAnsiTheme="majorHAnsi" w:cstheme="majorHAnsi"/>
          <w:sz w:val="28"/>
          <w:szCs w:val="28"/>
        </w:rPr>
        <w:t>’ which t</w:t>
      </w:r>
      <w:r w:rsidR="00A00AF8" w:rsidRPr="00327B3A">
        <w:rPr>
          <w:rFonts w:asciiTheme="majorHAnsi" w:hAnsiTheme="majorHAnsi" w:cstheme="majorHAnsi"/>
          <w:sz w:val="28"/>
          <w:szCs w:val="28"/>
        </w:rPr>
        <w:t>arget</w:t>
      </w:r>
      <w:r w:rsidR="005750C1" w:rsidRPr="00327B3A">
        <w:rPr>
          <w:rFonts w:asciiTheme="majorHAnsi" w:hAnsiTheme="majorHAnsi" w:cstheme="majorHAnsi"/>
          <w:sz w:val="28"/>
          <w:szCs w:val="28"/>
        </w:rPr>
        <w:t>s</w:t>
      </w:r>
      <w:r w:rsidR="00A00AF8" w:rsidRPr="00327B3A">
        <w:rPr>
          <w:rFonts w:asciiTheme="majorHAnsi" w:hAnsiTheme="majorHAnsi" w:cstheme="majorHAnsi"/>
          <w:sz w:val="28"/>
          <w:szCs w:val="28"/>
        </w:rPr>
        <w:t xml:space="preserve"> </w:t>
      </w:r>
      <w:r w:rsidR="005750C1" w:rsidRPr="00327B3A">
        <w:rPr>
          <w:rFonts w:asciiTheme="majorHAnsi" w:hAnsiTheme="majorHAnsi" w:cstheme="majorHAnsi"/>
          <w:sz w:val="28"/>
          <w:szCs w:val="28"/>
        </w:rPr>
        <w:t>‘</w:t>
      </w:r>
      <w:r w:rsidR="00A00AF8" w:rsidRPr="00327B3A">
        <w:rPr>
          <w:rFonts w:asciiTheme="majorHAnsi" w:hAnsiTheme="majorHAnsi" w:cstheme="majorHAnsi"/>
          <w:sz w:val="28"/>
          <w:szCs w:val="28"/>
        </w:rPr>
        <w:t>the most disadvantaged students, girls in particular with bursaries, scholarships, or cash transfers to enable them to meet secondary school costs</w:t>
      </w:r>
      <w:r w:rsidR="00EA37EF" w:rsidRPr="00327B3A">
        <w:rPr>
          <w:rFonts w:asciiTheme="majorHAnsi" w:hAnsiTheme="majorHAnsi" w:cstheme="majorHAnsi"/>
          <w:sz w:val="28"/>
          <w:szCs w:val="28"/>
        </w:rPr>
        <w:t xml:space="preserve"> such as uniforms, transport, and boarding</w:t>
      </w:r>
      <w:r w:rsidR="005750C1" w:rsidRPr="00327B3A">
        <w:rPr>
          <w:rFonts w:asciiTheme="majorHAnsi" w:hAnsiTheme="majorHAnsi" w:cstheme="majorHAnsi"/>
          <w:sz w:val="28"/>
          <w:szCs w:val="28"/>
        </w:rPr>
        <w:t>’</w:t>
      </w:r>
      <w:r w:rsidR="00BD4A5F">
        <w:rPr>
          <w:rFonts w:asciiTheme="majorHAnsi" w:hAnsiTheme="majorHAnsi" w:cstheme="majorHAnsi"/>
          <w:sz w:val="28"/>
          <w:szCs w:val="28"/>
        </w:rPr>
        <w:t xml:space="preserve"> (p.26)</w:t>
      </w:r>
      <w:r w:rsidR="00EA37EF" w:rsidRPr="00327B3A">
        <w:rPr>
          <w:rFonts w:asciiTheme="majorHAnsi" w:hAnsiTheme="majorHAnsi" w:cstheme="majorHAnsi"/>
          <w:sz w:val="28"/>
          <w:szCs w:val="28"/>
        </w:rPr>
        <w:t xml:space="preserve">. Targeted funding formulas </w:t>
      </w:r>
      <w:r w:rsidR="00640AF3">
        <w:rPr>
          <w:rFonts w:asciiTheme="majorHAnsi" w:hAnsiTheme="majorHAnsi" w:cstheme="majorHAnsi"/>
          <w:sz w:val="28"/>
          <w:szCs w:val="28"/>
        </w:rPr>
        <w:t>f</w:t>
      </w:r>
      <w:r w:rsidR="005750C1" w:rsidRPr="00327B3A">
        <w:rPr>
          <w:rFonts w:asciiTheme="majorHAnsi" w:hAnsiTheme="majorHAnsi" w:cstheme="majorHAnsi"/>
          <w:sz w:val="28"/>
          <w:szCs w:val="28"/>
        </w:rPr>
        <w:t xml:space="preserve">or </w:t>
      </w:r>
      <w:r w:rsidR="00EA37EF" w:rsidRPr="00327B3A">
        <w:rPr>
          <w:rFonts w:asciiTheme="majorHAnsi" w:hAnsiTheme="majorHAnsi" w:cstheme="majorHAnsi"/>
          <w:sz w:val="28"/>
          <w:szCs w:val="28"/>
        </w:rPr>
        <w:t>disadvantaged regions</w:t>
      </w:r>
      <w:r w:rsidR="00640AF3">
        <w:rPr>
          <w:rFonts w:asciiTheme="majorHAnsi" w:hAnsiTheme="majorHAnsi" w:cstheme="majorHAnsi"/>
          <w:sz w:val="28"/>
          <w:szCs w:val="28"/>
        </w:rPr>
        <w:t xml:space="preserve"> along with t</w:t>
      </w:r>
      <w:r w:rsidR="006B714C" w:rsidRPr="00327B3A">
        <w:rPr>
          <w:rFonts w:asciiTheme="majorHAnsi" w:hAnsiTheme="majorHAnsi" w:cstheme="majorHAnsi"/>
          <w:sz w:val="28"/>
          <w:szCs w:val="28"/>
        </w:rPr>
        <w:t xml:space="preserve">he </w:t>
      </w:r>
      <w:r w:rsidR="00A32FA1" w:rsidRPr="00327B3A">
        <w:rPr>
          <w:rFonts w:asciiTheme="majorHAnsi" w:hAnsiTheme="majorHAnsi" w:cstheme="majorHAnsi"/>
          <w:sz w:val="28"/>
          <w:szCs w:val="28"/>
        </w:rPr>
        <w:t xml:space="preserve">overall </w:t>
      </w:r>
      <w:r w:rsidR="009E3870" w:rsidRPr="00327B3A">
        <w:rPr>
          <w:rFonts w:asciiTheme="majorHAnsi" w:hAnsiTheme="majorHAnsi" w:cstheme="majorHAnsi"/>
          <w:sz w:val="28"/>
          <w:szCs w:val="28"/>
        </w:rPr>
        <w:t xml:space="preserve">restructuring of </w:t>
      </w:r>
      <w:r w:rsidR="006B714C" w:rsidRPr="00327B3A">
        <w:rPr>
          <w:rFonts w:asciiTheme="majorHAnsi" w:hAnsiTheme="majorHAnsi" w:cstheme="majorHAnsi"/>
          <w:sz w:val="28"/>
          <w:szCs w:val="28"/>
        </w:rPr>
        <w:t xml:space="preserve">the secondary school system </w:t>
      </w:r>
      <w:r w:rsidR="00640AF3">
        <w:rPr>
          <w:rFonts w:asciiTheme="majorHAnsi" w:hAnsiTheme="majorHAnsi" w:cstheme="majorHAnsi"/>
          <w:sz w:val="28"/>
          <w:szCs w:val="28"/>
        </w:rPr>
        <w:t>are al</w:t>
      </w:r>
      <w:r w:rsidR="006B714C" w:rsidRPr="00327B3A">
        <w:rPr>
          <w:rFonts w:asciiTheme="majorHAnsi" w:hAnsiTheme="majorHAnsi" w:cstheme="majorHAnsi"/>
          <w:sz w:val="28"/>
          <w:szCs w:val="28"/>
        </w:rPr>
        <w:t xml:space="preserve">so considered to </w:t>
      </w:r>
      <w:r w:rsidR="00540923">
        <w:rPr>
          <w:rFonts w:asciiTheme="majorHAnsi" w:hAnsiTheme="majorHAnsi" w:cstheme="majorHAnsi"/>
          <w:sz w:val="28"/>
          <w:szCs w:val="28"/>
        </w:rPr>
        <w:t xml:space="preserve">be </w:t>
      </w:r>
      <w:r w:rsidR="006B714C" w:rsidRPr="00327B3A">
        <w:rPr>
          <w:rFonts w:asciiTheme="majorHAnsi" w:hAnsiTheme="majorHAnsi" w:cstheme="majorHAnsi"/>
          <w:sz w:val="28"/>
          <w:szCs w:val="28"/>
        </w:rPr>
        <w:t>potentially important access reform</w:t>
      </w:r>
      <w:r w:rsidR="00640AF3">
        <w:rPr>
          <w:rFonts w:asciiTheme="majorHAnsi" w:hAnsiTheme="majorHAnsi" w:cstheme="majorHAnsi"/>
          <w:sz w:val="28"/>
          <w:szCs w:val="28"/>
        </w:rPr>
        <w:t>s</w:t>
      </w:r>
      <w:r w:rsidR="006B714C" w:rsidRPr="00327B3A">
        <w:rPr>
          <w:rFonts w:asciiTheme="majorHAnsi" w:hAnsiTheme="majorHAnsi" w:cstheme="majorHAnsi"/>
          <w:sz w:val="28"/>
          <w:szCs w:val="28"/>
        </w:rPr>
        <w:t>.</w:t>
      </w:r>
      <w:r w:rsidR="009E3870" w:rsidRPr="00327B3A">
        <w:rPr>
          <w:rFonts w:asciiTheme="majorHAnsi" w:hAnsiTheme="majorHAnsi" w:cstheme="majorHAnsi"/>
          <w:sz w:val="28"/>
          <w:szCs w:val="28"/>
        </w:rPr>
        <w:t xml:space="preserve"> </w:t>
      </w:r>
    </w:p>
    <w:p w:rsidR="00520C4D" w:rsidRPr="00327B3A" w:rsidRDefault="00520C4D" w:rsidP="00520C4D">
      <w:pPr>
        <w:jc w:val="both"/>
        <w:rPr>
          <w:rFonts w:asciiTheme="majorHAnsi" w:hAnsiTheme="majorHAnsi" w:cstheme="majorHAnsi"/>
          <w:sz w:val="28"/>
          <w:szCs w:val="28"/>
        </w:rPr>
      </w:pPr>
      <w:r w:rsidRPr="00327B3A">
        <w:rPr>
          <w:rFonts w:asciiTheme="majorHAnsi" w:hAnsiTheme="majorHAnsi" w:cstheme="majorHAnsi"/>
          <w:sz w:val="28"/>
          <w:szCs w:val="28"/>
        </w:rPr>
        <w:t xml:space="preserve">To date, governments have embarked on national USE strategies in around </w:t>
      </w:r>
      <w:r w:rsidR="006B714C" w:rsidRPr="00327B3A">
        <w:rPr>
          <w:rFonts w:asciiTheme="majorHAnsi" w:hAnsiTheme="majorHAnsi" w:cstheme="majorHAnsi"/>
          <w:sz w:val="28"/>
          <w:szCs w:val="28"/>
        </w:rPr>
        <w:t>15</w:t>
      </w:r>
      <w:r w:rsidRPr="00327B3A">
        <w:rPr>
          <w:rFonts w:asciiTheme="majorHAnsi" w:hAnsiTheme="majorHAnsi" w:cstheme="majorHAnsi"/>
          <w:sz w:val="28"/>
          <w:szCs w:val="28"/>
        </w:rPr>
        <w:t xml:space="preserve"> countries. Surprisingly, the report makes no attempt to assess comprehensively what the impacts of these strategies have been to date especially with respect to enrolment and completion rates, learning outcomes, teacher commitment etc. Without this assessment, it is difficult to make meaningful recommendations about what future interventions are required.  </w:t>
      </w:r>
    </w:p>
    <w:p w:rsidR="00595A5F" w:rsidRPr="00327B3A" w:rsidRDefault="00425E08" w:rsidP="00595A5F">
      <w:pPr>
        <w:jc w:val="both"/>
        <w:rPr>
          <w:rFonts w:asciiTheme="majorHAnsi" w:hAnsiTheme="majorHAnsi" w:cstheme="majorHAnsi"/>
          <w:sz w:val="28"/>
          <w:szCs w:val="28"/>
        </w:rPr>
      </w:pPr>
      <w:r w:rsidRPr="00327B3A">
        <w:rPr>
          <w:rFonts w:asciiTheme="majorHAnsi" w:hAnsiTheme="majorHAnsi" w:cstheme="majorHAnsi"/>
          <w:sz w:val="28"/>
          <w:szCs w:val="28"/>
        </w:rPr>
        <w:t xml:space="preserve">Past experience highlights just how difficult it is to increase </w:t>
      </w:r>
      <w:r w:rsidR="00A32FA1" w:rsidRPr="00327B3A">
        <w:rPr>
          <w:rFonts w:asciiTheme="majorHAnsi" w:hAnsiTheme="majorHAnsi" w:cstheme="majorHAnsi"/>
          <w:sz w:val="28"/>
          <w:szCs w:val="28"/>
        </w:rPr>
        <w:t xml:space="preserve">rapidly </w:t>
      </w:r>
      <w:r w:rsidRPr="00327B3A">
        <w:rPr>
          <w:rFonts w:asciiTheme="majorHAnsi" w:hAnsiTheme="majorHAnsi" w:cstheme="majorHAnsi"/>
          <w:sz w:val="28"/>
          <w:szCs w:val="28"/>
        </w:rPr>
        <w:t>secondary sch</w:t>
      </w:r>
      <w:r w:rsidR="00640AF3">
        <w:rPr>
          <w:rFonts w:asciiTheme="majorHAnsi" w:hAnsiTheme="majorHAnsi" w:cstheme="majorHAnsi"/>
          <w:sz w:val="28"/>
          <w:szCs w:val="28"/>
        </w:rPr>
        <w:t xml:space="preserve">ool enrolments, </w:t>
      </w:r>
      <w:r w:rsidRPr="00327B3A">
        <w:rPr>
          <w:rFonts w:asciiTheme="majorHAnsi" w:hAnsiTheme="majorHAnsi" w:cstheme="majorHAnsi"/>
          <w:sz w:val="28"/>
          <w:szCs w:val="28"/>
        </w:rPr>
        <w:t xml:space="preserve">especially in rural areas. </w:t>
      </w:r>
      <w:r w:rsidR="00F53258" w:rsidRPr="00327B3A">
        <w:rPr>
          <w:rFonts w:asciiTheme="majorHAnsi" w:hAnsiTheme="majorHAnsi" w:cstheme="majorHAnsi"/>
          <w:sz w:val="28"/>
          <w:szCs w:val="28"/>
        </w:rPr>
        <w:t xml:space="preserve">The evidence from the three </w:t>
      </w:r>
      <w:r w:rsidR="00D16E91" w:rsidRPr="00327B3A">
        <w:rPr>
          <w:rFonts w:asciiTheme="majorHAnsi" w:hAnsiTheme="majorHAnsi" w:cstheme="majorHAnsi"/>
          <w:sz w:val="28"/>
          <w:szCs w:val="28"/>
        </w:rPr>
        <w:t xml:space="preserve">large </w:t>
      </w:r>
      <w:r w:rsidR="00F53258" w:rsidRPr="00327B3A">
        <w:rPr>
          <w:rFonts w:asciiTheme="majorHAnsi" w:hAnsiTheme="majorHAnsi" w:cstheme="majorHAnsi"/>
          <w:sz w:val="28"/>
          <w:szCs w:val="28"/>
        </w:rPr>
        <w:lastRenderedPageBreak/>
        <w:t>countries which embarked on UPE ten years ago, Kenya, Tanzania and Uganda shows that there was an initial surge in enrolments and that completion rates increased significantly. However, as discussed earlier, gross enrolment rates have stagnated during the last five years which indicates that it has been difficult to sustain enrolment growth</w:t>
      </w:r>
      <w:r w:rsidRPr="00327B3A">
        <w:rPr>
          <w:rFonts w:asciiTheme="majorHAnsi" w:hAnsiTheme="majorHAnsi" w:cstheme="majorHAnsi"/>
          <w:sz w:val="28"/>
          <w:szCs w:val="28"/>
        </w:rPr>
        <w:t xml:space="preserve"> over time</w:t>
      </w:r>
      <w:r w:rsidR="00F53258" w:rsidRPr="00327B3A">
        <w:rPr>
          <w:rFonts w:asciiTheme="majorHAnsi" w:hAnsiTheme="majorHAnsi" w:cstheme="majorHAnsi"/>
          <w:sz w:val="28"/>
          <w:szCs w:val="28"/>
        </w:rPr>
        <w:t xml:space="preserve">. </w:t>
      </w:r>
      <w:r w:rsidR="006B714C" w:rsidRPr="00327B3A">
        <w:rPr>
          <w:rFonts w:asciiTheme="majorHAnsi" w:hAnsiTheme="majorHAnsi" w:cstheme="majorHAnsi"/>
          <w:sz w:val="28"/>
          <w:szCs w:val="28"/>
        </w:rPr>
        <w:t>In Kenya, t</w:t>
      </w:r>
      <w:r w:rsidR="002A56D9" w:rsidRPr="00327B3A">
        <w:rPr>
          <w:rFonts w:asciiTheme="majorHAnsi" w:hAnsiTheme="majorHAnsi" w:cstheme="majorHAnsi"/>
          <w:sz w:val="28"/>
          <w:szCs w:val="28"/>
        </w:rPr>
        <w:t>he f</w:t>
      </w:r>
      <w:r w:rsidR="00595A5F" w:rsidRPr="00327B3A">
        <w:rPr>
          <w:rFonts w:asciiTheme="majorHAnsi" w:hAnsiTheme="majorHAnsi" w:cstheme="majorHAnsi"/>
          <w:sz w:val="28"/>
          <w:szCs w:val="28"/>
        </w:rPr>
        <w:t xml:space="preserve">ree secondary education policy </w:t>
      </w:r>
      <w:r w:rsidR="002A56D9" w:rsidRPr="00327B3A">
        <w:rPr>
          <w:rFonts w:asciiTheme="majorHAnsi" w:hAnsiTheme="majorHAnsi" w:cstheme="majorHAnsi"/>
          <w:sz w:val="28"/>
          <w:szCs w:val="28"/>
        </w:rPr>
        <w:t xml:space="preserve">was announced in 2007 </w:t>
      </w:r>
      <w:r w:rsidR="00595A5F" w:rsidRPr="00327B3A">
        <w:rPr>
          <w:rFonts w:asciiTheme="majorHAnsi" w:hAnsiTheme="majorHAnsi" w:cstheme="majorHAnsi"/>
          <w:sz w:val="28"/>
          <w:szCs w:val="28"/>
        </w:rPr>
        <w:t>but</w:t>
      </w:r>
      <w:r w:rsidR="002A56D9" w:rsidRPr="00327B3A">
        <w:rPr>
          <w:rFonts w:asciiTheme="majorHAnsi" w:hAnsiTheme="majorHAnsi" w:cstheme="majorHAnsi"/>
          <w:sz w:val="28"/>
          <w:szCs w:val="28"/>
        </w:rPr>
        <w:t>, over the next decade,</w:t>
      </w:r>
      <w:r w:rsidR="00595A5F" w:rsidRPr="00327B3A">
        <w:rPr>
          <w:rFonts w:asciiTheme="majorHAnsi" w:hAnsiTheme="majorHAnsi" w:cstheme="majorHAnsi"/>
          <w:sz w:val="28"/>
          <w:szCs w:val="28"/>
        </w:rPr>
        <w:t xml:space="preserve"> only one-quarter of the required funding </w:t>
      </w:r>
      <w:r w:rsidR="002A56D9" w:rsidRPr="00327B3A">
        <w:rPr>
          <w:rFonts w:asciiTheme="majorHAnsi" w:hAnsiTheme="majorHAnsi" w:cstheme="majorHAnsi"/>
          <w:sz w:val="28"/>
          <w:szCs w:val="28"/>
        </w:rPr>
        <w:t xml:space="preserve">was forthcoming. This demonstrates just how </w:t>
      </w:r>
      <w:r w:rsidR="006B714C" w:rsidRPr="00327B3A">
        <w:rPr>
          <w:rFonts w:asciiTheme="majorHAnsi" w:hAnsiTheme="majorHAnsi" w:cstheme="majorHAnsi"/>
          <w:sz w:val="28"/>
          <w:szCs w:val="28"/>
        </w:rPr>
        <w:t xml:space="preserve">enormous the challenges of </w:t>
      </w:r>
      <w:r w:rsidR="002A56D9" w:rsidRPr="00327B3A">
        <w:rPr>
          <w:rFonts w:asciiTheme="majorHAnsi" w:hAnsiTheme="majorHAnsi" w:cstheme="majorHAnsi"/>
          <w:sz w:val="28"/>
          <w:szCs w:val="28"/>
        </w:rPr>
        <w:t>attain</w:t>
      </w:r>
      <w:r w:rsidR="006B714C" w:rsidRPr="00327B3A">
        <w:rPr>
          <w:rFonts w:asciiTheme="majorHAnsi" w:hAnsiTheme="majorHAnsi" w:cstheme="majorHAnsi"/>
          <w:sz w:val="28"/>
          <w:szCs w:val="28"/>
        </w:rPr>
        <w:t>ing</w:t>
      </w:r>
      <w:r w:rsidR="002A56D9" w:rsidRPr="00327B3A">
        <w:rPr>
          <w:rFonts w:asciiTheme="majorHAnsi" w:hAnsiTheme="majorHAnsi" w:cstheme="majorHAnsi"/>
          <w:sz w:val="28"/>
          <w:szCs w:val="28"/>
        </w:rPr>
        <w:t xml:space="preserve"> USE</w:t>
      </w:r>
      <w:r w:rsidR="006B714C" w:rsidRPr="00327B3A">
        <w:rPr>
          <w:rFonts w:asciiTheme="majorHAnsi" w:hAnsiTheme="majorHAnsi" w:cstheme="majorHAnsi"/>
          <w:sz w:val="28"/>
          <w:szCs w:val="28"/>
        </w:rPr>
        <w:t xml:space="preserve"> are</w:t>
      </w:r>
      <w:r w:rsidR="002A56D9" w:rsidRPr="00327B3A">
        <w:rPr>
          <w:rFonts w:asciiTheme="majorHAnsi" w:hAnsiTheme="majorHAnsi" w:cstheme="majorHAnsi"/>
          <w:sz w:val="28"/>
          <w:szCs w:val="28"/>
        </w:rPr>
        <w:t xml:space="preserve"> </w:t>
      </w:r>
      <w:r w:rsidR="00595A5F" w:rsidRPr="00327B3A">
        <w:rPr>
          <w:rFonts w:asciiTheme="majorHAnsi" w:hAnsiTheme="majorHAnsi" w:cstheme="majorHAnsi"/>
          <w:sz w:val="28"/>
          <w:szCs w:val="28"/>
        </w:rPr>
        <w:t>even for a relat</w:t>
      </w:r>
      <w:r w:rsidR="006B714C" w:rsidRPr="00327B3A">
        <w:rPr>
          <w:rFonts w:asciiTheme="majorHAnsi" w:hAnsiTheme="majorHAnsi" w:cstheme="majorHAnsi"/>
          <w:sz w:val="28"/>
          <w:szCs w:val="28"/>
        </w:rPr>
        <w:t xml:space="preserve">ively </w:t>
      </w:r>
      <w:r w:rsidR="00595A5F" w:rsidRPr="00327B3A">
        <w:rPr>
          <w:rFonts w:asciiTheme="majorHAnsi" w:hAnsiTheme="majorHAnsi" w:cstheme="majorHAnsi"/>
          <w:sz w:val="28"/>
          <w:szCs w:val="28"/>
        </w:rPr>
        <w:t xml:space="preserve">developed country </w:t>
      </w:r>
      <w:r w:rsidR="002A56D9" w:rsidRPr="00327B3A">
        <w:rPr>
          <w:rFonts w:asciiTheme="majorHAnsi" w:hAnsiTheme="majorHAnsi" w:cstheme="majorHAnsi"/>
          <w:sz w:val="28"/>
          <w:szCs w:val="28"/>
        </w:rPr>
        <w:t xml:space="preserve">such as </w:t>
      </w:r>
      <w:r w:rsidR="00595A5F" w:rsidRPr="00327B3A">
        <w:rPr>
          <w:rFonts w:asciiTheme="majorHAnsi" w:hAnsiTheme="majorHAnsi" w:cstheme="majorHAnsi"/>
          <w:sz w:val="28"/>
          <w:szCs w:val="28"/>
        </w:rPr>
        <w:t xml:space="preserve">Kenya.  </w:t>
      </w:r>
    </w:p>
    <w:p w:rsidR="00425E08" w:rsidRPr="00327B3A" w:rsidRDefault="006B714C" w:rsidP="00425E08">
      <w:pPr>
        <w:jc w:val="both"/>
        <w:rPr>
          <w:rFonts w:asciiTheme="majorHAnsi" w:hAnsiTheme="majorHAnsi" w:cstheme="majorHAnsi"/>
          <w:sz w:val="28"/>
          <w:szCs w:val="28"/>
        </w:rPr>
      </w:pPr>
      <w:r w:rsidRPr="00327B3A">
        <w:rPr>
          <w:rFonts w:asciiTheme="majorHAnsi" w:hAnsiTheme="majorHAnsi" w:cstheme="majorHAnsi"/>
          <w:sz w:val="28"/>
          <w:szCs w:val="28"/>
        </w:rPr>
        <w:t>Once again, i</w:t>
      </w:r>
      <w:r w:rsidR="00F53258" w:rsidRPr="00327B3A">
        <w:rPr>
          <w:rFonts w:asciiTheme="majorHAnsi" w:hAnsiTheme="majorHAnsi" w:cstheme="majorHAnsi"/>
          <w:sz w:val="28"/>
          <w:szCs w:val="28"/>
        </w:rPr>
        <w:t>t is also noticeable that increases in upper secondary school completion rates have been quite limited</w:t>
      </w:r>
      <w:r w:rsidR="00640AF3">
        <w:rPr>
          <w:rFonts w:asciiTheme="majorHAnsi" w:hAnsiTheme="majorHAnsi" w:cstheme="majorHAnsi"/>
          <w:sz w:val="28"/>
          <w:szCs w:val="28"/>
        </w:rPr>
        <w:t>, again</w:t>
      </w:r>
      <w:r w:rsidR="00D16E91" w:rsidRPr="00327B3A">
        <w:rPr>
          <w:rFonts w:asciiTheme="majorHAnsi" w:hAnsiTheme="majorHAnsi" w:cstheme="majorHAnsi"/>
          <w:sz w:val="28"/>
          <w:szCs w:val="28"/>
        </w:rPr>
        <w:t xml:space="preserve"> especially in rural areas</w:t>
      </w:r>
      <w:r w:rsidR="00F53258" w:rsidRPr="00327B3A">
        <w:rPr>
          <w:rFonts w:asciiTheme="majorHAnsi" w:hAnsiTheme="majorHAnsi" w:cstheme="majorHAnsi"/>
          <w:sz w:val="28"/>
          <w:szCs w:val="28"/>
        </w:rPr>
        <w:t>.</w:t>
      </w:r>
      <w:r w:rsidR="00D16E91" w:rsidRPr="00327B3A">
        <w:rPr>
          <w:rFonts w:asciiTheme="majorHAnsi" w:hAnsiTheme="majorHAnsi" w:cstheme="majorHAnsi"/>
          <w:sz w:val="28"/>
          <w:szCs w:val="28"/>
        </w:rPr>
        <w:t xml:space="preserve"> Certainly in Tanzania and Uganda and, more recently</w:t>
      </w:r>
      <w:r w:rsidR="00A32FA1" w:rsidRPr="00327B3A">
        <w:rPr>
          <w:rFonts w:asciiTheme="majorHAnsi" w:hAnsiTheme="majorHAnsi" w:cstheme="majorHAnsi"/>
          <w:sz w:val="28"/>
          <w:szCs w:val="28"/>
        </w:rPr>
        <w:t>, in</w:t>
      </w:r>
      <w:r w:rsidR="00D16E91" w:rsidRPr="00327B3A">
        <w:rPr>
          <w:rFonts w:asciiTheme="majorHAnsi" w:hAnsiTheme="majorHAnsi" w:cstheme="majorHAnsi"/>
          <w:sz w:val="28"/>
          <w:szCs w:val="28"/>
        </w:rPr>
        <w:t xml:space="preserve"> Ghana and Sierra Leone, rapid </w:t>
      </w:r>
      <w:r w:rsidR="005750C1" w:rsidRPr="00327B3A">
        <w:rPr>
          <w:rFonts w:asciiTheme="majorHAnsi" w:hAnsiTheme="majorHAnsi" w:cstheme="majorHAnsi"/>
          <w:sz w:val="28"/>
          <w:szCs w:val="28"/>
        </w:rPr>
        <w:t xml:space="preserve">enrolment </w:t>
      </w:r>
      <w:r w:rsidR="00D16E91" w:rsidRPr="00327B3A">
        <w:rPr>
          <w:rFonts w:asciiTheme="majorHAnsi" w:hAnsiTheme="majorHAnsi" w:cstheme="majorHAnsi"/>
          <w:sz w:val="28"/>
          <w:szCs w:val="28"/>
        </w:rPr>
        <w:t>increases have led to growing concerns about</w:t>
      </w:r>
      <w:r w:rsidR="00ED0BCF" w:rsidRPr="00327B3A">
        <w:rPr>
          <w:rFonts w:asciiTheme="majorHAnsi" w:hAnsiTheme="majorHAnsi" w:cstheme="majorHAnsi"/>
          <w:sz w:val="28"/>
          <w:szCs w:val="28"/>
        </w:rPr>
        <w:t xml:space="preserve"> schooling</w:t>
      </w:r>
      <w:r w:rsidR="00D16E91" w:rsidRPr="00327B3A">
        <w:rPr>
          <w:rFonts w:asciiTheme="majorHAnsi" w:hAnsiTheme="majorHAnsi" w:cstheme="majorHAnsi"/>
          <w:sz w:val="28"/>
          <w:szCs w:val="28"/>
        </w:rPr>
        <w:t xml:space="preserve"> quality a</w:t>
      </w:r>
      <w:r w:rsidR="00A32FA1" w:rsidRPr="00327B3A">
        <w:rPr>
          <w:rFonts w:asciiTheme="majorHAnsi" w:hAnsiTheme="majorHAnsi" w:cstheme="majorHAnsi"/>
          <w:sz w:val="28"/>
          <w:szCs w:val="28"/>
        </w:rPr>
        <w:t>nd learning outcomes</w:t>
      </w:r>
      <w:r w:rsidR="00D16E91" w:rsidRPr="00327B3A">
        <w:rPr>
          <w:rFonts w:asciiTheme="majorHAnsi" w:hAnsiTheme="majorHAnsi" w:cstheme="majorHAnsi"/>
          <w:sz w:val="28"/>
          <w:szCs w:val="28"/>
        </w:rPr>
        <w:t xml:space="preserve">. </w:t>
      </w:r>
      <w:r w:rsidR="00A45DD0" w:rsidRPr="00327B3A">
        <w:rPr>
          <w:rFonts w:asciiTheme="majorHAnsi" w:hAnsiTheme="majorHAnsi" w:cstheme="majorHAnsi"/>
          <w:sz w:val="28"/>
          <w:szCs w:val="28"/>
        </w:rPr>
        <w:t>In Ghana, for example, the government introduced a tuition free policy for upper secondary (high school) in 2017</w:t>
      </w:r>
      <w:r w:rsidR="00640AF3">
        <w:rPr>
          <w:rFonts w:asciiTheme="majorHAnsi" w:hAnsiTheme="majorHAnsi" w:cstheme="majorHAnsi"/>
          <w:sz w:val="28"/>
          <w:szCs w:val="28"/>
        </w:rPr>
        <w:t xml:space="preserve">. </w:t>
      </w:r>
      <w:r w:rsidR="00A45DD0" w:rsidRPr="00327B3A">
        <w:rPr>
          <w:rFonts w:asciiTheme="majorHAnsi" w:hAnsiTheme="majorHAnsi" w:cstheme="majorHAnsi"/>
          <w:sz w:val="28"/>
          <w:szCs w:val="28"/>
        </w:rPr>
        <w:t xml:space="preserve">However, in order to meet </w:t>
      </w:r>
      <w:r w:rsidR="00A32FA1" w:rsidRPr="00327B3A">
        <w:rPr>
          <w:rFonts w:asciiTheme="majorHAnsi" w:hAnsiTheme="majorHAnsi" w:cstheme="majorHAnsi"/>
          <w:sz w:val="28"/>
          <w:szCs w:val="28"/>
        </w:rPr>
        <w:t xml:space="preserve">the resulting </w:t>
      </w:r>
      <w:r w:rsidR="00A45DD0" w:rsidRPr="00327B3A">
        <w:rPr>
          <w:rFonts w:asciiTheme="majorHAnsi" w:hAnsiTheme="majorHAnsi" w:cstheme="majorHAnsi"/>
          <w:sz w:val="28"/>
          <w:szCs w:val="28"/>
        </w:rPr>
        <w:t xml:space="preserve">surge in enrolments, a two-shift system has had to be introduced with staggered intakes which means </w:t>
      </w:r>
      <w:r w:rsidR="00A32FA1" w:rsidRPr="00327B3A">
        <w:rPr>
          <w:rFonts w:asciiTheme="majorHAnsi" w:hAnsiTheme="majorHAnsi" w:cstheme="majorHAnsi"/>
          <w:sz w:val="28"/>
          <w:szCs w:val="28"/>
        </w:rPr>
        <w:t xml:space="preserve">that </w:t>
      </w:r>
      <w:r w:rsidR="00A45DD0" w:rsidRPr="00327B3A">
        <w:rPr>
          <w:rFonts w:asciiTheme="majorHAnsi" w:hAnsiTheme="majorHAnsi" w:cstheme="majorHAnsi"/>
          <w:sz w:val="28"/>
          <w:szCs w:val="28"/>
        </w:rPr>
        <w:t>students have to remain at home for two months at time. Not surprisingly, this temporal form of double-shifting is unpopular among both students and parents and the overall quality of secondary</w:t>
      </w:r>
      <w:r w:rsidR="00A32FA1" w:rsidRPr="00327B3A">
        <w:rPr>
          <w:rFonts w:asciiTheme="majorHAnsi" w:hAnsiTheme="majorHAnsi" w:cstheme="majorHAnsi"/>
          <w:sz w:val="28"/>
          <w:szCs w:val="28"/>
        </w:rPr>
        <w:t xml:space="preserve"> education has declined</w:t>
      </w:r>
      <w:r w:rsidR="00A45DD0" w:rsidRPr="00327B3A">
        <w:rPr>
          <w:rFonts w:asciiTheme="majorHAnsi" w:hAnsiTheme="majorHAnsi" w:cstheme="majorHAnsi"/>
          <w:sz w:val="28"/>
          <w:szCs w:val="28"/>
        </w:rPr>
        <w:t xml:space="preserve">. </w:t>
      </w:r>
      <w:r w:rsidR="005750C1" w:rsidRPr="00327B3A">
        <w:rPr>
          <w:rFonts w:asciiTheme="majorHAnsi" w:hAnsiTheme="majorHAnsi" w:cstheme="majorHAnsi"/>
          <w:sz w:val="28"/>
          <w:szCs w:val="28"/>
        </w:rPr>
        <w:t>The g</w:t>
      </w:r>
      <w:r w:rsidR="00A45DD0" w:rsidRPr="00327B3A">
        <w:rPr>
          <w:rFonts w:asciiTheme="majorHAnsi" w:hAnsiTheme="majorHAnsi" w:cstheme="majorHAnsi"/>
          <w:sz w:val="28"/>
          <w:szCs w:val="28"/>
        </w:rPr>
        <w:t xml:space="preserve">overnment </w:t>
      </w:r>
      <w:r w:rsidR="005750C1" w:rsidRPr="00327B3A">
        <w:rPr>
          <w:rFonts w:asciiTheme="majorHAnsi" w:hAnsiTheme="majorHAnsi" w:cstheme="majorHAnsi"/>
          <w:sz w:val="28"/>
          <w:szCs w:val="28"/>
        </w:rPr>
        <w:t xml:space="preserve">response </w:t>
      </w:r>
      <w:r w:rsidR="00A32FA1" w:rsidRPr="00327B3A">
        <w:rPr>
          <w:rFonts w:asciiTheme="majorHAnsi" w:hAnsiTheme="majorHAnsi" w:cstheme="majorHAnsi"/>
          <w:sz w:val="28"/>
          <w:szCs w:val="28"/>
        </w:rPr>
        <w:t xml:space="preserve">has been </w:t>
      </w:r>
      <w:r w:rsidR="005750C1" w:rsidRPr="00327B3A">
        <w:rPr>
          <w:rFonts w:asciiTheme="majorHAnsi" w:hAnsiTheme="majorHAnsi" w:cstheme="majorHAnsi"/>
          <w:sz w:val="28"/>
          <w:szCs w:val="28"/>
        </w:rPr>
        <w:t xml:space="preserve">that it is </w:t>
      </w:r>
      <w:r w:rsidR="009D3066" w:rsidRPr="00327B3A">
        <w:rPr>
          <w:rFonts w:asciiTheme="majorHAnsi" w:hAnsiTheme="majorHAnsi" w:cstheme="majorHAnsi"/>
          <w:sz w:val="28"/>
          <w:szCs w:val="28"/>
        </w:rPr>
        <w:t xml:space="preserve">an </w:t>
      </w:r>
      <w:r w:rsidR="00A45DD0" w:rsidRPr="00327B3A">
        <w:rPr>
          <w:rFonts w:asciiTheme="majorHAnsi" w:hAnsiTheme="majorHAnsi" w:cstheme="majorHAnsi"/>
          <w:sz w:val="28"/>
          <w:szCs w:val="28"/>
        </w:rPr>
        <w:t xml:space="preserve">acceptable </w:t>
      </w:r>
      <w:r w:rsidR="009D3066" w:rsidRPr="00327B3A">
        <w:rPr>
          <w:rFonts w:asciiTheme="majorHAnsi" w:hAnsiTheme="majorHAnsi" w:cstheme="majorHAnsi"/>
          <w:sz w:val="28"/>
          <w:szCs w:val="28"/>
        </w:rPr>
        <w:t xml:space="preserve">cost </w:t>
      </w:r>
      <w:r w:rsidR="00A45DD0" w:rsidRPr="00327B3A">
        <w:rPr>
          <w:rFonts w:asciiTheme="majorHAnsi" w:hAnsiTheme="majorHAnsi" w:cstheme="majorHAnsi"/>
          <w:sz w:val="28"/>
          <w:szCs w:val="28"/>
        </w:rPr>
        <w:t>in the short term</w:t>
      </w:r>
      <w:r w:rsidR="005750C1" w:rsidRPr="00327B3A">
        <w:rPr>
          <w:rFonts w:asciiTheme="majorHAnsi" w:hAnsiTheme="majorHAnsi" w:cstheme="majorHAnsi"/>
          <w:sz w:val="28"/>
          <w:szCs w:val="28"/>
        </w:rPr>
        <w:t xml:space="preserve">. However, the </w:t>
      </w:r>
      <w:r w:rsidR="00A32FA1" w:rsidRPr="00327B3A">
        <w:rPr>
          <w:rFonts w:asciiTheme="majorHAnsi" w:hAnsiTheme="majorHAnsi" w:cstheme="majorHAnsi"/>
          <w:sz w:val="28"/>
          <w:szCs w:val="28"/>
        </w:rPr>
        <w:t xml:space="preserve">experience from </w:t>
      </w:r>
      <w:r w:rsidR="00773160" w:rsidRPr="00327B3A">
        <w:rPr>
          <w:rFonts w:asciiTheme="majorHAnsi" w:hAnsiTheme="majorHAnsi" w:cstheme="majorHAnsi"/>
          <w:sz w:val="28"/>
          <w:szCs w:val="28"/>
        </w:rPr>
        <w:t xml:space="preserve">other countries </w:t>
      </w:r>
      <w:r w:rsidR="005750C1" w:rsidRPr="00327B3A">
        <w:rPr>
          <w:rFonts w:asciiTheme="majorHAnsi" w:hAnsiTheme="majorHAnsi" w:cstheme="majorHAnsi"/>
          <w:sz w:val="28"/>
          <w:szCs w:val="28"/>
        </w:rPr>
        <w:t xml:space="preserve">in SSA highlights </w:t>
      </w:r>
      <w:r w:rsidR="00773160" w:rsidRPr="00327B3A">
        <w:rPr>
          <w:rFonts w:asciiTheme="majorHAnsi" w:hAnsiTheme="majorHAnsi" w:cstheme="majorHAnsi"/>
          <w:sz w:val="28"/>
          <w:szCs w:val="28"/>
        </w:rPr>
        <w:t>the negative</w:t>
      </w:r>
      <w:r w:rsidR="00A32FA1" w:rsidRPr="00327B3A">
        <w:rPr>
          <w:rFonts w:asciiTheme="majorHAnsi" w:hAnsiTheme="majorHAnsi" w:cstheme="majorHAnsi"/>
          <w:sz w:val="28"/>
          <w:szCs w:val="28"/>
        </w:rPr>
        <w:t>,</w:t>
      </w:r>
      <w:r w:rsidR="00773160" w:rsidRPr="00327B3A">
        <w:rPr>
          <w:rFonts w:asciiTheme="majorHAnsi" w:hAnsiTheme="majorHAnsi" w:cstheme="majorHAnsi"/>
          <w:sz w:val="28"/>
          <w:szCs w:val="28"/>
        </w:rPr>
        <w:t xml:space="preserve"> </w:t>
      </w:r>
      <w:r w:rsidR="005750C1" w:rsidRPr="00327B3A">
        <w:rPr>
          <w:rFonts w:asciiTheme="majorHAnsi" w:hAnsiTheme="majorHAnsi" w:cstheme="majorHAnsi"/>
          <w:sz w:val="28"/>
          <w:szCs w:val="28"/>
        </w:rPr>
        <w:t xml:space="preserve">longer-term </w:t>
      </w:r>
      <w:r w:rsidR="00773160" w:rsidRPr="00327B3A">
        <w:rPr>
          <w:rFonts w:asciiTheme="majorHAnsi" w:hAnsiTheme="majorHAnsi" w:cstheme="majorHAnsi"/>
          <w:sz w:val="28"/>
          <w:szCs w:val="28"/>
        </w:rPr>
        <w:t>impact</w:t>
      </w:r>
      <w:r w:rsidR="00A32FA1" w:rsidRPr="00327B3A">
        <w:rPr>
          <w:rFonts w:asciiTheme="majorHAnsi" w:hAnsiTheme="majorHAnsi" w:cstheme="majorHAnsi"/>
          <w:sz w:val="28"/>
          <w:szCs w:val="28"/>
        </w:rPr>
        <w:t>s</w:t>
      </w:r>
      <w:r w:rsidR="00773160" w:rsidRPr="00327B3A">
        <w:rPr>
          <w:rFonts w:asciiTheme="majorHAnsi" w:hAnsiTheme="majorHAnsi" w:cstheme="majorHAnsi"/>
          <w:sz w:val="28"/>
          <w:szCs w:val="28"/>
        </w:rPr>
        <w:t xml:space="preserve"> of such short-termism on</w:t>
      </w:r>
      <w:r w:rsidR="00640AF3">
        <w:rPr>
          <w:rFonts w:asciiTheme="majorHAnsi" w:hAnsiTheme="majorHAnsi" w:cstheme="majorHAnsi"/>
          <w:sz w:val="28"/>
          <w:szCs w:val="28"/>
        </w:rPr>
        <w:t xml:space="preserve"> the overall development of </w:t>
      </w:r>
      <w:r w:rsidR="00773160" w:rsidRPr="00327B3A">
        <w:rPr>
          <w:rFonts w:asciiTheme="majorHAnsi" w:hAnsiTheme="majorHAnsi" w:cstheme="majorHAnsi"/>
          <w:sz w:val="28"/>
          <w:szCs w:val="28"/>
        </w:rPr>
        <w:t xml:space="preserve">public </w:t>
      </w:r>
      <w:r w:rsidR="005750C1" w:rsidRPr="00327B3A">
        <w:rPr>
          <w:rFonts w:asciiTheme="majorHAnsi" w:hAnsiTheme="majorHAnsi" w:cstheme="majorHAnsi"/>
          <w:sz w:val="28"/>
          <w:szCs w:val="28"/>
        </w:rPr>
        <w:t xml:space="preserve">schooling </w:t>
      </w:r>
      <w:r w:rsidR="00773160" w:rsidRPr="00327B3A">
        <w:rPr>
          <w:rFonts w:asciiTheme="majorHAnsi" w:hAnsiTheme="majorHAnsi" w:cstheme="majorHAnsi"/>
          <w:sz w:val="28"/>
          <w:szCs w:val="28"/>
        </w:rPr>
        <w:t>system</w:t>
      </w:r>
      <w:r w:rsidR="005750C1" w:rsidRPr="00327B3A">
        <w:rPr>
          <w:rFonts w:asciiTheme="majorHAnsi" w:hAnsiTheme="majorHAnsi" w:cstheme="majorHAnsi"/>
          <w:sz w:val="28"/>
          <w:szCs w:val="28"/>
        </w:rPr>
        <w:t>s</w:t>
      </w:r>
      <w:r w:rsidR="00A45DD0" w:rsidRPr="00327B3A">
        <w:rPr>
          <w:rFonts w:asciiTheme="majorHAnsi" w:hAnsiTheme="majorHAnsi" w:cstheme="majorHAnsi"/>
          <w:sz w:val="28"/>
          <w:szCs w:val="28"/>
        </w:rPr>
        <w:t>.</w:t>
      </w:r>
      <w:r w:rsidR="00425E08" w:rsidRPr="00327B3A">
        <w:rPr>
          <w:rFonts w:asciiTheme="majorHAnsi" w:hAnsiTheme="majorHAnsi" w:cstheme="majorHAnsi"/>
          <w:sz w:val="28"/>
          <w:szCs w:val="28"/>
        </w:rPr>
        <w:t xml:space="preserve"> </w:t>
      </w:r>
    </w:p>
    <w:p w:rsidR="00877843" w:rsidRPr="00327B3A" w:rsidRDefault="00877843" w:rsidP="002A56D9">
      <w:pPr>
        <w:rPr>
          <w:rFonts w:asciiTheme="majorHAnsi" w:hAnsiTheme="majorHAnsi" w:cstheme="majorHAnsi"/>
          <w:i/>
          <w:sz w:val="28"/>
          <w:szCs w:val="28"/>
        </w:rPr>
      </w:pPr>
      <w:r w:rsidRPr="00327B3A">
        <w:rPr>
          <w:rFonts w:asciiTheme="majorHAnsi" w:hAnsiTheme="majorHAnsi" w:cstheme="majorHAnsi"/>
          <w:i/>
          <w:sz w:val="28"/>
          <w:szCs w:val="28"/>
        </w:rPr>
        <w:t>Increased domestic funding</w:t>
      </w:r>
    </w:p>
    <w:p w:rsidR="003129CA" w:rsidRPr="00327B3A" w:rsidRDefault="00C572CF" w:rsidP="003129CA">
      <w:pPr>
        <w:jc w:val="both"/>
        <w:rPr>
          <w:rFonts w:asciiTheme="majorHAnsi" w:hAnsiTheme="majorHAnsi" w:cstheme="majorHAnsi"/>
          <w:sz w:val="28"/>
          <w:szCs w:val="28"/>
        </w:rPr>
      </w:pPr>
      <w:r w:rsidRPr="00327B3A">
        <w:rPr>
          <w:rFonts w:asciiTheme="majorHAnsi" w:hAnsiTheme="majorHAnsi" w:cstheme="majorHAnsi"/>
          <w:sz w:val="28"/>
          <w:szCs w:val="28"/>
        </w:rPr>
        <w:t>The Report estimates that total annual expenditure on secondary education will have to rise from the current level of around $25billion to $175 billion in 2050. Although details of the USE cost modelling from which these projections are derived are not presented in the Report</w:t>
      </w:r>
      <w:r w:rsidRPr="00327B3A">
        <w:rPr>
          <w:rStyle w:val="FootnoteReference"/>
          <w:rFonts w:asciiTheme="majorHAnsi" w:hAnsiTheme="majorHAnsi" w:cstheme="majorHAnsi"/>
          <w:sz w:val="28"/>
          <w:szCs w:val="28"/>
        </w:rPr>
        <w:footnoteReference w:id="15"/>
      </w:r>
      <w:r w:rsidRPr="00327B3A">
        <w:rPr>
          <w:rFonts w:asciiTheme="majorHAnsi" w:hAnsiTheme="majorHAnsi" w:cstheme="majorHAnsi"/>
          <w:sz w:val="28"/>
          <w:szCs w:val="28"/>
        </w:rPr>
        <w:t>, the likelihood of these expenditure requirement targets being met is remote.</w:t>
      </w:r>
      <w:r w:rsidR="00C549A2" w:rsidRPr="00327B3A">
        <w:rPr>
          <w:rFonts w:asciiTheme="majorHAnsi" w:hAnsiTheme="majorHAnsi" w:cstheme="majorHAnsi"/>
          <w:sz w:val="28"/>
          <w:szCs w:val="28"/>
        </w:rPr>
        <w:t xml:space="preserve"> </w:t>
      </w:r>
      <w:r w:rsidR="00CA4D71" w:rsidRPr="00327B3A">
        <w:rPr>
          <w:rFonts w:asciiTheme="majorHAnsi" w:hAnsiTheme="majorHAnsi" w:cstheme="majorHAnsi"/>
          <w:sz w:val="28"/>
          <w:szCs w:val="28"/>
        </w:rPr>
        <w:t xml:space="preserve">Assuming that </w:t>
      </w:r>
      <w:r w:rsidR="003129CA" w:rsidRPr="00327B3A">
        <w:rPr>
          <w:rFonts w:asciiTheme="majorHAnsi" w:hAnsiTheme="majorHAnsi" w:cstheme="majorHAnsi"/>
          <w:sz w:val="28"/>
          <w:szCs w:val="28"/>
        </w:rPr>
        <w:t xml:space="preserve">the current </w:t>
      </w:r>
      <w:r w:rsidR="00CA4D71" w:rsidRPr="00327B3A">
        <w:rPr>
          <w:rFonts w:asciiTheme="majorHAnsi" w:hAnsiTheme="majorHAnsi" w:cstheme="majorHAnsi"/>
          <w:sz w:val="28"/>
          <w:szCs w:val="28"/>
        </w:rPr>
        <w:t xml:space="preserve">GDP </w:t>
      </w:r>
      <w:r w:rsidR="003129CA" w:rsidRPr="00327B3A">
        <w:rPr>
          <w:rFonts w:asciiTheme="majorHAnsi" w:hAnsiTheme="majorHAnsi" w:cstheme="majorHAnsi"/>
          <w:sz w:val="28"/>
          <w:szCs w:val="28"/>
        </w:rPr>
        <w:t>share of se</w:t>
      </w:r>
      <w:r w:rsidR="00CA4D71" w:rsidRPr="00327B3A">
        <w:rPr>
          <w:rFonts w:asciiTheme="majorHAnsi" w:hAnsiTheme="majorHAnsi" w:cstheme="majorHAnsi"/>
          <w:sz w:val="28"/>
          <w:szCs w:val="28"/>
        </w:rPr>
        <w:t>condary education expenditure is maintained at current levels</w:t>
      </w:r>
      <w:r w:rsidR="003129CA" w:rsidRPr="00327B3A">
        <w:rPr>
          <w:rFonts w:asciiTheme="majorHAnsi" w:hAnsiTheme="majorHAnsi" w:cstheme="majorHAnsi"/>
          <w:sz w:val="28"/>
          <w:szCs w:val="28"/>
        </w:rPr>
        <w:t>, this seven fold increase in expenditure would require annual average rates of economic growth across the continent of nearly 7% over the next 30 years. Achieving even half this rate of growth would be a significant achievement. This is implicitly recognised by the Report itself since the costing model calls for a doubling of the GDP share of secondary education by 2050 which, as wa</w:t>
      </w:r>
      <w:r w:rsidR="00640AF3">
        <w:rPr>
          <w:rFonts w:asciiTheme="majorHAnsi" w:hAnsiTheme="majorHAnsi" w:cstheme="majorHAnsi"/>
          <w:sz w:val="28"/>
          <w:szCs w:val="28"/>
        </w:rPr>
        <w:t xml:space="preserve">s discussed earlier, seems </w:t>
      </w:r>
      <w:r w:rsidR="00640AF3">
        <w:rPr>
          <w:rFonts w:asciiTheme="majorHAnsi" w:hAnsiTheme="majorHAnsi" w:cstheme="majorHAnsi"/>
          <w:sz w:val="28"/>
          <w:szCs w:val="28"/>
        </w:rPr>
        <w:lastRenderedPageBreak/>
        <w:t xml:space="preserve">very </w:t>
      </w:r>
      <w:r w:rsidR="003129CA" w:rsidRPr="00327B3A">
        <w:rPr>
          <w:rFonts w:asciiTheme="majorHAnsi" w:hAnsiTheme="majorHAnsi" w:cstheme="majorHAnsi"/>
          <w:sz w:val="28"/>
          <w:szCs w:val="28"/>
        </w:rPr>
        <w:t>unlikely given the current level and recent trends in government expenditure on secondary education and education as a whole during the last decade.</w:t>
      </w:r>
    </w:p>
    <w:p w:rsidR="0004379C" w:rsidRDefault="003129CA" w:rsidP="003129CA">
      <w:pPr>
        <w:jc w:val="both"/>
        <w:rPr>
          <w:rFonts w:asciiTheme="majorHAnsi" w:hAnsiTheme="majorHAnsi" w:cstheme="majorHAnsi"/>
          <w:sz w:val="28"/>
          <w:szCs w:val="28"/>
        </w:rPr>
      </w:pPr>
      <w:r w:rsidRPr="00327B3A">
        <w:rPr>
          <w:rFonts w:asciiTheme="majorHAnsi" w:hAnsiTheme="majorHAnsi" w:cstheme="majorHAnsi"/>
          <w:sz w:val="28"/>
          <w:szCs w:val="28"/>
        </w:rPr>
        <w:t>Even the baseline expenditure figures use</w:t>
      </w:r>
      <w:r w:rsidR="00CA4D71" w:rsidRPr="00327B3A">
        <w:rPr>
          <w:rFonts w:asciiTheme="majorHAnsi" w:hAnsiTheme="majorHAnsi" w:cstheme="majorHAnsi"/>
          <w:sz w:val="28"/>
          <w:szCs w:val="28"/>
        </w:rPr>
        <w:t xml:space="preserve">d for the costing exercise appear </w:t>
      </w:r>
      <w:r w:rsidRPr="00327B3A">
        <w:rPr>
          <w:rFonts w:asciiTheme="majorHAnsi" w:hAnsiTheme="majorHAnsi" w:cstheme="majorHAnsi"/>
          <w:sz w:val="28"/>
          <w:szCs w:val="28"/>
        </w:rPr>
        <w:t>inflated. As noted earlier, the paucity of comprehensive finance data on secondary education in SSA is a major issue. However, for the 31 countries for which UIS data is available, the unweighted average share of secondary education expenditure of GDP is less than one half of the reported 2.1% in the Report.</w:t>
      </w:r>
      <w:r w:rsidR="0004379C">
        <w:rPr>
          <w:rFonts w:asciiTheme="majorHAnsi" w:hAnsiTheme="majorHAnsi" w:cstheme="majorHAnsi"/>
          <w:sz w:val="28"/>
          <w:szCs w:val="28"/>
        </w:rPr>
        <w:t xml:space="preserve"> </w:t>
      </w:r>
      <w:r w:rsidR="005754A6">
        <w:rPr>
          <w:rFonts w:asciiTheme="majorHAnsi" w:hAnsiTheme="majorHAnsi" w:cstheme="majorHAnsi"/>
          <w:sz w:val="28"/>
          <w:szCs w:val="28"/>
        </w:rPr>
        <w:t>T</w:t>
      </w:r>
      <w:r w:rsidRPr="00327B3A">
        <w:rPr>
          <w:rFonts w:asciiTheme="majorHAnsi" w:hAnsiTheme="majorHAnsi" w:cstheme="majorHAnsi"/>
          <w:sz w:val="28"/>
          <w:szCs w:val="28"/>
        </w:rPr>
        <w:t>his percentage share is less than 0.5% in nearly one-quarter of these countries including the large population countries of DRC and Uganda</w:t>
      </w:r>
      <w:r w:rsidR="005754A6">
        <w:rPr>
          <w:rFonts w:asciiTheme="majorHAnsi" w:hAnsiTheme="majorHAnsi" w:cstheme="majorHAnsi"/>
          <w:sz w:val="28"/>
          <w:szCs w:val="28"/>
        </w:rPr>
        <w:t xml:space="preserve"> (see Figure 2)</w:t>
      </w:r>
      <w:r w:rsidRPr="00327B3A">
        <w:rPr>
          <w:rFonts w:asciiTheme="majorHAnsi" w:hAnsiTheme="majorHAnsi" w:cstheme="majorHAnsi"/>
          <w:sz w:val="28"/>
          <w:szCs w:val="28"/>
        </w:rPr>
        <w:t>.</w:t>
      </w:r>
    </w:p>
    <w:p w:rsidR="003129CA" w:rsidRPr="00327B3A" w:rsidRDefault="00D67727" w:rsidP="003129CA">
      <w:pPr>
        <w:jc w:val="both"/>
        <w:rPr>
          <w:rFonts w:asciiTheme="majorHAnsi" w:hAnsiTheme="majorHAnsi" w:cstheme="majorHAnsi"/>
          <w:sz w:val="28"/>
          <w:szCs w:val="28"/>
        </w:rPr>
      </w:pPr>
      <w:r>
        <w:rPr>
          <w:noProof/>
          <w:lang w:eastAsia="en-GB"/>
        </w:rPr>
        <w:drawing>
          <wp:inline distT="0" distB="0" distL="0" distR="0" wp14:anchorId="5C13A979" wp14:editId="51B82B63">
            <wp:extent cx="4824000" cy="2743200"/>
            <wp:effectExtent l="0" t="0" r="152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54A6" w:rsidRDefault="005754A6" w:rsidP="00877843">
      <w:pPr>
        <w:jc w:val="both"/>
        <w:rPr>
          <w:rFonts w:asciiTheme="majorHAnsi" w:hAnsiTheme="majorHAnsi" w:cstheme="majorHAnsi"/>
          <w:i/>
          <w:sz w:val="28"/>
          <w:szCs w:val="28"/>
        </w:rPr>
      </w:pPr>
    </w:p>
    <w:p w:rsidR="00877843" w:rsidRPr="00327B3A" w:rsidRDefault="00877843" w:rsidP="00877843">
      <w:pPr>
        <w:jc w:val="both"/>
        <w:rPr>
          <w:rFonts w:asciiTheme="majorHAnsi" w:hAnsiTheme="majorHAnsi" w:cstheme="majorHAnsi"/>
          <w:i/>
          <w:sz w:val="28"/>
          <w:szCs w:val="28"/>
        </w:rPr>
      </w:pPr>
      <w:r w:rsidRPr="00327B3A">
        <w:rPr>
          <w:rFonts w:asciiTheme="majorHAnsi" w:hAnsiTheme="majorHAnsi" w:cstheme="majorHAnsi"/>
          <w:i/>
          <w:sz w:val="28"/>
          <w:szCs w:val="28"/>
        </w:rPr>
        <w:t>External funding</w:t>
      </w:r>
    </w:p>
    <w:p w:rsidR="006A3917" w:rsidRPr="00327B3A" w:rsidRDefault="004D6DCF" w:rsidP="004D6DCF">
      <w:pPr>
        <w:jc w:val="both"/>
        <w:rPr>
          <w:rFonts w:asciiTheme="majorHAnsi" w:hAnsiTheme="majorHAnsi" w:cstheme="majorHAnsi"/>
          <w:sz w:val="28"/>
          <w:szCs w:val="28"/>
        </w:rPr>
      </w:pPr>
      <w:r w:rsidRPr="00327B3A">
        <w:rPr>
          <w:rFonts w:asciiTheme="majorHAnsi" w:hAnsiTheme="majorHAnsi" w:cstheme="majorHAnsi"/>
          <w:sz w:val="28"/>
          <w:szCs w:val="28"/>
        </w:rPr>
        <w:t xml:space="preserve">Very sizeable increases in external assistance (aid) will be essential for the large majority of countries </w:t>
      </w:r>
      <w:r w:rsidR="006A3917" w:rsidRPr="00327B3A">
        <w:rPr>
          <w:rFonts w:asciiTheme="majorHAnsi" w:hAnsiTheme="majorHAnsi" w:cstheme="majorHAnsi"/>
          <w:sz w:val="28"/>
          <w:szCs w:val="28"/>
        </w:rPr>
        <w:t xml:space="preserve">for there to be </w:t>
      </w:r>
      <w:r w:rsidRPr="00327B3A">
        <w:rPr>
          <w:rFonts w:asciiTheme="majorHAnsi" w:hAnsiTheme="majorHAnsi" w:cstheme="majorHAnsi"/>
          <w:sz w:val="28"/>
          <w:szCs w:val="28"/>
        </w:rPr>
        <w:t xml:space="preserve">any </w:t>
      </w:r>
      <w:r w:rsidR="006A3917" w:rsidRPr="00327B3A">
        <w:rPr>
          <w:rFonts w:asciiTheme="majorHAnsi" w:hAnsiTheme="majorHAnsi" w:cstheme="majorHAnsi"/>
          <w:sz w:val="28"/>
          <w:szCs w:val="28"/>
        </w:rPr>
        <w:t xml:space="preserve">real </w:t>
      </w:r>
      <w:r w:rsidRPr="00327B3A">
        <w:rPr>
          <w:rFonts w:asciiTheme="majorHAnsi" w:hAnsiTheme="majorHAnsi" w:cstheme="majorHAnsi"/>
          <w:sz w:val="28"/>
          <w:szCs w:val="28"/>
        </w:rPr>
        <w:t>prospect of USE being a</w:t>
      </w:r>
      <w:r w:rsidR="006A3917" w:rsidRPr="00327B3A">
        <w:rPr>
          <w:rFonts w:asciiTheme="majorHAnsi" w:hAnsiTheme="majorHAnsi" w:cstheme="majorHAnsi"/>
          <w:sz w:val="28"/>
          <w:szCs w:val="28"/>
        </w:rPr>
        <w:t>ttained in SSA with</w:t>
      </w:r>
      <w:r w:rsidRPr="00327B3A">
        <w:rPr>
          <w:rFonts w:asciiTheme="majorHAnsi" w:hAnsiTheme="majorHAnsi" w:cstheme="majorHAnsi"/>
          <w:sz w:val="28"/>
          <w:szCs w:val="28"/>
        </w:rPr>
        <w:t xml:space="preserve">in the next 30 years, let alone by the SDG4 target date of 2030. National UPE strategies in many countries </w:t>
      </w:r>
      <w:r w:rsidR="006A3917" w:rsidRPr="00327B3A">
        <w:rPr>
          <w:rFonts w:asciiTheme="majorHAnsi" w:hAnsiTheme="majorHAnsi" w:cstheme="majorHAnsi"/>
          <w:sz w:val="28"/>
          <w:szCs w:val="28"/>
        </w:rPr>
        <w:t xml:space="preserve">in SSA </w:t>
      </w:r>
      <w:r w:rsidRPr="00327B3A">
        <w:rPr>
          <w:rFonts w:asciiTheme="majorHAnsi" w:hAnsiTheme="majorHAnsi" w:cstheme="majorHAnsi"/>
          <w:sz w:val="28"/>
          <w:szCs w:val="28"/>
        </w:rPr>
        <w:t xml:space="preserve">benefited considerably </w:t>
      </w:r>
      <w:r w:rsidR="005754A6">
        <w:rPr>
          <w:rFonts w:asciiTheme="majorHAnsi" w:hAnsiTheme="majorHAnsi" w:cstheme="majorHAnsi"/>
          <w:sz w:val="28"/>
          <w:szCs w:val="28"/>
        </w:rPr>
        <w:t xml:space="preserve">from large scale donor support </w:t>
      </w:r>
      <w:r w:rsidRPr="00327B3A">
        <w:rPr>
          <w:rFonts w:asciiTheme="majorHAnsi" w:hAnsiTheme="majorHAnsi" w:cstheme="majorHAnsi"/>
          <w:sz w:val="28"/>
          <w:szCs w:val="28"/>
        </w:rPr>
        <w:t>and especially general budget support which could be used to fund additional teachers and other es</w:t>
      </w:r>
      <w:r w:rsidR="005754A6">
        <w:rPr>
          <w:rFonts w:asciiTheme="majorHAnsi" w:hAnsiTheme="majorHAnsi" w:cstheme="majorHAnsi"/>
          <w:sz w:val="28"/>
          <w:szCs w:val="28"/>
        </w:rPr>
        <w:t>sential recurrent expenditure</w:t>
      </w:r>
      <w:r w:rsidRPr="00327B3A">
        <w:rPr>
          <w:rFonts w:asciiTheme="majorHAnsi" w:hAnsiTheme="majorHAnsi" w:cstheme="majorHAnsi"/>
          <w:sz w:val="28"/>
          <w:szCs w:val="28"/>
        </w:rPr>
        <w:t xml:space="preserve">. </w:t>
      </w:r>
      <w:r w:rsidR="00287225" w:rsidRPr="00327B3A">
        <w:rPr>
          <w:rFonts w:asciiTheme="majorHAnsi" w:hAnsiTheme="majorHAnsi" w:cstheme="majorHAnsi"/>
          <w:sz w:val="28"/>
          <w:szCs w:val="28"/>
        </w:rPr>
        <w:t>Despite strong</w:t>
      </w:r>
      <w:r w:rsidR="005754A6">
        <w:rPr>
          <w:rFonts w:asciiTheme="majorHAnsi" w:hAnsiTheme="majorHAnsi" w:cstheme="majorHAnsi"/>
          <w:sz w:val="28"/>
          <w:szCs w:val="28"/>
        </w:rPr>
        <w:t xml:space="preserve"> expressions of </w:t>
      </w:r>
      <w:r w:rsidR="00287225" w:rsidRPr="00327B3A">
        <w:rPr>
          <w:rFonts w:asciiTheme="majorHAnsi" w:hAnsiTheme="majorHAnsi" w:cstheme="majorHAnsi"/>
          <w:sz w:val="28"/>
          <w:szCs w:val="28"/>
        </w:rPr>
        <w:t>support</w:t>
      </w:r>
      <w:r w:rsidR="005754A6">
        <w:rPr>
          <w:rFonts w:asciiTheme="majorHAnsi" w:hAnsiTheme="majorHAnsi" w:cstheme="majorHAnsi"/>
          <w:sz w:val="28"/>
          <w:szCs w:val="28"/>
        </w:rPr>
        <w:t xml:space="preserve"> among the international donor community for </w:t>
      </w:r>
      <w:r w:rsidR="00287225" w:rsidRPr="00327B3A">
        <w:rPr>
          <w:rFonts w:asciiTheme="majorHAnsi" w:hAnsiTheme="majorHAnsi" w:cstheme="majorHAnsi"/>
          <w:sz w:val="28"/>
          <w:szCs w:val="28"/>
        </w:rPr>
        <w:t xml:space="preserve">the SDG4 education goals, current levels of </w:t>
      </w:r>
      <w:r w:rsidR="00CA4D71" w:rsidRPr="00327B3A">
        <w:rPr>
          <w:rFonts w:asciiTheme="majorHAnsi" w:hAnsiTheme="majorHAnsi" w:cstheme="majorHAnsi"/>
          <w:sz w:val="28"/>
          <w:szCs w:val="28"/>
        </w:rPr>
        <w:t xml:space="preserve">aid disbursements </w:t>
      </w:r>
      <w:r w:rsidR="00287225" w:rsidRPr="00327B3A">
        <w:rPr>
          <w:rFonts w:asciiTheme="majorHAnsi" w:hAnsiTheme="majorHAnsi" w:cstheme="majorHAnsi"/>
          <w:sz w:val="28"/>
          <w:szCs w:val="28"/>
        </w:rPr>
        <w:t xml:space="preserve">for secondary </w:t>
      </w:r>
      <w:r w:rsidR="00287225" w:rsidRPr="00327B3A">
        <w:rPr>
          <w:rFonts w:asciiTheme="majorHAnsi" w:hAnsiTheme="majorHAnsi" w:cstheme="majorHAnsi"/>
          <w:sz w:val="28"/>
          <w:szCs w:val="28"/>
        </w:rPr>
        <w:lastRenderedPageBreak/>
        <w:t xml:space="preserve">education </w:t>
      </w:r>
      <w:r w:rsidR="00D560D5" w:rsidRPr="00327B3A">
        <w:rPr>
          <w:rFonts w:asciiTheme="majorHAnsi" w:hAnsiTheme="majorHAnsi" w:cstheme="majorHAnsi"/>
          <w:sz w:val="28"/>
          <w:szCs w:val="28"/>
        </w:rPr>
        <w:t xml:space="preserve">amount to </w:t>
      </w:r>
      <w:r w:rsidR="005754A6">
        <w:rPr>
          <w:rFonts w:asciiTheme="majorHAnsi" w:hAnsiTheme="majorHAnsi" w:cstheme="majorHAnsi"/>
          <w:sz w:val="28"/>
          <w:szCs w:val="28"/>
        </w:rPr>
        <w:t xml:space="preserve">only </w:t>
      </w:r>
      <w:r w:rsidR="002D34E2" w:rsidRPr="00327B3A">
        <w:rPr>
          <w:rFonts w:asciiTheme="majorHAnsi" w:hAnsiTheme="majorHAnsi" w:cstheme="majorHAnsi"/>
          <w:sz w:val="28"/>
          <w:szCs w:val="28"/>
        </w:rPr>
        <w:t xml:space="preserve">a tiny </w:t>
      </w:r>
      <w:r w:rsidR="00CA4D71" w:rsidRPr="00327B3A">
        <w:rPr>
          <w:rFonts w:asciiTheme="majorHAnsi" w:hAnsiTheme="majorHAnsi" w:cstheme="majorHAnsi"/>
          <w:sz w:val="28"/>
          <w:szCs w:val="28"/>
        </w:rPr>
        <w:t xml:space="preserve">fraction of the total </w:t>
      </w:r>
      <w:r w:rsidR="006A3917" w:rsidRPr="00327B3A">
        <w:rPr>
          <w:rFonts w:asciiTheme="majorHAnsi" w:hAnsiTheme="majorHAnsi" w:cstheme="majorHAnsi"/>
          <w:sz w:val="28"/>
          <w:szCs w:val="28"/>
        </w:rPr>
        <w:t xml:space="preserve">required for </w:t>
      </w:r>
      <w:r w:rsidR="002D34E2" w:rsidRPr="00327B3A">
        <w:rPr>
          <w:rFonts w:asciiTheme="majorHAnsi" w:hAnsiTheme="majorHAnsi" w:cstheme="majorHAnsi"/>
          <w:sz w:val="28"/>
          <w:szCs w:val="28"/>
        </w:rPr>
        <w:t xml:space="preserve">the attainment of </w:t>
      </w:r>
      <w:r w:rsidR="006A3917" w:rsidRPr="00327B3A">
        <w:rPr>
          <w:rFonts w:asciiTheme="majorHAnsi" w:hAnsiTheme="majorHAnsi" w:cstheme="majorHAnsi"/>
          <w:sz w:val="28"/>
          <w:szCs w:val="28"/>
        </w:rPr>
        <w:t>USE</w:t>
      </w:r>
      <w:r w:rsidR="00842F15" w:rsidRPr="00327B3A">
        <w:rPr>
          <w:rFonts w:asciiTheme="majorHAnsi" w:hAnsiTheme="majorHAnsi" w:cstheme="majorHAnsi"/>
          <w:sz w:val="28"/>
          <w:szCs w:val="28"/>
        </w:rPr>
        <w:t xml:space="preserve"> in SSA</w:t>
      </w:r>
      <w:r w:rsidR="00842F15" w:rsidRPr="00327B3A">
        <w:rPr>
          <w:rStyle w:val="FootnoteReference"/>
          <w:rFonts w:asciiTheme="majorHAnsi" w:hAnsiTheme="majorHAnsi" w:cstheme="majorHAnsi"/>
          <w:sz w:val="28"/>
          <w:szCs w:val="28"/>
        </w:rPr>
        <w:footnoteReference w:id="16"/>
      </w:r>
      <w:r w:rsidRPr="00327B3A">
        <w:rPr>
          <w:rFonts w:asciiTheme="majorHAnsi" w:hAnsiTheme="majorHAnsi" w:cstheme="majorHAnsi"/>
          <w:sz w:val="28"/>
          <w:szCs w:val="28"/>
        </w:rPr>
        <w:t xml:space="preserve">.  </w:t>
      </w:r>
    </w:p>
    <w:p w:rsidR="00942F0C" w:rsidRDefault="006A3917" w:rsidP="00877843">
      <w:pPr>
        <w:jc w:val="both"/>
        <w:rPr>
          <w:rFonts w:asciiTheme="majorHAnsi" w:hAnsiTheme="majorHAnsi" w:cstheme="majorHAnsi"/>
          <w:sz w:val="28"/>
          <w:szCs w:val="28"/>
        </w:rPr>
      </w:pPr>
      <w:r w:rsidRPr="00327B3A">
        <w:rPr>
          <w:rFonts w:asciiTheme="majorHAnsi" w:hAnsiTheme="majorHAnsi" w:cstheme="majorHAnsi"/>
          <w:sz w:val="28"/>
          <w:szCs w:val="28"/>
        </w:rPr>
        <w:t>The Report notes that although the share of e</w:t>
      </w:r>
      <w:r w:rsidR="00877843" w:rsidRPr="00327B3A">
        <w:rPr>
          <w:rFonts w:asciiTheme="majorHAnsi" w:hAnsiTheme="majorHAnsi" w:cstheme="majorHAnsi"/>
          <w:sz w:val="28"/>
          <w:szCs w:val="28"/>
        </w:rPr>
        <w:t xml:space="preserve">ducation </w:t>
      </w:r>
      <w:r w:rsidRPr="00327B3A">
        <w:rPr>
          <w:rFonts w:asciiTheme="majorHAnsi" w:hAnsiTheme="majorHAnsi" w:cstheme="majorHAnsi"/>
          <w:sz w:val="28"/>
          <w:szCs w:val="28"/>
        </w:rPr>
        <w:t xml:space="preserve">in total </w:t>
      </w:r>
      <w:r w:rsidR="00877843" w:rsidRPr="00327B3A">
        <w:rPr>
          <w:rFonts w:asciiTheme="majorHAnsi" w:hAnsiTheme="majorHAnsi" w:cstheme="majorHAnsi"/>
          <w:sz w:val="28"/>
          <w:szCs w:val="28"/>
        </w:rPr>
        <w:t xml:space="preserve">aid </w:t>
      </w:r>
      <w:r w:rsidRPr="00327B3A">
        <w:rPr>
          <w:rFonts w:asciiTheme="majorHAnsi" w:hAnsiTheme="majorHAnsi" w:cstheme="majorHAnsi"/>
          <w:sz w:val="28"/>
          <w:szCs w:val="28"/>
        </w:rPr>
        <w:t xml:space="preserve">disbursements to SSA fell </w:t>
      </w:r>
      <w:r w:rsidR="00877843" w:rsidRPr="00327B3A">
        <w:rPr>
          <w:rFonts w:asciiTheme="majorHAnsi" w:hAnsiTheme="majorHAnsi" w:cstheme="majorHAnsi"/>
          <w:sz w:val="28"/>
          <w:szCs w:val="28"/>
        </w:rPr>
        <w:t xml:space="preserve">from 9.6% in 2002 to 6.6% </w:t>
      </w:r>
      <w:r w:rsidRPr="00327B3A">
        <w:rPr>
          <w:rFonts w:asciiTheme="majorHAnsi" w:hAnsiTheme="majorHAnsi" w:cstheme="majorHAnsi"/>
          <w:sz w:val="28"/>
          <w:szCs w:val="28"/>
        </w:rPr>
        <w:t>in 2016</w:t>
      </w:r>
      <w:r w:rsidR="000D70A9" w:rsidRPr="00327B3A">
        <w:rPr>
          <w:rStyle w:val="FootnoteReference"/>
          <w:rFonts w:asciiTheme="majorHAnsi" w:hAnsiTheme="majorHAnsi" w:cstheme="majorHAnsi"/>
          <w:sz w:val="28"/>
          <w:szCs w:val="28"/>
        </w:rPr>
        <w:footnoteReference w:id="17"/>
      </w:r>
      <w:r w:rsidRPr="00327B3A">
        <w:rPr>
          <w:rFonts w:asciiTheme="majorHAnsi" w:hAnsiTheme="majorHAnsi" w:cstheme="majorHAnsi"/>
          <w:sz w:val="28"/>
          <w:szCs w:val="28"/>
        </w:rPr>
        <w:t>, ‘o</w:t>
      </w:r>
      <w:r w:rsidR="00877843" w:rsidRPr="00327B3A">
        <w:rPr>
          <w:rFonts w:asciiTheme="majorHAnsi" w:hAnsiTheme="majorHAnsi" w:cstheme="majorHAnsi"/>
          <w:sz w:val="28"/>
          <w:szCs w:val="28"/>
        </w:rPr>
        <w:t xml:space="preserve">fficial development assistance has started to focus more on secondary education’. </w:t>
      </w:r>
      <w:r w:rsidRPr="00327B3A">
        <w:rPr>
          <w:rFonts w:asciiTheme="majorHAnsi" w:hAnsiTheme="majorHAnsi" w:cstheme="majorHAnsi"/>
          <w:sz w:val="28"/>
          <w:szCs w:val="28"/>
        </w:rPr>
        <w:t xml:space="preserve">(p.231). </w:t>
      </w:r>
      <w:r w:rsidR="00842F15" w:rsidRPr="00327B3A">
        <w:rPr>
          <w:rFonts w:asciiTheme="majorHAnsi" w:hAnsiTheme="majorHAnsi" w:cstheme="majorHAnsi"/>
          <w:sz w:val="28"/>
          <w:szCs w:val="28"/>
        </w:rPr>
        <w:t>However, a</w:t>
      </w:r>
      <w:r w:rsidR="00942F0C" w:rsidRPr="00327B3A">
        <w:rPr>
          <w:rFonts w:asciiTheme="majorHAnsi" w:hAnsiTheme="majorHAnsi" w:cstheme="majorHAnsi"/>
          <w:sz w:val="28"/>
          <w:szCs w:val="28"/>
        </w:rPr>
        <w:t xml:space="preserve">s can be observed in Table </w:t>
      </w:r>
      <w:r w:rsidR="00304A85">
        <w:rPr>
          <w:rFonts w:asciiTheme="majorHAnsi" w:hAnsiTheme="majorHAnsi" w:cstheme="majorHAnsi"/>
          <w:sz w:val="28"/>
          <w:szCs w:val="28"/>
        </w:rPr>
        <w:t>6</w:t>
      </w:r>
      <w:r w:rsidR="00942F0C" w:rsidRPr="00327B3A">
        <w:rPr>
          <w:rFonts w:asciiTheme="majorHAnsi" w:hAnsiTheme="majorHAnsi" w:cstheme="majorHAnsi"/>
          <w:sz w:val="28"/>
          <w:szCs w:val="28"/>
        </w:rPr>
        <w:t>, this is only true for technical secondary education</w:t>
      </w:r>
      <w:r w:rsidR="005754A6">
        <w:rPr>
          <w:rFonts w:asciiTheme="majorHAnsi" w:hAnsiTheme="majorHAnsi" w:cstheme="majorHAnsi"/>
          <w:sz w:val="28"/>
          <w:szCs w:val="28"/>
        </w:rPr>
        <w:t xml:space="preserve"> which benefits relatively </w:t>
      </w:r>
      <w:r w:rsidR="00942F0C" w:rsidRPr="00327B3A">
        <w:rPr>
          <w:rFonts w:asciiTheme="majorHAnsi" w:hAnsiTheme="majorHAnsi" w:cstheme="majorHAnsi"/>
          <w:sz w:val="28"/>
          <w:szCs w:val="28"/>
        </w:rPr>
        <w:t>few students</w:t>
      </w:r>
      <w:r w:rsidR="000D70A9" w:rsidRPr="00327B3A">
        <w:rPr>
          <w:rFonts w:asciiTheme="majorHAnsi" w:hAnsiTheme="majorHAnsi" w:cstheme="majorHAnsi"/>
          <w:sz w:val="28"/>
          <w:szCs w:val="28"/>
        </w:rPr>
        <w:t xml:space="preserve"> and, for the reasons discussed earlier, is unlikely to be cost-effective</w:t>
      </w:r>
      <w:r w:rsidR="00942F0C" w:rsidRPr="00327B3A">
        <w:rPr>
          <w:rFonts w:asciiTheme="majorHAnsi" w:hAnsiTheme="majorHAnsi" w:cstheme="majorHAnsi"/>
          <w:sz w:val="28"/>
          <w:szCs w:val="28"/>
        </w:rPr>
        <w:t xml:space="preserve">. Support for general secondary school, </w:t>
      </w:r>
      <w:r w:rsidR="000D70A9" w:rsidRPr="00327B3A">
        <w:rPr>
          <w:rFonts w:asciiTheme="majorHAnsi" w:hAnsiTheme="majorHAnsi" w:cstheme="majorHAnsi"/>
          <w:sz w:val="28"/>
          <w:szCs w:val="28"/>
        </w:rPr>
        <w:t xml:space="preserve">on the other hand, </w:t>
      </w:r>
      <w:r w:rsidR="00942F0C" w:rsidRPr="00327B3A">
        <w:rPr>
          <w:rFonts w:asciiTheme="majorHAnsi" w:hAnsiTheme="majorHAnsi" w:cstheme="majorHAnsi"/>
          <w:sz w:val="28"/>
          <w:szCs w:val="28"/>
        </w:rPr>
        <w:t xml:space="preserve">which is essential for the attainment of USE, has remained unchanged at </w:t>
      </w:r>
      <w:r w:rsidR="000D70A9" w:rsidRPr="00327B3A">
        <w:rPr>
          <w:rFonts w:asciiTheme="majorHAnsi" w:hAnsiTheme="majorHAnsi" w:cstheme="majorHAnsi"/>
          <w:sz w:val="28"/>
          <w:szCs w:val="28"/>
        </w:rPr>
        <w:t xml:space="preserve">just </w:t>
      </w:r>
      <w:r w:rsidR="00942F0C" w:rsidRPr="00327B3A">
        <w:rPr>
          <w:rFonts w:asciiTheme="majorHAnsi" w:hAnsiTheme="majorHAnsi" w:cstheme="majorHAnsi"/>
          <w:sz w:val="28"/>
          <w:szCs w:val="28"/>
        </w:rPr>
        <w:t>US$</w:t>
      </w:r>
      <w:r w:rsidR="000D70A9" w:rsidRPr="00327B3A">
        <w:rPr>
          <w:rFonts w:asciiTheme="majorHAnsi" w:hAnsiTheme="majorHAnsi" w:cstheme="majorHAnsi"/>
          <w:sz w:val="28"/>
          <w:szCs w:val="28"/>
        </w:rPr>
        <w:t>200-2</w:t>
      </w:r>
      <w:r w:rsidR="00942F0C" w:rsidRPr="00327B3A">
        <w:rPr>
          <w:rFonts w:asciiTheme="majorHAnsi" w:hAnsiTheme="majorHAnsi" w:cstheme="majorHAnsi"/>
          <w:sz w:val="28"/>
          <w:szCs w:val="28"/>
        </w:rPr>
        <w:t>20 million</w:t>
      </w:r>
      <w:r w:rsidR="000D70A9" w:rsidRPr="00327B3A">
        <w:rPr>
          <w:rFonts w:asciiTheme="majorHAnsi" w:hAnsiTheme="majorHAnsi" w:cstheme="majorHAnsi"/>
          <w:sz w:val="28"/>
          <w:szCs w:val="28"/>
        </w:rPr>
        <w:t xml:space="preserve"> </w:t>
      </w:r>
      <w:r w:rsidR="00842F15" w:rsidRPr="00327B3A">
        <w:rPr>
          <w:rFonts w:asciiTheme="majorHAnsi" w:hAnsiTheme="majorHAnsi" w:cstheme="majorHAnsi"/>
          <w:sz w:val="28"/>
          <w:szCs w:val="28"/>
        </w:rPr>
        <w:t xml:space="preserve">per annum </w:t>
      </w:r>
      <w:r w:rsidR="000D70A9" w:rsidRPr="00327B3A">
        <w:rPr>
          <w:rFonts w:asciiTheme="majorHAnsi" w:hAnsiTheme="majorHAnsi" w:cstheme="majorHAnsi"/>
          <w:sz w:val="28"/>
          <w:szCs w:val="28"/>
        </w:rPr>
        <w:t>(in 2018 constant US$)</w:t>
      </w:r>
      <w:r w:rsidR="00CA4D71" w:rsidRPr="00327B3A">
        <w:rPr>
          <w:rFonts w:asciiTheme="majorHAnsi" w:hAnsiTheme="majorHAnsi" w:cstheme="majorHAnsi"/>
          <w:sz w:val="28"/>
          <w:szCs w:val="28"/>
        </w:rPr>
        <w:t xml:space="preserve"> during </w:t>
      </w:r>
      <w:r w:rsidR="00942F0C" w:rsidRPr="00327B3A">
        <w:rPr>
          <w:rFonts w:asciiTheme="majorHAnsi" w:hAnsiTheme="majorHAnsi" w:cstheme="majorHAnsi"/>
          <w:sz w:val="28"/>
          <w:szCs w:val="28"/>
        </w:rPr>
        <w:t xml:space="preserve">the </w:t>
      </w:r>
      <w:r w:rsidR="005754A6">
        <w:rPr>
          <w:rFonts w:asciiTheme="majorHAnsi" w:hAnsiTheme="majorHAnsi" w:cstheme="majorHAnsi"/>
          <w:sz w:val="28"/>
          <w:szCs w:val="28"/>
        </w:rPr>
        <w:t xml:space="preserve">last </w:t>
      </w:r>
      <w:r w:rsidR="00CA4D71" w:rsidRPr="00327B3A">
        <w:rPr>
          <w:rFonts w:asciiTheme="majorHAnsi" w:hAnsiTheme="majorHAnsi" w:cstheme="majorHAnsi"/>
          <w:sz w:val="28"/>
          <w:szCs w:val="28"/>
        </w:rPr>
        <w:t>decade</w:t>
      </w:r>
      <w:r w:rsidR="00942F0C" w:rsidRPr="00327B3A">
        <w:rPr>
          <w:rFonts w:asciiTheme="majorHAnsi" w:hAnsiTheme="majorHAnsi" w:cstheme="majorHAnsi"/>
          <w:sz w:val="28"/>
          <w:szCs w:val="28"/>
        </w:rPr>
        <w:t xml:space="preserve"> and its </w:t>
      </w:r>
      <w:r w:rsidR="005754A6">
        <w:rPr>
          <w:rFonts w:asciiTheme="majorHAnsi" w:hAnsiTheme="majorHAnsi" w:cstheme="majorHAnsi"/>
          <w:sz w:val="28"/>
          <w:szCs w:val="28"/>
        </w:rPr>
        <w:t xml:space="preserve">very small </w:t>
      </w:r>
      <w:r w:rsidR="000D70A9" w:rsidRPr="00327B3A">
        <w:rPr>
          <w:rFonts w:asciiTheme="majorHAnsi" w:hAnsiTheme="majorHAnsi" w:cstheme="majorHAnsi"/>
          <w:sz w:val="28"/>
          <w:szCs w:val="28"/>
        </w:rPr>
        <w:t xml:space="preserve">share of total </w:t>
      </w:r>
      <w:r w:rsidR="00942F0C" w:rsidRPr="00327B3A">
        <w:rPr>
          <w:rFonts w:asciiTheme="majorHAnsi" w:hAnsiTheme="majorHAnsi" w:cstheme="majorHAnsi"/>
          <w:sz w:val="28"/>
          <w:szCs w:val="28"/>
        </w:rPr>
        <w:t>education aid to Africa has barely increased – from an average of 4.7%</w:t>
      </w:r>
      <w:r w:rsidR="00842F15" w:rsidRPr="00327B3A">
        <w:rPr>
          <w:rFonts w:asciiTheme="majorHAnsi" w:hAnsiTheme="majorHAnsi" w:cstheme="majorHAnsi"/>
          <w:sz w:val="28"/>
          <w:szCs w:val="28"/>
        </w:rPr>
        <w:t xml:space="preserve"> between 2009 and </w:t>
      </w:r>
      <w:r w:rsidR="00942F0C" w:rsidRPr="00327B3A">
        <w:rPr>
          <w:rFonts w:asciiTheme="majorHAnsi" w:hAnsiTheme="majorHAnsi" w:cstheme="majorHAnsi"/>
          <w:sz w:val="28"/>
          <w:szCs w:val="28"/>
        </w:rPr>
        <w:t xml:space="preserve">2011 to 6.5% between 2017 and 2019. </w:t>
      </w:r>
      <w:r w:rsidR="000D70A9" w:rsidRPr="00327B3A">
        <w:rPr>
          <w:rFonts w:asciiTheme="majorHAnsi" w:hAnsiTheme="majorHAnsi" w:cstheme="majorHAnsi"/>
          <w:sz w:val="28"/>
          <w:szCs w:val="28"/>
        </w:rPr>
        <w:t>Ten years ago</w:t>
      </w:r>
      <w:r w:rsidR="005754A6">
        <w:rPr>
          <w:rFonts w:asciiTheme="majorHAnsi" w:hAnsiTheme="majorHAnsi" w:cstheme="majorHAnsi"/>
          <w:sz w:val="28"/>
          <w:szCs w:val="28"/>
        </w:rPr>
        <w:t>,</w:t>
      </w:r>
      <w:r w:rsidR="000D70A9" w:rsidRPr="00327B3A">
        <w:rPr>
          <w:rFonts w:asciiTheme="majorHAnsi" w:hAnsiTheme="majorHAnsi" w:cstheme="majorHAnsi"/>
          <w:sz w:val="28"/>
          <w:szCs w:val="28"/>
        </w:rPr>
        <w:t xml:space="preserve"> support for </w:t>
      </w:r>
      <w:r w:rsidR="00942F0C" w:rsidRPr="00327B3A">
        <w:rPr>
          <w:rFonts w:asciiTheme="majorHAnsi" w:hAnsiTheme="majorHAnsi" w:cstheme="majorHAnsi"/>
          <w:sz w:val="28"/>
          <w:szCs w:val="28"/>
        </w:rPr>
        <w:t>general secondary education</w:t>
      </w:r>
      <w:r w:rsidR="000D70A9" w:rsidRPr="00327B3A">
        <w:rPr>
          <w:rFonts w:asciiTheme="majorHAnsi" w:hAnsiTheme="majorHAnsi" w:cstheme="majorHAnsi"/>
          <w:sz w:val="28"/>
          <w:szCs w:val="28"/>
        </w:rPr>
        <w:t xml:space="preserve"> accounted for nearly 57% of total aid for secondary education. Currently, this share is barely one-third of the total.</w:t>
      </w:r>
      <w:r w:rsidR="00842F15" w:rsidRPr="00327B3A">
        <w:rPr>
          <w:rFonts w:asciiTheme="majorHAnsi" w:hAnsiTheme="majorHAnsi" w:cstheme="majorHAnsi"/>
          <w:sz w:val="28"/>
          <w:szCs w:val="28"/>
        </w:rPr>
        <w:t xml:space="preserve"> </w:t>
      </w:r>
      <w:r w:rsidR="000D70A9" w:rsidRPr="00327B3A">
        <w:rPr>
          <w:rFonts w:asciiTheme="majorHAnsi" w:hAnsiTheme="majorHAnsi" w:cstheme="majorHAnsi"/>
          <w:sz w:val="28"/>
          <w:szCs w:val="28"/>
        </w:rPr>
        <w:t xml:space="preserve"> </w:t>
      </w:r>
    </w:p>
    <w:tbl>
      <w:tblPr>
        <w:tblW w:w="9955" w:type="dxa"/>
        <w:tblLook w:val="04A0" w:firstRow="1" w:lastRow="0" w:firstColumn="1" w:lastColumn="0" w:noHBand="0" w:noVBand="1"/>
      </w:tblPr>
      <w:tblGrid>
        <w:gridCol w:w="862"/>
        <w:gridCol w:w="1101"/>
        <w:gridCol w:w="1124"/>
        <w:gridCol w:w="1124"/>
        <w:gridCol w:w="1124"/>
        <w:gridCol w:w="1268"/>
        <w:gridCol w:w="1564"/>
        <w:gridCol w:w="2031"/>
      </w:tblGrid>
      <w:tr w:rsidR="00A83AAA" w:rsidRPr="00A83AAA" w:rsidTr="00A83AAA">
        <w:trPr>
          <w:trHeight w:val="288"/>
        </w:trPr>
        <w:tc>
          <w:tcPr>
            <w:tcW w:w="9955" w:type="dxa"/>
            <w:gridSpan w:val="8"/>
            <w:tcBorders>
              <w:top w:val="nil"/>
              <w:left w:val="nil"/>
              <w:bottom w:val="nil"/>
              <w:right w:val="nil"/>
            </w:tcBorders>
            <w:shd w:val="clear" w:color="auto" w:fill="auto"/>
            <w:noWrap/>
            <w:vAlign w:val="bottom"/>
            <w:hideMark/>
          </w:tcPr>
          <w:p w:rsidR="00A83AAA" w:rsidRPr="00A83AAA" w:rsidRDefault="00A83AAA" w:rsidP="00A83AAA">
            <w:pPr>
              <w:spacing w:after="0" w:line="240" w:lineRule="auto"/>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Table 6: Aid disbursements on all education and general and technical secondary education</w:t>
            </w:r>
          </w:p>
        </w:tc>
      </w:tr>
      <w:tr w:rsidR="00A83AAA" w:rsidRPr="00A83AAA" w:rsidTr="00A83AAA">
        <w:trPr>
          <w:trHeight w:val="300"/>
        </w:trPr>
        <w:tc>
          <w:tcPr>
            <w:tcW w:w="7924" w:type="dxa"/>
            <w:gridSpan w:val="7"/>
            <w:tcBorders>
              <w:top w:val="nil"/>
              <w:left w:val="nil"/>
              <w:bottom w:val="nil"/>
              <w:right w:val="nil"/>
            </w:tcBorders>
            <w:shd w:val="clear" w:color="auto" w:fill="auto"/>
            <w:noWrap/>
            <w:vAlign w:val="bottom"/>
            <w:hideMark/>
          </w:tcPr>
          <w:p w:rsidR="00A83AAA" w:rsidRPr="00A83AAA" w:rsidRDefault="00A83AAA" w:rsidP="00A83AAA">
            <w:pPr>
              <w:spacing w:after="0" w:line="240" w:lineRule="auto"/>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in SSA, average 2009-2011 and average 2017-2019 (US$ constant 2018, millions rounded)</w:t>
            </w:r>
          </w:p>
        </w:tc>
        <w:tc>
          <w:tcPr>
            <w:tcW w:w="2031" w:type="dxa"/>
            <w:tcBorders>
              <w:top w:val="nil"/>
              <w:left w:val="nil"/>
              <w:bottom w:val="nil"/>
              <w:right w:val="nil"/>
            </w:tcBorders>
            <w:shd w:val="clear" w:color="auto" w:fill="auto"/>
            <w:noWrap/>
            <w:vAlign w:val="bottom"/>
            <w:hideMark/>
          </w:tcPr>
          <w:p w:rsidR="00A83AAA" w:rsidRPr="00A83AAA" w:rsidRDefault="00A83AAA" w:rsidP="00A83AAA">
            <w:pPr>
              <w:spacing w:after="0" w:line="240" w:lineRule="auto"/>
              <w:rPr>
                <w:rFonts w:asciiTheme="majorHAnsi" w:eastAsia="Times New Roman" w:hAnsiTheme="majorHAnsi" w:cstheme="majorHAnsi"/>
                <w:color w:val="000000"/>
                <w:lang w:eastAsia="en-GB"/>
              </w:rPr>
            </w:pPr>
          </w:p>
        </w:tc>
      </w:tr>
      <w:tr w:rsidR="00A83AAA" w:rsidRPr="00A83AAA" w:rsidTr="00A83AAA">
        <w:trPr>
          <w:trHeight w:val="288"/>
        </w:trPr>
        <w:tc>
          <w:tcPr>
            <w:tcW w:w="862" w:type="dxa"/>
            <w:tcBorders>
              <w:top w:val="single" w:sz="8" w:space="0" w:color="auto"/>
              <w:left w:val="single" w:sz="8" w:space="0" w:color="auto"/>
              <w:bottom w:val="nil"/>
              <w:right w:val="nil"/>
            </w:tcBorders>
            <w:shd w:val="clear" w:color="000000" w:fill="F2F2F2"/>
            <w:noWrap/>
            <w:vAlign w:val="bottom"/>
            <w:hideMark/>
          </w:tcPr>
          <w:p w:rsidR="00A83AAA" w:rsidRPr="00A83AAA" w:rsidRDefault="00A83AAA" w:rsidP="00A83AAA">
            <w:pPr>
              <w:spacing w:after="0" w:line="240" w:lineRule="auto"/>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 </w:t>
            </w:r>
          </w:p>
        </w:tc>
        <w:tc>
          <w:tcPr>
            <w:tcW w:w="1038" w:type="dxa"/>
            <w:tcBorders>
              <w:top w:val="single" w:sz="8" w:space="0" w:color="auto"/>
              <w:left w:val="nil"/>
              <w:bottom w:val="nil"/>
              <w:right w:val="nil"/>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 xml:space="preserve">Total </w:t>
            </w:r>
          </w:p>
        </w:tc>
        <w:tc>
          <w:tcPr>
            <w:tcW w:w="1064" w:type="dxa"/>
            <w:tcBorders>
              <w:top w:val="single" w:sz="8" w:space="0" w:color="auto"/>
              <w:left w:val="nil"/>
              <w:bottom w:val="nil"/>
              <w:right w:val="nil"/>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General</w:t>
            </w:r>
          </w:p>
        </w:tc>
        <w:tc>
          <w:tcPr>
            <w:tcW w:w="1064" w:type="dxa"/>
            <w:tcBorders>
              <w:top w:val="single" w:sz="8" w:space="0" w:color="auto"/>
              <w:left w:val="nil"/>
              <w:bottom w:val="nil"/>
              <w:right w:val="nil"/>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Technical</w:t>
            </w:r>
          </w:p>
        </w:tc>
        <w:tc>
          <w:tcPr>
            <w:tcW w:w="1064" w:type="dxa"/>
            <w:tcBorders>
              <w:top w:val="single" w:sz="8" w:space="0" w:color="auto"/>
              <w:left w:val="nil"/>
              <w:bottom w:val="nil"/>
              <w:right w:val="nil"/>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Total</w:t>
            </w:r>
          </w:p>
        </w:tc>
        <w:tc>
          <w:tcPr>
            <w:tcW w:w="1268" w:type="dxa"/>
            <w:tcBorders>
              <w:top w:val="single" w:sz="8" w:space="0" w:color="auto"/>
              <w:left w:val="nil"/>
              <w:bottom w:val="nil"/>
              <w:right w:val="nil"/>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Education %</w:t>
            </w:r>
          </w:p>
        </w:tc>
        <w:tc>
          <w:tcPr>
            <w:tcW w:w="1564" w:type="dxa"/>
            <w:tcBorders>
              <w:top w:val="single" w:sz="8" w:space="0" w:color="auto"/>
              <w:left w:val="nil"/>
              <w:bottom w:val="nil"/>
              <w:right w:val="nil"/>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Secondary %</w:t>
            </w:r>
          </w:p>
        </w:tc>
        <w:tc>
          <w:tcPr>
            <w:tcW w:w="2031" w:type="dxa"/>
            <w:tcBorders>
              <w:top w:val="single" w:sz="8" w:space="0" w:color="auto"/>
              <w:left w:val="nil"/>
              <w:bottom w:val="nil"/>
              <w:right w:val="single" w:sz="8" w:space="0" w:color="auto"/>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general secondary %</w:t>
            </w:r>
          </w:p>
        </w:tc>
      </w:tr>
      <w:tr w:rsidR="00A83AAA" w:rsidRPr="00A83AAA" w:rsidTr="00A83AAA">
        <w:trPr>
          <w:trHeight w:val="288"/>
        </w:trPr>
        <w:tc>
          <w:tcPr>
            <w:tcW w:w="862" w:type="dxa"/>
            <w:tcBorders>
              <w:top w:val="nil"/>
              <w:left w:val="single" w:sz="8" w:space="0" w:color="auto"/>
              <w:bottom w:val="single" w:sz="4" w:space="0" w:color="auto"/>
              <w:right w:val="nil"/>
            </w:tcBorders>
            <w:shd w:val="clear" w:color="000000" w:fill="F2F2F2"/>
            <w:noWrap/>
            <w:vAlign w:val="bottom"/>
            <w:hideMark/>
          </w:tcPr>
          <w:p w:rsidR="00A83AAA" w:rsidRPr="00A83AAA" w:rsidRDefault="00A83AAA" w:rsidP="00A83AAA">
            <w:pPr>
              <w:spacing w:after="0" w:line="240" w:lineRule="auto"/>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Period</w:t>
            </w:r>
          </w:p>
        </w:tc>
        <w:tc>
          <w:tcPr>
            <w:tcW w:w="1038" w:type="dxa"/>
            <w:tcBorders>
              <w:top w:val="nil"/>
              <w:left w:val="nil"/>
              <w:bottom w:val="single" w:sz="4" w:space="0" w:color="auto"/>
              <w:right w:val="nil"/>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education</w:t>
            </w:r>
          </w:p>
        </w:tc>
        <w:tc>
          <w:tcPr>
            <w:tcW w:w="1064" w:type="dxa"/>
            <w:tcBorders>
              <w:top w:val="nil"/>
              <w:left w:val="nil"/>
              <w:bottom w:val="single" w:sz="4" w:space="0" w:color="auto"/>
              <w:right w:val="nil"/>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secondary</w:t>
            </w:r>
          </w:p>
        </w:tc>
        <w:tc>
          <w:tcPr>
            <w:tcW w:w="1064" w:type="dxa"/>
            <w:tcBorders>
              <w:top w:val="nil"/>
              <w:left w:val="nil"/>
              <w:bottom w:val="single" w:sz="4" w:space="0" w:color="auto"/>
              <w:right w:val="nil"/>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secondary</w:t>
            </w:r>
          </w:p>
        </w:tc>
        <w:tc>
          <w:tcPr>
            <w:tcW w:w="1064" w:type="dxa"/>
            <w:tcBorders>
              <w:top w:val="nil"/>
              <w:left w:val="nil"/>
              <w:bottom w:val="single" w:sz="4" w:space="0" w:color="auto"/>
              <w:right w:val="nil"/>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secondary</w:t>
            </w:r>
          </w:p>
        </w:tc>
        <w:tc>
          <w:tcPr>
            <w:tcW w:w="1268" w:type="dxa"/>
            <w:tcBorders>
              <w:top w:val="nil"/>
              <w:left w:val="nil"/>
              <w:bottom w:val="single" w:sz="4" w:space="0" w:color="auto"/>
              <w:right w:val="nil"/>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aid</w:t>
            </w:r>
          </w:p>
        </w:tc>
        <w:tc>
          <w:tcPr>
            <w:tcW w:w="1564" w:type="dxa"/>
            <w:tcBorders>
              <w:top w:val="nil"/>
              <w:left w:val="nil"/>
              <w:bottom w:val="single" w:sz="4" w:space="0" w:color="auto"/>
              <w:right w:val="nil"/>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total education</w:t>
            </w:r>
          </w:p>
        </w:tc>
        <w:tc>
          <w:tcPr>
            <w:tcW w:w="2031" w:type="dxa"/>
            <w:tcBorders>
              <w:top w:val="nil"/>
              <w:left w:val="nil"/>
              <w:bottom w:val="single" w:sz="4" w:space="0" w:color="auto"/>
              <w:right w:val="single" w:sz="8" w:space="0" w:color="auto"/>
            </w:tcBorders>
            <w:shd w:val="clear" w:color="000000" w:fill="F2F2F2"/>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total secondary</w:t>
            </w:r>
          </w:p>
        </w:tc>
      </w:tr>
      <w:tr w:rsidR="00A83AAA" w:rsidRPr="00A83AAA" w:rsidTr="00A83AAA">
        <w:trPr>
          <w:trHeight w:val="288"/>
        </w:trPr>
        <w:tc>
          <w:tcPr>
            <w:tcW w:w="862" w:type="dxa"/>
            <w:tcBorders>
              <w:top w:val="nil"/>
              <w:left w:val="single" w:sz="8" w:space="0" w:color="auto"/>
              <w:bottom w:val="nil"/>
              <w:right w:val="nil"/>
            </w:tcBorders>
            <w:shd w:val="clear" w:color="000000" w:fill="FFFFFF"/>
            <w:noWrap/>
            <w:vAlign w:val="bottom"/>
            <w:hideMark/>
          </w:tcPr>
          <w:p w:rsidR="00A83AAA" w:rsidRPr="00A83AAA" w:rsidRDefault="00A83AAA" w:rsidP="00A83AAA">
            <w:pPr>
              <w:spacing w:after="0" w:line="240" w:lineRule="auto"/>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2009-11</w:t>
            </w:r>
          </w:p>
        </w:tc>
        <w:tc>
          <w:tcPr>
            <w:tcW w:w="1038" w:type="dxa"/>
            <w:tcBorders>
              <w:top w:val="nil"/>
              <w:left w:val="nil"/>
              <w:bottom w:val="nil"/>
              <w:right w:val="nil"/>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3358</w:t>
            </w:r>
          </w:p>
        </w:tc>
        <w:tc>
          <w:tcPr>
            <w:tcW w:w="1064" w:type="dxa"/>
            <w:tcBorders>
              <w:top w:val="nil"/>
              <w:left w:val="nil"/>
              <w:bottom w:val="nil"/>
              <w:right w:val="nil"/>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208</w:t>
            </w:r>
          </w:p>
        </w:tc>
        <w:tc>
          <w:tcPr>
            <w:tcW w:w="1064" w:type="dxa"/>
            <w:tcBorders>
              <w:top w:val="nil"/>
              <w:left w:val="nil"/>
              <w:bottom w:val="nil"/>
              <w:right w:val="nil"/>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159</w:t>
            </w:r>
          </w:p>
        </w:tc>
        <w:tc>
          <w:tcPr>
            <w:tcW w:w="1064" w:type="dxa"/>
            <w:tcBorders>
              <w:top w:val="nil"/>
              <w:left w:val="nil"/>
              <w:bottom w:val="nil"/>
              <w:right w:val="nil"/>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367</w:t>
            </w:r>
          </w:p>
        </w:tc>
        <w:tc>
          <w:tcPr>
            <w:tcW w:w="1268" w:type="dxa"/>
            <w:tcBorders>
              <w:top w:val="nil"/>
              <w:left w:val="nil"/>
              <w:bottom w:val="nil"/>
              <w:right w:val="nil"/>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6.1</w:t>
            </w:r>
          </w:p>
        </w:tc>
        <w:tc>
          <w:tcPr>
            <w:tcW w:w="1564" w:type="dxa"/>
            <w:tcBorders>
              <w:top w:val="nil"/>
              <w:left w:val="nil"/>
              <w:bottom w:val="nil"/>
              <w:right w:val="nil"/>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4.7</w:t>
            </w:r>
          </w:p>
        </w:tc>
        <w:tc>
          <w:tcPr>
            <w:tcW w:w="2031" w:type="dxa"/>
            <w:tcBorders>
              <w:top w:val="nil"/>
              <w:left w:val="nil"/>
              <w:bottom w:val="nil"/>
              <w:right w:val="single" w:sz="8" w:space="0" w:color="auto"/>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56.7</w:t>
            </w:r>
          </w:p>
        </w:tc>
      </w:tr>
      <w:tr w:rsidR="00A83AAA" w:rsidRPr="00A83AAA" w:rsidTr="00A83AAA">
        <w:trPr>
          <w:trHeight w:val="300"/>
        </w:trPr>
        <w:tc>
          <w:tcPr>
            <w:tcW w:w="862" w:type="dxa"/>
            <w:tcBorders>
              <w:top w:val="nil"/>
              <w:left w:val="single" w:sz="8" w:space="0" w:color="auto"/>
              <w:bottom w:val="single" w:sz="8" w:space="0" w:color="auto"/>
              <w:right w:val="nil"/>
            </w:tcBorders>
            <w:shd w:val="clear" w:color="000000" w:fill="FFFFFF"/>
            <w:noWrap/>
            <w:vAlign w:val="bottom"/>
            <w:hideMark/>
          </w:tcPr>
          <w:p w:rsidR="00A83AAA" w:rsidRPr="00A83AAA" w:rsidRDefault="00A83AAA" w:rsidP="00A83AAA">
            <w:pPr>
              <w:spacing w:after="0" w:line="240" w:lineRule="auto"/>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2017-19</w:t>
            </w:r>
          </w:p>
        </w:tc>
        <w:tc>
          <w:tcPr>
            <w:tcW w:w="1038" w:type="dxa"/>
            <w:tcBorders>
              <w:top w:val="nil"/>
              <w:left w:val="nil"/>
              <w:bottom w:val="single" w:sz="8" w:space="0" w:color="auto"/>
              <w:right w:val="nil"/>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3307</w:t>
            </w:r>
          </w:p>
        </w:tc>
        <w:tc>
          <w:tcPr>
            <w:tcW w:w="1064" w:type="dxa"/>
            <w:tcBorders>
              <w:top w:val="nil"/>
              <w:left w:val="nil"/>
              <w:bottom w:val="single" w:sz="8" w:space="0" w:color="auto"/>
              <w:right w:val="nil"/>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216</w:t>
            </w:r>
          </w:p>
        </w:tc>
        <w:tc>
          <w:tcPr>
            <w:tcW w:w="1064" w:type="dxa"/>
            <w:tcBorders>
              <w:top w:val="nil"/>
              <w:left w:val="nil"/>
              <w:bottom w:val="single" w:sz="8" w:space="0" w:color="auto"/>
              <w:right w:val="nil"/>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416</w:t>
            </w:r>
          </w:p>
        </w:tc>
        <w:tc>
          <w:tcPr>
            <w:tcW w:w="1064" w:type="dxa"/>
            <w:tcBorders>
              <w:top w:val="nil"/>
              <w:left w:val="nil"/>
              <w:bottom w:val="single" w:sz="8" w:space="0" w:color="auto"/>
              <w:right w:val="nil"/>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632</w:t>
            </w:r>
          </w:p>
        </w:tc>
        <w:tc>
          <w:tcPr>
            <w:tcW w:w="1268" w:type="dxa"/>
            <w:tcBorders>
              <w:top w:val="nil"/>
              <w:left w:val="nil"/>
              <w:bottom w:val="single" w:sz="8" w:space="0" w:color="auto"/>
              <w:right w:val="nil"/>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7.3</w:t>
            </w:r>
          </w:p>
        </w:tc>
        <w:tc>
          <w:tcPr>
            <w:tcW w:w="1564" w:type="dxa"/>
            <w:tcBorders>
              <w:top w:val="nil"/>
              <w:left w:val="nil"/>
              <w:bottom w:val="single" w:sz="8" w:space="0" w:color="auto"/>
              <w:right w:val="nil"/>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6.5</w:t>
            </w:r>
          </w:p>
        </w:tc>
        <w:tc>
          <w:tcPr>
            <w:tcW w:w="2031" w:type="dxa"/>
            <w:tcBorders>
              <w:top w:val="nil"/>
              <w:left w:val="nil"/>
              <w:bottom w:val="single" w:sz="8" w:space="0" w:color="auto"/>
              <w:right w:val="single" w:sz="8" w:space="0" w:color="auto"/>
            </w:tcBorders>
            <w:shd w:val="clear" w:color="000000" w:fill="FFFFFF"/>
            <w:noWrap/>
            <w:vAlign w:val="bottom"/>
            <w:hideMark/>
          </w:tcPr>
          <w:p w:rsidR="00A83AAA" w:rsidRPr="00A83AAA" w:rsidRDefault="00A83AAA" w:rsidP="00A83AAA">
            <w:pPr>
              <w:spacing w:after="0" w:line="240" w:lineRule="auto"/>
              <w:jc w:val="center"/>
              <w:rPr>
                <w:rFonts w:asciiTheme="majorHAnsi" w:eastAsia="Times New Roman" w:hAnsiTheme="majorHAnsi" w:cstheme="majorHAnsi"/>
                <w:color w:val="000000"/>
                <w:lang w:eastAsia="en-GB"/>
              </w:rPr>
            </w:pPr>
            <w:r w:rsidRPr="00A83AAA">
              <w:rPr>
                <w:rFonts w:asciiTheme="majorHAnsi" w:eastAsia="Times New Roman" w:hAnsiTheme="majorHAnsi" w:cstheme="majorHAnsi"/>
                <w:color w:val="000000"/>
                <w:lang w:eastAsia="en-GB"/>
              </w:rPr>
              <w:t>34.2</w:t>
            </w:r>
          </w:p>
        </w:tc>
      </w:tr>
    </w:tbl>
    <w:p w:rsidR="00A83AAA" w:rsidRPr="00A83AAA" w:rsidRDefault="00A83AAA" w:rsidP="00877843">
      <w:pPr>
        <w:jc w:val="both"/>
        <w:rPr>
          <w:rFonts w:asciiTheme="majorHAnsi" w:hAnsiTheme="majorHAnsi" w:cstheme="majorHAnsi"/>
          <w:sz w:val="24"/>
          <w:szCs w:val="24"/>
        </w:rPr>
      </w:pPr>
      <w:r w:rsidRPr="00A83AAA">
        <w:rPr>
          <w:rFonts w:asciiTheme="majorHAnsi" w:hAnsiTheme="majorHAnsi" w:cstheme="majorHAnsi"/>
          <w:sz w:val="24"/>
          <w:szCs w:val="24"/>
        </w:rPr>
        <w:t>Source: DAC, Creditor Reporting System</w:t>
      </w:r>
    </w:p>
    <w:p w:rsidR="00877843" w:rsidRPr="00327B3A" w:rsidRDefault="00227952" w:rsidP="00877843">
      <w:pPr>
        <w:jc w:val="both"/>
        <w:rPr>
          <w:rFonts w:asciiTheme="majorHAnsi" w:hAnsiTheme="majorHAnsi" w:cstheme="majorHAnsi"/>
          <w:sz w:val="28"/>
          <w:szCs w:val="28"/>
        </w:rPr>
      </w:pPr>
      <w:r w:rsidRPr="00327B3A">
        <w:rPr>
          <w:rFonts w:asciiTheme="majorHAnsi" w:hAnsiTheme="majorHAnsi" w:cstheme="majorHAnsi"/>
          <w:sz w:val="28"/>
          <w:szCs w:val="28"/>
        </w:rPr>
        <w:t xml:space="preserve">Aid modalities are also changing in ways which will make external support less effective in attaining USE. In particular, the current trend is away from general and sector budget support (which can be allocated to </w:t>
      </w:r>
      <w:r w:rsidR="002D34E2" w:rsidRPr="00327B3A">
        <w:rPr>
          <w:rFonts w:asciiTheme="majorHAnsi" w:hAnsiTheme="majorHAnsi" w:cstheme="majorHAnsi"/>
          <w:sz w:val="28"/>
          <w:szCs w:val="28"/>
        </w:rPr>
        <w:t xml:space="preserve">fund additional </w:t>
      </w:r>
      <w:r w:rsidRPr="00327B3A">
        <w:rPr>
          <w:rFonts w:asciiTheme="majorHAnsi" w:hAnsiTheme="majorHAnsi" w:cstheme="majorHAnsi"/>
          <w:sz w:val="28"/>
          <w:szCs w:val="28"/>
        </w:rPr>
        <w:t>operational expenditure) back to traditional project-based assistance, a large proportion of which is spent on technical assistance and training which ha</w:t>
      </w:r>
      <w:r w:rsidR="002D34E2" w:rsidRPr="00327B3A">
        <w:rPr>
          <w:rFonts w:asciiTheme="majorHAnsi" w:hAnsiTheme="majorHAnsi" w:cstheme="majorHAnsi"/>
          <w:sz w:val="28"/>
          <w:szCs w:val="28"/>
        </w:rPr>
        <w:t>ve</w:t>
      </w:r>
      <w:r w:rsidRPr="00327B3A">
        <w:rPr>
          <w:rFonts w:asciiTheme="majorHAnsi" w:hAnsiTheme="majorHAnsi" w:cstheme="majorHAnsi"/>
          <w:sz w:val="28"/>
          <w:szCs w:val="28"/>
        </w:rPr>
        <w:t xml:space="preserve"> little direct impact on enrolments</w:t>
      </w:r>
      <w:r w:rsidR="00877843" w:rsidRPr="00327B3A">
        <w:rPr>
          <w:rFonts w:asciiTheme="majorHAnsi" w:hAnsiTheme="majorHAnsi" w:cstheme="majorHAnsi"/>
          <w:sz w:val="28"/>
          <w:szCs w:val="28"/>
        </w:rPr>
        <w:t>.</w:t>
      </w:r>
    </w:p>
    <w:p w:rsidR="00DF0CFD" w:rsidRDefault="00DF0CFD">
      <w:pPr>
        <w:rPr>
          <w:rFonts w:asciiTheme="majorHAnsi" w:hAnsiTheme="majorHAnsi" w:cstheme="majorHAnsi"/>
          <w:i/>
          <w:sz w:val="28"/>
          <w:szCs w:val="28"/>
        </w:rPr>
      </w:pPr>
      <w:r>
        <w:rPr>
          <w:rFonts w:asciiTheme="majorHAnsi" w:hAnsiTheme="majorHAnsi" w:cstheme="majorHAnsi"/>
          <w:i/>
          <w:sz w:val="28"/>
          <w:szCs w:val="28"/>
        </w:rPr>
        <w:br w:type="page"/>
      </w:r>
    </w:p>
    <w:p w:rsidR="006B24AA" w:rsidRPr="00327B3A" w:rsidRDefault="00AE7885" w:rsidP="00577F32">
      <w:pPr>
        <w:jc w:val="both"/>
        <w:rPr>
          <w:rFonts w:asciiTheme="majorHAnsi" w:hAnsiTheme="majorHAnsi" w:cstheme="majorHAnsi"/>
          <w:i/>
          <w:sz w:val="28"/>
          <w:szCs w:val="28"/>
        </w:rPr>
      </w:pPr>
      <w:r w:rsidRPr="00327B3A">
        <w:rPr>
          <w:rFonts w:asciiTheme="majorHAnsi" w:hAnsiTheme="majorHAnsi" w:cstheme="majorHAnsi"/>
          <w:i/>
          <w:sz w:val="28"/>
          <w:szCs w:val="28"/>
        </w:rPr>
        <w:lastRenderedPageBreak/>
        <w:t>F</w:t>
      </w:r>
      <w:r w:rsidR="006B24AA" w:rsidRPr="00327B3A">
        <w:rPr>
          <w:rFonts w:asciiTheme="majorHAnsi" w:hAnsiTheme="majorHAnsi" w:cstheme="majorHAnsi"/>
          <w:i/>
          <w:sz w:val="28"/>
          <w:szCs w:val="28"/>
        </w:rPr>
        <w:t>ee abolition</w:t>
      </w:r>
      <w:r w:rsidR="00D16E91" w:rsidRPr="00327B3A">
        <w:rPr>
          <w:rFonts w:asciiTheme="majorHAnsi" w:hAnsiTheme="majorHAnsi" w:cstheme="majorHAnsi"/>
          <w:i/>
          <w:sz w:val="28"/>
          <w:szCs w:val="28"/>
        </w:rPr>
        <w:t xml:space="preserve"> and targeted support</w:t>
      </w:r>
    </w:p>
    <w:p w:rsidR="00454CDC" w:rsidRPr="00327B3A" w:rsidRDefault="00ED0BCF" w:rsidP="00454CDC">
      <w:pPr>
        <w:jc w:val="both"/>
        <w:rPr>
          <w:rFonts w:asciiTheme="majorHAnsi" w:hAnsiTheme="majorHAnsi" w:cstheme="majorHAnsi"/>
          <w:sz w:val="28"/>
          <w:szCs w:val="28"/>
        </w:rPr>
      </w:pPr>
      <w:r w:rsidRPr="00327B3A">
        <w:rPr>
          <w:rFonts w:asciiTheme="majorHAnsi" w:hAnsiTheme="majorHAnsi" w:cstheme="majorHAnsi"/>
          <w:sz w:val="28"/>
          <w:szCs w:val="28"/>
        </w:rPr>
        <w:t>Surprisingly, t</w:t>
      </w:r>
      <w:r w:rsidR="00D16E91" w:rsidRPr="00327B3A">
        <w:rPr>
          <w:rFonts w:asciiTheme="majorHAnsi" w:hAnsiTheme="majorHAnsi" w:cstheme="majorHAnsi"/>
          <w:sz w:val="28"/>
          <w:szCs w:val="28"/>
        </w:rPr>
        <w:t xml:space="preserve">he </w:t>
      </w:r>
      <w:r w:rsidR="006B24AA" w:rsidRPr="00327B3A">
        <w:rPr>
          <w:rFonts w:asciiTheme="majorHAnsi" w:hAnsiTheme="majorHAnsi" w:cstheme="majorHAnsi"/>
          <w:sz w:val="28"/>
          <w:szCs w:val="28"/>
        </w:rPr>
        <w:t xml:space="preserve">Report </w:t>
      </w:r>
      <w:r w:rsidRPr="00327B3A">
        <w:rPr>
          <w:rFonts w:asciiTheme="majorHAnsi" w:hAnsiTheme="majorHAnsi" w:cstheme="majorHAnsi"/>
          <w:sz w:val="28"/>
          <w:szCs w:val="28"/>
        </w:rPr>
        <w:t xml:space="preserve">does not discuss the impact of the abolition of </w:t>
      </w:r>
      <w:r w:rsidR="008D6099" w:rsidRPr="00327B3A">
        <w:rPr>
          <w:rFonts w:asciiTheme="majorHAnsi" w:hAnsiTheme="majorHAnsi" w:cstheme="majorHAnsi"/>
          <w:sz w:val="28"/>
          <w:szCs w:val="28"/>
        </w:rPr>
        <w:t xml:space="preserve">tuition and other </w:t>
      </w:r>
      <w:r w:rsidR="006B24AA" w:rsidRPr="00327B3A">
        <w:rPr>
          <w:rFonts w:asciiTheme="majorHAnsi" w:hAnsiTheme="majorHAnsi" w:cstheme="majorHAnsi"/>
          <w:sz w:val="28"/>
          <w:szCs w:val="28"/>
        </w:rPr>
        <w:t>fee</w:t>
      </w:r>
      <w:r w:rsidR="008D6099" w:rsidRPr="00327B3A">
        <w:rPr>
          <w:rFonts w:asciiTheme="majorHAnsi" w:hAnsiTheme="majorHAnsi" w:cstheme="majorHAnsi"/>
          <w:sz w:val="28"/>
          <w:szCs w:val="28"/>
        </w:rPr>
        <w:t>s</w:t>
      </w:r>
      <w:r w:rsidRPr="00327B3A">
        <w:rPr>
          <w:rFonts w:asciiTheme="majorHAnsi" w:hAnsiTheme="majorHAnsi" w:cstheme="majorHAnsi"/>
          <w:sz w:val="28"/>
          <w:szCs w:val="28"/>
        </w:rPr>
        <w:t xml:space="preserve"> on secondary schooling in SSA</w:t>
      </w:r>
      <w:r w:rsidR="008D6099" w:rsidRPr="00327B3A">
        <w:rPr>
          <w:rFonts w:asciiTheme="majorHAnsi" w:hAnsiTheme="majorHAnsi" w:cstheme="majorHAnsi"/>
          <w:sz w:val="28"/>
          <w:szCs w:val="28"/>
        </w:rPr>
        <w:t xml:space="preserve">. </w:t>
      </w:r>
      <w:r w:rsidR="009E3870" w:rsidRPr="00327B3A">
        <w:rPr>
          <w:rFonts w:asciiTheme="majorHAnsi" w:hAnsiTheme="majorHAnsi" w:cstheme="majorHAnsi"/>
          <w:sz w:val="28"/>
          <w:szCs w:val="28"/>
        </w:rPr>
        <w:t xml:space="preserve">It merely notes that </w:t>
      </w:r>
      <w:r w:rsidR="000A5FE1" w:rsidRPr="00327B3A">
        <w:rPr>
          <w:rFonts w:asciiTheme="majorHAnsi" w:hAnsiTheme="majorHAnsi" w:cstheme="majorHAnsi"/>
          <w:sz w:val="28"/>
          <w:szCs w:val="28"/>
        </w:rPr>
        <w:t xml:space="preserve">‘17 countries currently provide fee-free secondary education’ (p.248). </w:t>
      </w:r>
      <w:r w:rsidR="00A45DD0" w:rsidRPr="00327B3A">
        <w:rPr>
          <w:rFonts w:asciiTheme="majorHAnsi" w:hAnsiTheme="majorHAnsi" w:cstheme="majorHAnsi"/>
          <w:sz w:val="28"/>
          <w:szCs w:val="28"/>
        </w:rPr>
        <w:t xml:space="preserve">In part, this is because </w:t>
      </w:r>
      <w:r w:rsidRPr="00327B3A">
        <w:rPr>
          <w:rFonts w:asciiTheme="majorHAnsi" w:hAnsiTheme="majorHAnsi" w:cstheme="majorHAnsi"/>
          <w:sz w:val="28"/>
          <w:szCs w:val="28"/>
        </w:rPr>
        <w:t xml:space="preserve">of the paucity of </w:t>
      </w:r>
      <w:r w:rsidR="00A45DD0" w:rsidRPr="00327B3A">
        <w:rPr>
          <w:rFonts w:asciiTheme="majorHAnsi" w:hAnsiTheme="majorHAnsi" w:cstheme="majorHAnsi"/>
          <w:sz w:val="28"/>
          <w:szCs w:val="28"/>
        </w:rPr>
        <w:t>information on the direct costs of secondary schooling in SSA.</w:t>
      </w:r>
      <w:r w:rsidR="00454CDC" w:rsidRPr="00327B3A">
        <w:rPr>
          <w:rFonts w:asciiTheme="majorHAnsi" w:hAnsiTheme="majorHAnsi" w:cstheme="majorHAnsi"/>
          <w:sz w:val="28"/>
          <w:szCs w:val="28"/>
        </w:rPr>
        <w:t xml:space="preserve"> It is a</w:t>
      </w:r>
      <w:r w:rsidRPr="00327B3A">
        <w:rPr>
          <w:rFonts w:asciiTheme="majorHAnsi" w:hAnsiTheme="majorHAnsi" w:cstheme="majorHAnsi"/>
          <w:sz w:val="28"/>
          <w:szCs w:val="28"/>
        </w:rPr>
        <w:t>lso</w:t>
      </w:r>
      <w:r w:rsidR="00454CDC"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a </w:t>
      </w:r>
      <w:r w:rsidR="00454CDC" w:rsidRPr="00327B3A">
        <w:rPr>
          <w:rFonts w:asciiTheme="majorHAnsi" w:hAnsiTheme="majorHAnsi" w:cstheme="majorHAnsi"/>
          <w:sz w:val="28"/>
          <w:szCs w:val="28"/>
        </w:rPr>
        <w:t xml:space="preserve">reflection of the fact the Report is </w:t>
      </w:r>
      <w:r w:rsidRPr="00327B3A">
        <w:rPr>
          <w:rFonts w:asciiTheme="majorHAnsi" w:hAnsiTheme="majorHAnsi" w:cstheme="majorHAnsi"/>
          <w:sz w:val="28"/>
          <w:szCs w:val="28"/>
        </w:rPr>
        <w:t>strongly</w:t>
      </w:r>
      <w:r w:rsidR="00454CDC" w:rsidRPr="00327B3A">
        <w:rPr>
          <w:rFonts w:asciiTheme="majorHAnsi" w:hAnsiTheme="majorHAnsi" w:cstheme="majorHAnsi"/>
          <w:sz w:val="28"/>
          <w:szCs w:val="28"/>
        </w:rPr>
        <w:t xml:space="preserve"> supply-driven. </w:t>
      </w:r>
      <w:r w:rsidRPr="00327B3A">
        <w:rPr>
          <w:rFonts w:asciiTheme="majorHAnsi" w:hAnsiTheme="majorHAnsi" w:cstheme="majorHAnsi"/>
          <w:sz w:val="28"/>
          <w:szCs w:val="28"/>
        </w:rPr>
        <w:t xml:space="preserve">While </w:t>
      </w:r>
      <w:r w:rsidR="00454CDC" w:rsidRPr="00327B3A">
        <w:rPr>
          <w:rFonts w:asciiTheme="majorHAnsi" w:hAnsiTheme="majorHAnsi" w:cstheme="majorHAnsi"/>
          <w:sz w:val="28"/>
          <w:szCs w:val="28"/>
        </w:rPr>
        <w:t>the removal of supply-side constraints is a necessary condition</w:t>
      </w:r>
      <w:r w:rsidRPr="00327B3A">
        <w:rPr>
          <w:rFonts w:asciiTheme="majorHAnsi" w:hAnsiTheme="majorHAnsi" w:cstheme="majorHAnsi"/>
          <w:sz w:val="28"/>
          <w:szCs w:val="28"/>
        </w:rPr>
        <w:t xml:space="preserve"> for the attainment of USE, it is not on its own a sufficient condition </w:t>
      </w:r>
      <w:r w:rsidR="00454CDC" w:rsidRPr="00327B3A">
        <w:rPr>
          <w:rFonts w:asciiTheme="majorHAnsi" w:hAnsiTheme="majorHAnsi" w:cstheme="majorHAnsi"/>
          <w:sz w:val="28"/>
          <w:szCs w:val="28"/>
        </w:rPr>
        <w:t>since demand</w:t>
      </w:r>
      <w:r w:rsidRPr="00327B3A">
        <w:rPr>
          <w:rFonts w:asciiTheme="majorHAnsi" w:hAnsiTheme="majorHAnsi" w:cstheme="majorHAnsi"/>
          <w:sz w:val="28"/>
          <w:szCs w:val="28"/>
        </w:rPr>
        <w:t>-side</w:t>
      </w:r>
      <w:r w:rsidR="00454CDC" w:rsidRPr="00327B3A">
        <w:rPr>
          <w:rFonts w:asciiTheme="majorHAnsi" w:hAnsiTheme="majorHAnsi" w:cstheme="majorHAnsi"/>
          <w:sz w:val="28"/>
          <w:szCs w:val="28"/>
        </w:rPr>
        <w:t xml:space="preserve"> constraints are </w:t>
      </w:r>
      <w:r w:rsidR="005754A6">
        <w:rPr>
          <w:rFonts w:asciiTheme="majorHAnsi" w:hAnsiTheme="majorHAnsi" w:cstheme="majorHAnsi"/>
          <w:sz w:val="28"/>
          <w:szCs w:val="28"/>
        </w:rPr>
        <w:t xml:space="preserve">invariably </w:t>
      </w:r>
      <w:r w:rsidR="00CA4D71" w:rsidRPr="00327B3A">
        <w:rPr>
          <w:rFonts w:asciiTheme="majorHAnsi" w:hAnsiTheme="majorHAnsi" w:cstheme="majorHAnsi"/>
          <w:sz w:val="28"/>
          <w:szCs w:val="28"/>
        </w:rPr>
        <w:t xml:space="preserve">so </w:t>
      </w:r>
      <w:r w:rsidR="00454CDC" w:rsidRPr="00327B3A">
        <w:rPr>
          <w:rFonts w:asciiTheme="majorHAnsi" w:hAnsiTheme="majorHAnsi" w:cstheme="majorHAnsi"/>
          <w:sz w:val="28"/>
          <w:szCs w:val="28"/>
        </w:rPr>
        <w:t xml:space="preserve">much more difficult to overcome. </w:t>
      </w:r>
    </w:p>
    <w:p w:rsidR="002B6335" w:rsidRPr="00327B3A" w:rsidRDefault="00D16E91" w:rsidP="00577F32">
      <w:pPr>
        <w:jc w:val="both"/>
        <w:rPr>
          <w:rFonts w:asciiTheme="majorHAnsi" w:hAnsiTheme="majorHAnsi" w:cstheme="majorHAnsi"/>
          <w:sz w:val="28"/>
          <w:szCs w:val="28"/>
        </w:rPr>
      </w:pPr>
      <w:r w:rsidRPr="00327B3A">
        <w:rPr>
          <w:rFonts w:asciiTheme="majorHAnsi" w:hAnsiTheme="majorHAnsi" w:cstheme="majorHAnsi"/>
          <w:sz w:val="28"/>
          <w:szCs w:val="28"/>
        </w:rPr>
        <w:t>Universal f</w:t>
      </w:r>
      <w:r w:rsidR="006B24AA" w:rsidRPr="00327B3A">
        <w:rPr>
          <w:rFonts w:asciiTheme="majorHAnsi" w:hAnsiTheme="majorHAnsi" w:cstheme="majorHAnsi"/>
          <w:sz w:val="28"/>
          <w:szCs w:val="28"/>
        </w:rPr>
        <w:t xml:space="preserve">ee abolition </w:t>
      </w:r>
      <w:r w:rsidRPr="00327B3A">
        <w:rPr>
          <w:rFonts w:asciiTheme="majorHAnsi" w:hAnsiTheme="majorHAnsi" w:cstheme="majorHAnsi"/>
          <w:sz w:val="28"/>
          <w:szCs w:val="28"/>
        </w:rPr>
        <w:t xml:space="preserve">with fairly strictly enforced controls on the level of parental </w:t>
      </w:r>
      <w:r w:rsidR="00ED0BCF" w:rsidRPr="00327B3A">
        <w:rPr>
          <w:rFonts w:asciiTheme="majorHAnsi" w:hAnsiTheme="majorHAnsi" w:cstheme="majorHAnsi"/>
          <w:sz w:val="28"/>
          <w:szCs w:val="28"/>
        </w:rPr>
        <w:t xml:space="preserve">school </w:t>
      </w:r>
      <w:r w:rsidRPr="00327B3A">
        <w:rPr>
          <w:rFonts w:asciiTheme="majorHAnsi" w:hAnsiTheme="majorHAnsi" w:cstheme="majorHAnsi"/>
          <w:sz w:val="28"/>
          <w:szCs w:val="28"/>
        </w:rPr>
        <w:t xml:space="preserve">contributions </w:t>
      </w:r>
      <w:r w:rsidR="00ED0BCF" w:rsidRPr="00327B3A">
        <w:rPr>
          <w:rFonts w:asciiTheme="majorHAnsi" w:hAnsiTheme="majorHAnsi" w:cstheme="majorHAnsi"/>
          <w:sz w:val="28"/>
          <w:szCs w:val="28"/>
        </w:rPr>
        <w:t xml:space="preserve">has been </w:t>
      </w:r>
      <w:r w:rsidR="006B24AA" w:rsidRPr="00327B3A">
        <w:rPr>
          <w:rFonts w:asciiTheme="majorHAnsi" w:hAnsiTheme="majorHAnsi" w:cstheme="majorHAnsi"/>
          <w:sz w:val="28"/>
          <w:szCs w:val="28"/>
        </w:rPr>
        <w:t xml:space="preserve">the central plank of national UPE strategies which led to </w:t>
      </w:r>
      <w:r w:rsidR="00A45DD0" w:rsidRPr="00327B3A">
        <w:rPr>
          <w:rFonts w:asciiTheme="majorHAnsi" w:hAnsiTheme="majorHAnsi" w:cstheme="majorHAnsi"/>
          <w:sz w:val="28"/>
          <w:szCs w:val="28"/>
        </w:rPr>
        <w:t xml:space="preserve">impressive </w:t>
      </w:r>
      <w:r w:rsidR="006B24AA" w:rsidRPr="00327B3A">
        <w:rPr>
          <w:rFonts w:asciiTheme="majorHAnsi" w:hAnsiTheme="majorHAnsi" w:cstheme="majorHAnsi"/>
          <w:sz w:val="28"/>
          <w:szCs w:val="28"/>
        </w:rPr>
        <w:t>and fairly immediate increases in enrolments.</w:t>
      </w:r>
      <w:r w:rsidR="005754A6">
        <w:rPr>
          <w:rFonts w:asciiTheme="majorHAnsi" w:hAnsiTheme="majorHAnsi" w:cstheme="majorHAnsi"/>
          <w:sz w:val="28"/>
          <w:szCs w:val="28"/>
        </w:rPr>
        <w:t xml:space="preserve"> It is </w:t>
      </w:r>
      <w:r w:rsidRPr="00327B3A">
        <w:rPr>
          <w:rFonts w:asciiTheme="majorHAnsi" w:hAnsiTheme="majorHAnsi" w:cstheme="majorHAnsi"/>
          <w:sz w:val="28"/>
          <w:szCs w:val="28"/>
        </w:rPr>
        <w:t>noticeable that</w:t>
      </w:r>
      <w:r w:rsidR="003A462B" w:rsidRPr="00327B3A">
        <w:rPr>
          <w:rFonts w:asciiTheme="majorHAnsi" w:hAnsiTheme="majorHAnsi" w:cstheme="majorHAnsi"/>
          <w:sz w:val="28"/>
          <w:szCs w:val="28"/>
        </w:rPr>
        <w:t>, to date, only in Tanzania</w:t>
      </w:r>
      <w:r w:rsidR="003A462B" w:rsidRPr="00327B3A">
        <w:rPr>
          <w:rStyle w:val="FootnoteReference"/>
          <w:rFonts w:asciiTheme="majorHAnsi" w:hAnsiTheme="majorHAnsi" w:cstheme="majorHAnsi"/>
          <w:sz w:val="28"/>
          <w:szCs w:val="28"/>
        </w:rPr>
        <w:footnoteReference w:id="18"/>
      </w:r>
      <w:r w:rsidR="003A462B" w:rsidRPr="00327B3A">
        <w:rPr>
          <w:rFonts w:asciiTheme="majorHAnsi" w:hAnsiTheme="majorHAnsi" w:cstheme="majorHAnsi"/>
          <w:sz w:val="28"/>
          <w:szCs w:val="28"/>
        </w:rPr>
        <w:t xml:space="preserve"> has this level of </w:t>
      </w:r>
      <w:r w:rsidRPr="00327B3A">
        <w:rPr>
          <w:rFonts w:asciiTheme="majorHAnsi" w:hAnsiTheme="majorHAnsi" w:cstheme="majorHAnsi"/>
          <w:sz w:val="28"/>
          <w:szCs w:val="28"/>
        </w:rPr>
        <w:t>fee abolition been enforced for second</w:t>
      </w:r>
      <w:r w:rsidR="003A462B" w:rsidRPr="00327B3A">
        <w:rPr>
          <w:rFonts w:asciiTheme="majorHAnsi" w:hAnsiTheme="majorHAnsi" w:cstheme="majorHAnsi"/>
          <w:sz w:val="28"/>
          <w:szCs w:val="28"/>
        </w:rPr>
        <w:t>ary education</w:t>
      </w:r>
      <w:r w:rsidRPr="00327B3A">
        <w:rPr>
          <w:rFonts w:asciiTheme="majorHAnsi" w:hAnsiTheme="majorHAnsi" w:cstheme="majorHAnsi"/>
          <w:sz w:val="28"/>
          <w:szCs w:val="28"/>
        </w:rPr>
        <w:t>.</w:t>
      </w:r>
      <w:r w:rsidR="00ED4AD1" w:rsidRPr="00327B3A">
        <w:rPr>
          <w:rFonts w:asciiTheme="majorHAnsi" w:hAnsiTheme="majorHAnsi" w:cstheme="majorHAnsi"/>
          <w:sz w:val="28"/>
          <w:szCs w:val="28"/>
        </w:rPr>
        <w:t xml:space="preserve"> </w:t>
      </w:r>
      <w:r w:rsidR="00A45DD0" w:rsidRPr="00327B3A">
        <w:rPr>
          <w:rFonts w:asciiTheme="majorHAnsi" w:hAnsiTheme="majorHAnsi" w:cstheme="majorHAnsi"/>
          <w:sz w:val="28"/>
          <w:szCs w:val="28"/>
        </w:rPr>
        <w:t xml:space="preserve">Elsewhere, governments have found it too </w:t>
      </w:r>
      <w:r w:rsidR="00ED0BCF" w:rsidRPr="00327B3A">
        <w:rPr>
          <w:rFonts w:asciiTheme="majorHAnsi" w:hAnsiTheme="majorHAnsi" w:cstheme="majorHAnsi"/>
          <w:sz w:val="28"/>
          <w:szCs w:val="28"/>
        </w:rPr>
        <w:t xml:space="preserve">difficult </w:t>
      </w:r>
      <w:r w:rsidR="00A45DD0" w:rsidRPr="00327B3A">
        <w:rPr>
          <w:rFonts w:asciiTheme="majorHAnsi" w:hAnsiTheme="majorHAnsi" w:cstheme="majorHAnsi"/>
          <w:sz w:val="28"/>
          <w:szCs w:val="28"/>
        </w:rPr>
        <w:t>p</w:t>
      </w:r>
      <w:r w:rsidR="00ED4AD1" w:rsidRPr="00327B3A">
        <w:rPr>
          <w:rFonts w:asciiTheme="majorHAnsi" w:hAnsiTheme="majorHAnsi" w:cstheme="majorHAnsi"/>
          <w:sz w:val="28"/>
          <w:szCs w:val="28"/>
        </w:rPr>
        <w:t xml:space="preserve">olitically to </w:t>
      </w:r>
      <w:r w:rsidR="00A45DD0" w:rsidRPr="00327B3A">
        <w:rPr>
          <w:rFonts w:asciiTheme="majorHAnsi" w:hAnsiTheme="majorHAnsi" w:cstheme="majorHAnsi"/>
          <w:sz w:val="28"/>
          <w:szCs w:val="28"/>
        </w:rPr>
        <w:t xml:space="preserve">prevent secondary </w:t>
      </w:r>
      <w:r w:rsidR="00ED4AD1" w:rsidRPr="00327B3A">
        <w:rPr>
          <w:rFonts w:asciiTheme="majorHAnsi" w:hAnsiTheme="majorHAnsi" w:cstheme="majorHAnsi"/>
          <w:sz w:val="28"/>
          <w:szCs w:val="28"/>
        </w:rPr>
        <w:t xml:space="preserve">schools from levying </w:t>
      </w:r>
      <w:r w:rsidR="00A45DD0" w:rsidRPr="00327B3A">
        <w:rPr>
          <w:rFonts w:asciiTheme="majorHAnsi" w:hAnsiTheme="majorHAnsi" w:cstheme="majorHAnsi"/>
          <w:sz w:val="28"/>
          <w:szCs w:val="28"/>
        </w:rPr>
        <w:t xml:space="preserve">various kinds of ‘parental contributions’ which continue to exclude the majority of the population. </w:t>
      </w:r>
      <w:r w:rsidR="00ED4AD1" w:rsidRPr="00327B3A">
        <w:rPr>
          <w:rFonts w:asciiTheme="majorHAnsi" w:hAnsiTheme="majorHAnsi" w:cstheme="majorHAnsi"/>
          <w:sz w:val="28"/>
          <w:szCs w:val="28"/>
        </w:rPr>
        <w:t xml:space="preserve"> </w:t>
      </w:r>
      <w:r w:rsidR="00454CDC" w:rsidRPr="00327B3A">
        <w:rPr>
          <w:rFonts w:asciiTheme="majorHAnsi" w:hAnsiTheme="majorHAnsi" w:cstheme="majorHAnsi"/>
          <w:sz w:val="28"/>
          <w:szCs w:val="28"/>
        </w:rPr>
        <w:t xml:space="preserve">For example, in 2012, the Rwanda Government promised to introduce free secondary education but there continue to be </w:t>
      </w:r>
      <w:r w:rsidR="00ED0BCF" w:rsidRPr="00327B3A">
        <w:rPr>
          <w:rFonts w:asciiTheme="majorHAnsi" w:hAnsiTheme="majorHAnsi" w:cstheme="majorHAnsi"/>
          <w:sz w:val="28"/>
          <w:szCs w:val="28"/>
        </w:rPr>
        <w:t xml:space="preserve">various </w:t>
      </w:r>
      <w:r w:rsidR="00454CDC" w:rsidRPr="00327B3A">
        <w:rPr>
          <w:rFonts w:asciiTheme="majorHAnsi" w:hAnsiTheme="majorHAnsi" w:cstheme="majorHAnsi"/>
          <w:sz w:val="28"/>
          <w:szCs w:val="28"/>
        </w:rPr>
        <w:t>parental contributions. P</w:t>
      </w:r>
      <w:r w:rsidR="00BC1C7B" w:rsidRPr="00327B3A">
        <w:rPr>
          <w:rFonts w:asciiTheme="majorHAnsi" w:hAnsiTheme="majorHAnsi" w:cstheme="majorHAnsi"/>
          <w:sz w:val="28"/>
          <w:szCs w:val="28"/>
        </w:rPr>
        <w:t xml:space="preserve">er capitation </w:t>
      </w:r>
      <w:r w:rsidR="00ED0BCF" w:rsidRPr="00327B3A">
        <w:rPr>
          <w:rFonts w:asciiTheme="majorHAnsi" w:hAnsiTheme="majorHAnsi" w:cstheme="majorHAnsi"/>
          <w:sz w:val="28"/>
          <w:szCs w:val="28"/>
        </w:rPr>
        <w:t xml:space="preserve">student </w:t>
      </w:r>
      <w:r w:rsidR="00BC1C7B" w:rsidRPr="00327B3A">
        <w:rPr>
          <w:rFonts w:asciiTheme="majorHAnsi" w:hAnsiTheme="majorHAnsi" w:cstheme="majorHAnsi"/>
          <w:sz w:val="28"/>
          <w:szCs w:val="28"/>
        </w:rPr>
        <w:t xml:space="preserve">grants are meant to replace </w:t>
      </w:r>
      <w:r w:rsidR="00ED4AD1" w:rsidRPr="00327B3A">
        <w:rPr>
          <w:rFonts w:asciiTheme="majorHAnsi" w:hAnsiTheme="majorHAnsi" w:cstheme="majorHAnsi"/>
          <w:sz w:val="28"/>
          <w:szCs w:val="28"/>
        </w:rPr>
        <w:t xml:space="preserve">lost </w:t>
      </w:r>
      <w:r w:rsidR="00454CDC" w:rsidRPr="00327B3A">
        <w:rPr>
          <w:rFonts w:asciiTheme="majorHAnsi" w:hAnsiTheme="majorHAnsi" w:cstheme="majorHAnsi"/>
          <w:sz w:val="28"/>
          <w:szCs w:val="28"/>
        </w:rPr>
        <w:t xml:space="preserve">fee income but these are </w:t>
      </w:r>
      <w:r w:rsidR="00BC1C7B" w:rsidRPr="00327B3A">
        <w:rPr>
          <w:rFonts w:asciiTheme="majorHAnsi" w:hAnsiTheme="majorHAnsi" w:cstheme="majorHAnsi"/>
          <w:sz w:val="28"/>
          <w:szCs w:val="28"/>
        </w:rPr>
        <w:t>rarely sufficient and</w:t>
      </w:r>
      <w:r w:rsidR="00454CDC" w:rsidRPr="00327B3A">
        <w:rPr>
          <w:rFonts w:asciiTheme="majorHAnsi" w:hAnsiTheme="majorHAnsi" w:cstheme="majorHAnsi"/>
          <w:sz w:val="28"/>
          <w:szCs w:val="28"/>
        </w:rPr>
        <w:t>,</w:t>
      </w:r>
      <w:r w:rsidR="00D931A0" w:rsidRPr="00327B3A">
        <w:rPr>
          <w:rFonts w:asciiTheme="majorHAnsi" w:hAnsiTheme="majorHAnsi" w:cstheme="majorHAnsi"/>
          <w:sz w:val="28"/>
          <w:szCs w:val="28"/>
        </w:rPr>
        <w:t xml:space="preserve"> in many</w:t>
      </w:r>
      <w:r w:rsidR="00BC1C7B" w:rsidRPr="00327B3A">
        <w:rPr>
          <w:rFonts w:asciiTheme="majorHAnsi" w:hAnsiTheme="majorHAnsi" w:cstheme="majorHAnsi"/>
          <w:sz w:val="28"/>
          <w:szCs w:val="28"/>
        </w:rPr>
        <w:t xml:space="preserve"> countries</w:t>
      </w:r>
      <w:r w:rsidR="00454CDC" w:rsidRPr="00327B3A">
        <w:rPr>
          <w:rFonts w:asciiTheme="majorHAnsi" w:hAnsiTheme="majorHAnsi" w:cstheme="majorHAnsi"/>
          <w:sz w:val="28"/>
          <w:szCs w:val="28"/>
        </w:rPr>
        <w:t>,</w:t>
      </w:r>
      <w:r w:rsidR="00BC1C7B" w:rsidRPr="00327B3A">
        <w:rPr>
          <w:rFonts w:asciiTheme="majorHAnsi" w:hAnsiTheme="majorHAnsi" w:cstheme="majorHAnsi"/>
          <w:sz w:val="28"/>
          <w:szCs w:val="28"/>
        </w:rPr>
        <w:t xml:space="preserve"> the</w:t>
      </w:r>
      <w:r w:rsidR="00CA4D71" w:rsidRPr="00327B3A">
        <w:rPr>
          <w:rFonts w:asciiTheme="majorHAnsi" w:hAnsiTheme="majorHAnsi" w:cstheme="majorHAnsi"/>
          <w:sz w:val="28"/>
          <w:szCs w:val="28"/>
        </w:rPr>
        <w:t>ir</w:t>
      </w:r>
      <w:r w:rsidR="00BC1C7B" w:rsidRPr="00327B3A">
        <w:rPr>
          <w:rFonts w:asciiTheme="majorHAnsi" w:hAnsiTheme="majorHAnsi" w:cstheme="majorHAnsi"/>
          <w:sz w:val="28"/>
          <w:szCs w:val="28"/>
        </w:rPr>
        <w:t xml:space="preserve"> real value has fallen appreciably.</w:t>
      </w:r>
    </w:p>
    <w:p w:rsidR="002A56D9" w:rsidRPr="00327B3A" w:rsidRDefault="00D931A0" w:rsidP="00577F32">
      <w:pPr>
        <w:jc w:val="both"/>
        <w:rPr>
          <w:rFonts w:asciiTheme="majorHAnsi" w:hAnsiTheme="majorHAnsi" w:cstheme="majorHAnsi"/>
          <w:sz w:val="28"/>
          <w:szCs w:val="28"/>
        </w:rPr>
      </w:pPr>
      <w:r w:rsidRPr="00327B3A">
        <w:rPr>
          <w:rFonts w:asciiTheme="majorHAnsi" w:hAnsiTheme="majorHAnsi" w:cstheme="majorHAnsi"/>
          <w:sz w:val="28"/>
          <w:szCs w:val="28"/>
        </w:rPr>
        <w:t>In the short term, across-the-</w:t>
      </w:r>
      <w:r w:rsidR="00454CDC" w:rsidRPr="00327B3A">
        <w:rPr>
          <w:rFonts w:asciiTheme="majorHAnsi" w:hAnsiTheme="majorHAnsi" w:cstheme="majorHAnsi"/>
          <w:sz w:val="28"/>
          <w:szCs w:val="28"/>
        </w:rPr>
        <w:t>board fee abolition is</w:t>
      </w:r>
      <w:r w:rsidR="00425E08" w:rsidRPr="00327B3A">
        <w:rPr>
          <w:rFonts w:asciiTheme="majorHAnsi" w:hAnsiTheme="majorHAnsi" w:cstheme="majorHAnsi"/>
          <w:sz w:val="28"/>
          <w:szCs w:val="28"/>
        </w:rPr>
        <w:t xml:space="preserve"> </w:t>
      </w:r>
      <w:r w:rsidR="002A56D9" w:rsidRPr="00327B3A">
        <w:rPr>
          <w:rFonts w:asciiTheme="majorHAnsi" w:hAnsiTheme="majorHAnsi" w:cstheme="majorHAnsi"/>
          <w:sz w:val="28"/>
          <w:szCs w:val="28"/>
        </w:rPr>
        <w:t>in</w:t>
      </w:r>
      <w:r w:rsidR="00425E08" w:rsidRPr="00327B3A">
        <w:rPr>
          <w:rFonts w:asciiTheme="majorHAnsi" w:hAnsiTheme="majorHAnsi" w:cstheme="majorHAnsi"/>
          <w:sz w:val="28"/>
          <w:szCs w:val="28"/>
        </w:rPr>
        <w:t xml:space="preserve">equitable </w:t>
      </w:r>
      <w:r w:rsidR="002A56D9" w:rsidRPr="00327B3A">
        <w:rPr>
          <w:rFonts w:asciiTheme="majorHAnsi" w:hAnsiTheme="majorHAnsi" w:cstheme="majorHAnsi"/>
          <w:sz w:val="28"/>
          <w:szCs w:val="28"/>
        </w:rPr>
        <w:t xml:space="preserve">because the principal beneficiaries are </w:t>
      </w:r>
      <w:r w:rsidR="008C40F8" w:rsidRPr="00327B3A">
        <w:rPr>
          <w:rFonts w:asciiTheme="majorHAnsi" w:hAnsiTheme="majorHAnsi" w:cstheme="majorHAnsi"/>
          <w:sz w:val="28"/>
          <w:szCs w:val="28"/>
        </w:rPr>
        <w:t xml:space="preserve">students from </w:t>
      </w:r>
      <w:r w:rsidR="002A56D9" w:rsidRPr="00327B3A">
        <w:rPr>
          <w:rFonts w:asciiTheme="majorHAnsi" w:hAnsiTheme="majorHAnsi" w:cstheme="majorHAnsi"/>
          <w:sz w:val="28"/>
          <w:szCs w:val="28"/>
        </w:rPr>
        <w:t xml:space="preserve">relatively wealthy households while the majority of poorer children from poorer households will </w:t>
      </w:r>
      <w:r w:rsidR="008C40F8" w:rsidRPr="00327B3A">
        <w:rPr>
          <w:rFonts w:asciiTheme="majorHAnsi" w:hAnsiTheme="majorHAnsi" w:cstheme="majorHAnsi"/>
          <w:sz w:val="28"/>
          <w:szCs w:val="28"/>
        </w:rPr>
        <w:t xml:space="preserve">still not </w:t>
      </w:r>
      <w:r w:rsidRPr="00327B3A">
        <w:rPr>
          <w:rFonts w:asciiTheme="majorHAnsi" w:hAnsiTheme="majorHAnsi" w:cstheme="majorHAnsi"/>
          <w:sz w:val="28"/>
          <w:szCs w:val="28"/>
        </w:rPr>
        <w:t xml:space="preserve">attend, let alone </w:t>
      </w:r>
      <w:r w:rsidR="002A56D9" w:rsidRPr="00327B3A">
        <w:rPr>
          <w:rFonts w:asciiTheme="majorHAnsi" w:hAnsiTheme="majorHAnsi" w:cstheme="majorHAnsi"/>
          <w:sz w:val="28"/>
          <w:szCs w:val="28"/>
        </w:rPr>
        <w:t>complete secondary education</w:t>
      </w:r>
      <w:r w:rsidR="002A56D9" w:rsidRPr="00327B3A">
        <w:rPr>
          <w:rStyle w:val="FootnoteReference"/>
          <w:rFonts w:asciiTheme="majorHAnsi" w:hAnsiTheme="majorHAnsi" w:cstheme="majorHAnsi"/>
          <w:sz w:val="28"/>
          <w:szCs w:val="28"/>
        </w:rPr>
        <w:footnoteReference w:id="19"/>
      </w:r>
      <w:r w:rsidR="002A56D9" w:rsidRPr="00327B3A">
        <w:rPr>
          <w:rFonts w:asciiTheme="majorHAnsi" w:hAnsiTheme="majorHAnsi" w:cstheme="majorHAnsi"/>
          <w:sz w:val="28"/>
          <w:szCs w:val="28"/>
        </w:rPr>
        <w:t xml:space="preserve">. Thus, </w:t>
      </w:r>
      <w:r w:rsidR="00425E08" w:rsidRPr="00327B3A">
        <w:rPr>
          <w:rFonts w:asciiTheme="majorHAnsi" w:hAnsiTheme="majorHAnsi" w:cstheme="majorHAnsi"/>
          <w:sz w:val="28"/>
          <w:szCs w:val="28"/>
        </w:rPr>
        <w:t>’m</w:t>
      </w:r>
      <w:r w:rsidR="00C808A5" w:rsidRPr="00327B3A">
        <w:rPr>
          <w:rFonts w:asciiTheme="majorHAnsi" w:hAnsiTheme="majorHAnsi" w:cstheme="majorHAnsi"/>
          <w:sz w:val="28"/>
          <w:szCs w:val="28"/>
        </w:rPr>
        <w:t>aking secondary school free would generate a transfer from the generally wealthier households where parents are already sending their children to secondary school’ (Duflo et. al</w:t>
      </w:r>
      <w:r w:rsidR="00540923">
        <w:rPr>
          <w:rFonts w:asciiTheme="majorHAnsi" w:hAnsiTheme="majorHAnsi" w:cstheme="majorHAnsi"/>
          <w:sz w:val="28"/>
          <w:szCs w:val="28"/>
        </w:rPr>
        <w:t xml:space="preserve"> 2019</w:t>
      </w:r>
      <w:r w:rsidR="00C808A5" w:rsidRPr="00327B3A">
        <w:rPr>
          <w:rFonts w:asciiTheme="majorHAnsi" w:hAnsiTheme="majorHAnsi" w:cstheme="majorHAnsi"/>
          <w:sz w:val="28"/>
          <w:szCs w:val="28"/>
        </w:rPr>
        <w:t>:</w:t>
      </w:r>
      <w:r w:rsidR="00FC51FA" w:rsidRPr="00327B3A">
        <w:rPr>
          <w:rFonts w:asciiTheme="majorHAnsi" w:hAnsiTheme="majorHAnsi" w:cstheme="majorHAnsi"/>
          <w:sz w:val="28"/>
          <w:szCs w:val="28"/>
        </w:rPr>
        <w:t xml:space="preserve"> </w:t>
      </w:r>
      <w:r w:rsidR="00540923">
        <w:rPr>
          <w:rFonts w:asciiTheme="majorHAnsi" w:hAnsiTheme="majorHAnsi" w:cstheme="majorHAnsi"/>
          <w:sz w:val="28"/>
          <w:szCs w:val="28"/>
        </w:rPr>
        <w:t>1</w:t>
      </w:r>
      <w:r w:rsidR="005D0F16" w:rsidRPr="00327B3A">
        <w:rPr>
          <w:rFonts w:asciiTheme="majorHAnsi" w:hAnsiTheme="majorHAnsi" w:cstheme="majorHAnsi"/>
          <w:sz w:val="28"/>
          <w:szCs w:val="28"/>
        </w:rPr>
        <w:t>).</w:t>
      </w:r>
      <w:r w:rsidR="008C40F8" w:rsidRPr="00327B3A">
        <w:rPr>
          <w:rFonts w:asciiTheme="majorHAnsi" w:hAnsiTheme="majorHAnsi" w:cstheme="majorHAnsi"/>
          <w:sz w:val="28"/>
          <w:szCs w:val="28"/>
        </w:rPr>
        <w:t xml:space="preserve"> While the report recognises this inequity, it does not </w:t>
      </w:r>
      <w:r w:rsidRPr="00327B3A">
        <w:rPr>
          <w:rFonts w:asciiTheme="majorHAnsi" w:hAnsiTheme="majorHAnsi" w:cstheme="majorHAnsi"/>
          <w:sz w:val="28"/>
          <w:szCs w:val="28"/>
        </w:rPr>
        <w:t xml:space="preserve">reject </w:t>
      </w:r>
      <w:r w:rsidR="008C40F8" w:rsidRPr="00327B3A">
        <w:rPr>
          <w:rFonts w:asciiTheme="majorHAnsi" w:hAnsiTheme="majorHAnsi" w:cstheme="majorHAnsi"/>
          <w:sz w:val="28"/>
          <w:szCs w:val="28"/>
        </w:rPr>
        <w:t>universal fee abolition</w:t>
      </w:r>
      <w:r w:rsidRPr="00327B3A">
        <w:rPr>
          <w:rFonts w:asciiTheme="majorHAnsi" w:hAnsiTheme="majorHAnsi" w:cstheme="majorHAnsi"/>
          <w:sz w:val="28"/>
          <w:szCs w:val="28"/>
        </w:rPr>
        <w:t xml:space="preserve"> as a key intervention</w:t>
      </w:r>
      <w:r w:rsidR="008C40F8" w:rsidRPr="00327B3A">
        <w:rPr>
          <w:rFonts w:asciiTheme="majorHAnsi" w:hAnsiTheme="majorHAnsi" w:cstheme="majorHAnsi"/>
          <w:sz w:val="28"/>
          <w:szCs w:val="28"/>
        </w:rPr>
        <w:t>.</w:t>
      </w:r>
      <w:r w:rsidR="005D0F16" w:rsidRPr="00327B3A">
        <w:rPr>
          <w:rFonts w:asciiTheme="majorHAnsi" w:hAnsiTheme="majorHAnsi" w:cstheme="majorHAnsi"/>
          <w:sz w:val="28"/>
          <w:szCs w:val="28"/>
        </w:rPr>
        <w:t xml:space="preserve"> </w:t>
      </w:r>
    </w:p>
    <w:p w:rsidR="00FC51FA" w:rsidRPr="00327B3A" w:rsidRDefault="002A56D9" w:rsidP="00577F32">
      <w:pPr>
        <w:jc w:val="both"/>
        <w:rPr>
          <w:rFonts w:asciiTheme="majorHAnsi" w:hAnsiTheme="majorHAnsi" w:cstheme="majorHAnsi"/>
          <w:sz w:val="28"/>
          <w:szCs w:val="28"/>
        </w:rPr>
      </w:pPr>
      <w:r w:rsidRPr="00327B3A">
        <w:rPr>
          <w:rFonts w:asciiTheme="majorHAnsi" w:hAnsiTheme="majorHAnsi" w:cstheme="majorHAnsi"/>
          <w:sz w:val="28"/>
          <w:szCs w:val="28"/>
        </w:rPr>
        <w:lastRenderedPageBreak/>
        <w:t>While t</w:t>
      </w:r>
      <w:r w:rsidR="005D0F16" w:rsidRPr="00327B3A">
        <w:rPr>
          <w:rFonts w:asciiTheme="majorHAnsi" w:hAnsiTheme="majorHAnsi" w:cstheme="majorHAnsi"/>
          <w:sz w:val="28"/>
          <w:szCs w:val="28"/>
        </w:rPr>
        <w:t>arget</w:t>
      </w:r>
      <w:r w:rsidRPr="00327B3A">
        <w:rPr>
          <w:rFonts w:asciiTheme="majorHAnsi" w:hAnsiTheme="majorHAnsi" w:cstheme="majorHAnsi"/>
          <w:sz w:val="28"/>
          <w:szCs w:val="28"/>
        </w:rPr>
        <w:t>ed</w:t>
      </w:r>
      <w:r w:rsidR="005D0F16" w:rsidRPr="00327B3A">
        <w:rPr>
          <w:rFonts w:asciiTheme="majorHAnsi" w:hAnsiTheme="majorHAnsi" w:cstheme="majorHAnsi"/>
          <w:sz w:val="28"/>
          <w:szCs w:val="28"/>
        </w:rPr>
        <w:t xml:space="preserve"> support for those who cannot afford to send their children to school</w:t>
      </w:r>
      <w:r w:rsidR="00D931A0" w:rsidRPr="00327B3A">
        <w:rPr>
          <w:rFonts w:asciiTheme="majorHAnsi" w:hAnsiTheme="majorHAnsi" w:cstheme="majorHAnsi"/>
          <w:sz w:val="28"/>
          <w:szCs w:val="28"/>
        </w:rPr>
        <w:t xml:space="preserve"> is a </w:t>
      </w:r>
      <w:r w:rsidRPr="00327B3A">
        <w:rPr>
          <w:rFonts w:asciiTheme="majorHAnsi" w:hAnsiTheme="majorHAnsi" w:cstheme="majorHAnsi"/>
          <w:sz w:val="28"/>
          <w:szCs w:val="28"/>
        </w:rPr>
        <w:t xml:space="preserve">more </w:t>
      </w:r>
      <w:r w:rsidR="00F17B68" w:rsidRPr="00327B3A">
        <w:rPr>
          <w:rFonts w:asciiTheme="majorHAnsi" w:hAnsiTheme="majorHAnsi" w:cstheme="majorHAnsi"/>
          <w:sz w:val="28"/>
          <w:szCs w:val="28"/>
        </w:rPr>
        <w:t xml:space="preserve">equitable approach, </w:t>
      </w:r>
      <w:r w:rsidRPr="00327B3A">
        <w:rPr>
          <w:rFonts w:asciiTheme="majorHAnsi" w:hAnsiTheme="majorHAnsi" w:cstheme="majorHAnsi"/>
          <w:sz w:val="28"/>
          <w:szCs w:val="28"/>
        </w:rPr>
        <w:t xml:space="preserve">the </w:t>
      </w:r>
      <w:r w:rsidR="00F17B68" w:rsidRPr="00327B3A">
        <w:rPr>
          <w:rFonts w:asciiTheme="majorHAnsi" w:hAnsiTheme="majorHAnsi" w:cstheme="majorHAnsi"/>
          <w:sz w:val="28"/>
          <w:szCs w:val="28"/>
        </w:rPr>
        <w:t xml:space="preserve">multiple </w:t>
      </w:r>
      <w:r w:rsidRPr="00327B3A">
        <w:rPr>
          <w:rFonts w:asciiTheme="majorHAnsi" w:hAnsiTheme="majorHAnsi" w:cstheme="majorHAnsi"/>
          <w:sz w:val="28"/>
          <w:szCs w:val="28"/>
        </w:rPr>
        <w:t>challenges of implementing means-tested support remain daunting in most of SSA</w:t>
      </w:r>
      <w:r w:rsidR="005D0F16" w:rsidRPr="00327B3A">
        <w:rPr>
          <w:rFonts w:asciiTheme="majorHAnsi" w:hAnsiTheme="majorHAnsi" w:cstheme="majorHAnsi"/>
          <w:sz w:val="28"/>
          <w:szCs w:val="28"/>
        </w:rPr>
        <w:t>.</w:t>
      </w:r>
      <w:r w:rsidR="00F17B68" w:rsidRPr="00327B3A">
        <w:rPr>
          <w:rFonts w:asciiTheme="majorHAnsi" w:hAnsiTheme="majorHAnsi" w:cstheme="majorHAnsi"/>
          <w:sz w:val="28"/>
          <w:szCs w:val="28"/>
        </w:rPr>
        <w:t xml:space="preserve"> To date, the majority of scholarship and cash transfer schemes in SSA have been donor funded and financial constraints have prevented nationwide coverage on a long-term sustainable basis.</w:t>
      </w:r>
      <w:r w:rsidR="005D0F16" w:rsidRPr="00327B3A">
        <w:rPr>
          <w:rFonts w:asciiTheme="majorHAnsi" w:hAnsiTheme="majorHAnsi" w:cstheme="majorHAnsi"/>
          <w:sz w:val="28"/>
          <w:szCs w:val="28"/>
        </w:rPr>
        <w:t xml:space="preserve"> </w:t>
      </w:r>
    </w:p>
    <w:p w:rsidR="00BC1C7B" w:rsidRPr="00327B3A" w:rsidRDefault="00BC1C7B" w:rsidP="001E5589">
      <w:pPr>
        <w:jc w:val="both"/>
        <w:rPr>
          <w:rFonts w:asciiTheme="majorHAnsi" w:hAnsiTheme="majorHAnsi" w:cstheme="majorHAnsi"/>
          <w:i/>
          <w:sz w:val="28"/>
          <w:szCs w:val="28"/>
        </w:rPr>
      </w:pPr>
      <w:r w:rsidRPr="00327B3A">
        <w:rPr>
          <w:rFonts w:asciiTheme="majorHAnsi" w:hAnsiTheme="majorHAnsi" w:cstheme="majorHAnsi"/>
          <w:i/>
          <w:sz w:val="28"/>
          <w:szCs w:val="28"/>
        </w:rPr>
        <w:t>School construction</w:t>
      </w:r>
      <w:r w:rsidR="00E07854" w:rsidRPr="00327B3A">
        <w:rPr>
          <w:rFonts w:asciiTheme="majorHAnsi" w:hAnsiTheme="majorHAnsi" w:cstheme="majorHAnsi"/>
          <w:i/>
          <w:sz w:val="28"/>
          <w:szCs w:val="28"/>
        </w:rPr>
        <w:t xml:space="preserve"> </w:t>
      </w:r>
    </w:p>
    <w:p w:rsidR="00B5328B" w:rsidRPr="00327B3A" w:rsidRDefault="00A728BE" w:rsidP="001E5589">
      <w:pPr>
        <w:jc w:val="both"/>
        <w:rPr>
          <w:rFonts w:asciiTheme="majorHAnsi" w:hAnsiTheme="majorHAnsi" w:cstheme="majorHAnsi"/>
          <w:sz w:val="28"/>
          <w:szCs w:val="28"/>
        </w:rPr>
      </w:pPr>
      <w:r w:rsidRPr="00327B3A">
        <w:rPr>
          <w:rFonts w:asciiTheme="majorHAnsi" w:hAnsiTheme="majorHAnsi" w:cstheme="majorHAnsi"/>
          <w:sz w:val="28"/>
          <w:szCs w:val="28"/>
        </w:rPr>
        <w:t xml:space="preserve">Apart from teachers, the other </w:t>
      </w:r>
      <w:r w:rsidR="005754A6">
        <w:rPr>
          <w:rFonts w:asciiTheme="majorHAnsi" w:hAnsiTheme="majorHAnsi" w:cstheme="majorHAnsi"/>
          <w:sz w:val="28"/>
          <w:szCs w:val="28"/>
        </w:rPr>
        <w:t xml:space="preserve">key </w:t>
      </w:r>
      <w:r w:rsidRPr="00327B3A">
        <w:rPr>
          <w:rFonts w:asciiTheme="majorHAnsi" w:hAnsiTheme="majorHAnsi" w:cstheme="majorHAnsi"/>
          <w:sz w:val="28"/>
          <w:szCs w:val="28"/>
        </w:rPr>
        <w:t>input required for expand</w:t>
      </w:r>
      <w:r w:rsidR="00877843" w:rsidRPr="00327B3A">
        <w:rPr>
          <w:rFonts w:asciiTheme="majorHAnsi" w:hAnsiTheme="majorHAnsi" w:cstheme="majorHAnsi"/>
          <w:sz w:val="28"/>
          <w:szCs w:val="28"/>
        </w:rPr>
        <w:t>ed secondary schooling</w:t>
      </w:r>
      <w:r w:rsidR="00D931A0" w:rsidRPr="00327B3A">
        <w:rPr>
          <w:rFonts w:asciiTheme="majorHAnsi" w:hAnsiTheme="majorHAnsi" w:cstheme="majorHAnsi"/>
          <w:sz w:val="28"/>
          <w:szCs w:val="28"/>
        </w:rPr>
        <w:t xml:space="preserve"> </w:t>
      </w:r>
      <w:r w:rsidR="008C40F8" w:rsidRPr="00327B3A">
        <w:rPr>
          <w:rFonts w:asciiTheme="majorHAnsi" w:hAnsiTheme="majorHAnsi" w:cstheme="majorHAnsi"/>
          <w:sz w:val="28"/>
          <w:szCs w:val="28"/>
        </w:rPr>
        <w:t xml:space="preserve">is the construction of new </w:t>
      </w:r>
      <w:r w:rsidRPr="00327B3A">
        <w:rPr>
          <w:rFonts w:asciiTheme="majorHAnsi" w:hAnsiTheme="majorHAnsi" w:cstheme="majorHAnsi"/>
          <w:sz w:val="28"/>
          <w:szCs w:val="28"/>
        </w:rPr>
        <w:t>schools</w:t>
      </w:r>
      <w:r w:rsidR="008C40F8" w:rsidRPr="00327B3A">
        <w:rPr>
          <w:rFonts w:asciiTheme="majorHAnsi" w:hAnsiTheme="majorHAnsi" w:cstheme="majorHAnsi"/>
          <w:sz w:val="28"/>
          <w:szCs w:val="28"/>
        </w:rPr>
        <w:t xml:space="preserve"> and more classrooms and other facilities at existing schools</w:t>
      </w:r>
      <w:r w:rsidRPr="00327B3A">
        <w:rPr>
          <w:rFonts w:asciiTheme="majorHAnsi" w:hAnsiTheme="majorHAnsi" w:cstheme="majorHAnsi"/>
          <w:sz w:val="28"/>
          <w:szCs w:val="28"/>
        </w:rPr>
        <w:t>. The Report provides no hard data and virtually no commentary on this critical area</w:t>
      </w:r>
      <w:r w:rsidR="00CC0CAD">
        <w:rPr>
          <w:rFonts w:asciiTheme="majorHAnsi" w:hAnsiTheme="majorHAnsi" w:cstheme="majorHAnsi"/>
          <w:sz w:val="28"/>
          <w:szCs w:val="28"/>
        </w:rPr>
        <w:t xml:space="preserve"> of provision. It is certainly </w:t>
      </w:r>
      <w:r w:rsidRPr="00327B3A">
        <w:rPr>
          <w:rFonts w:asciiTheme="majorHAnsi" w:hAnsiTheme="majorHAnsi" w:cstheme="majorHAnsi"/>
          <w:sz w:val="28"/>
          <w:szCs w:val="28"/>
        </w:rPr>
        <w:t>important to know just how many new secondary schools are being built especially in countries which have adopted fee-free and other related USE policies</w:t>
      </w:r>
      <w:r w:rsidR="00B5328B" w:rsidRPr="00327B3A">
        <w:rPr>
          <w:rFonts w:asciiTheme="majorHAnsi" w:hAnsiTheme="majorHAnsi" w:cstheme="majorHAnsi"/>
          <w:sz w:val="28"/>
          <w:szCs w:val="28"/>
        </w:rPr>
        <w:t xml:space="preserve"> where the enrolment pressures on existing schools are likely to be </w:t>
      </w:r>
      <w:r w:rsidR="008C40F8" w:rsidRPr="00327B3A">
        <w:rPr>
          <w:rFonts w:asciiTheme="majorHAnsi" w:hAnsiTheme="majorHAnsi" w:cstheme="majorHAnsi"/>
          <w:sz w:val="28"/>
          <w:szCs w:val="28"/>
        </w:rPr>
        <w:t>high</w:t>
      </w:r>
      <w:r w:rsidR="00B5328B" w:rsidRPr="00327B3A">
        <w:rPr>
          <w:rFonts w:asciiTheme="majorHAnsi" w:hAnsiTheme="majorHAnsi" w:cstheme="majorHAnsi"/>
          <w:sz w:val="28"/>
          <w:szCs w:val="28"/>
        </w:rPr>
        <w:t xml:space="preserve"> with the </w:t>
      </w:r>
      <w:r w:rsidR="00877843" w:rsidRPr="00327B3A">
        <w:rPr>
          <w:rFonts w:asciiTheme="majorHAnsi" w:hAnsiTheme="majorHAnsi" w:cstheme="majorHAnsi"/>
          <w:sz w:val="28"/>
          <w:szCs w:val="28"/>
        </w:rPr>
        <w:t>concomitant risk</w:t>
      </w:r>
      <w:r w:rsidR="00B5328B" w:rsidRPr="00327B3A">
        <w:rPr>
          <w:rFonts w:asciiTheme="majorHAnsi" w:hAnsiTheme="majorHAnsi" w:cstheme="majorHAnsi"/>
          <w:sz w:val="28"/>
          <w:szCs w:val="28"/>
        </w:rPr>
        <w:t>, therefore</w:t>
      </w:r>
      <w:r w:rsidR="00D931A0" w:rsidRPr="00327B3A">
        <w:rPr>
          <w:rFonts w:asciiTheme="majorHAnsi" w:hAnsiTheme="majorHAnsi" w:cstheme="majorHAnsi"/>
          <w:sz w:val="28"/>
          <w:szCs w:val="28"/>
        </w:rPr>
        <w:t>,</w:t>
      </w:r>
      <w:r w:rsidR="00B5328B" w:rsidRPr="00327B3A">
        <w:rPr>
          <w:rFonts w:asciiTheme="majorHAnsi" w:hAnsiTheme="majorHAnsi" w:cstheme="majorHAnsi"/>
          <w:sz w:val="28"/>
          <w:szCs w:val="28"/>
        </w:rPr>
        <w:t xml:space="preserve"> that learning outcomes will decline and drop-outs</w:t>
      </w:r>
      <w:r w:rsidR="008C40F8" w:rsidRPr="00327B3A">
        <w:rPr>
          <w:rFonts w:asciiTheme="majorHAnsi" w:hAnsiTheme="majorHAnsi" w:cstheme="majorHAnsi"/>
          <w:sz w:val="28"/>
          <w:szCs w:val="28"/>
        </w:rPr>
        <w:t xml:space="preserve"> rates will</w:t>
      </w:r>
      <w:r w:rsidR="00B5328B" w:rsidRPr="00327B3A">
        <w:rPr>
          <w:rFonts w:asciiTheme="majorHAnsi" w:hAnsiTheme="majorHAnsi" w:cstheme="majorHAnsi"/>
          <w:sz w:val="28"/>
          <w:szCs w:val="28"/>
        </w:rPr>
        <w:t xml:space="preserve"> increase. </w:t>
      </w:r>
    </w:p>
    <w:tbl>
      <w:tblPr>
        <w:tblW w:w="6860" w:type="dxa"/>
        <w:tblLook w:val="04A0" w:firstRow="1" w:lastRow="0" w:firstColumn="1" w:lastColumn="0" w:noHBand="0" w:noVBand="1"/>
      </w:tblPr>
      <w:tblGrid>
        <w:gridCol w:w="1386"/>
        <w:gridCol w:w="1360"/>
        <w:gridCol w:w="1416"/>
        <w:gridCol w:w="1103"/>
        <w:gridCol w:w="1551"/>
        <w:gridCol w:w="222"/>
      </w:tblGrid>
      <w:tr w:rsidR="00D67727" w:rsidRPr="00CC0CAD" w:rsidTr="00D67727">
        <w:trPr>
          <w:trHeight w:val="288"/>
        </w:trPr>
        <w:tc>
          <w:tcPr>
            <w:tcW w:w="6860" w:type="dxa"/>
            <w:gridSpan w:val="6"/>
            <w:tcBorders>
              <w:top w:val="nil"/>
              <w:left w:val="nil"/>
              <w:bottom w:val="nil"/>
              <w:right w:val="nil"/>
            </w:tcBorders>
            <w:shd w:val="clear" w:color="auto" w:fill="auto"/>
            <w:noWrap/>
            <w:vAlign w:val="bottom"/>
            <w:hideMark/>
          </w:tcPr>
          <w:p w:rsidR="00D67727" w:rsidRPr="00CC0CAD" w:rsidRDefault="00D67727" w:rsidP="00D67727">
            <w:pPr>
              <w:spacing w:after="0" w:line="240" w:lineRule="auto"/>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Table 7: Public capital expenditure as a percentage of total education</w:t>
            </w:r>
          </w:p>
        </w:tc>
      </w:tr>
      <w:tr w:rsidR="00D67727" w:rsidRPr="00CC0CAD" w:rsidTr="00D67727">
        <w:trPr>
          <w:trHeight w:val="300"/>
        </w:trPr>
        <w:tc>
          <w:tcPr>
            <w:tcW w:w="4162" w:type="dxa"/>
            <w:gridSpan w:val="3"/>
            <w:tcBorders>
              <w:top w:val="nil"/>
              <w:left w:val="nil"/>
              <w:bottom w:val="nil"/>
              <w:right w:val="nil"/>
            </w:tcBorders>
            <w:shd w:val="clear" w:color="auto" w:fill="auto"/>
            <w:noWrap/>
            <w:vAlign w:val="bottom"/>
            <w:hideMark/>
          </w:tcPr>
          <w:p w:rsidR="00D67727" w:rsidRPr="00CC0CAD" w:rsidRDefault="00D67727" w:rsidP="00D67727">
            <w:pPr>
              <w:spacing w:after="0" w:line="240" w:lineRule="auto"/>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expenditure, 2018/latest year available</w:t>
            </w:r>
          </w:p>
        </w:tc>
        <w:tc>
          <w:tcPr>
            <w:tcW w:w="1103"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rPr>
                <w:rFonts w:asciiTheme="majorHAnsi" w:eastAsia="Times New Roman" w:hAnsiTheme="majorHAnsi" w:cstheme="majorHAnsi"/>
                <w:color w:val="000000"/>
                <w:lang w:eastAsia="en-GB"/>
              </w:rPr>
            </w:pPr>
          </w:p>
        </w:tc>
        <w:tc>
          <w:tcPr>
            <w:tcW w:w="1551"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rPr>
                <w:rFonts w:asciiTheme="majorHAnsi" w:eastAsia="Times New Roman" w:hAnsiTheme="majorHAnsi" w:cstheme="majorHAnsi"/>
                <w:sz w:val="20"/>
                <w:szCs w:val="20"/>
                <w:lang w:eastAsia="en-GB"/>
              </w:rPr>
            </w:pPr>
          </w:p>
        </w:tc>
        <w:tc>
          <w:tcPr>
            <w:tcW w:w="44"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rPr>
                <w:rFonts w:asciiTheme="majorHAnsi" w:eastAsia="Times New Roman" w:hAnsiTheme="majorHAnsi" w:cstheme="majorHAnsi"/>
                <w:sz w:val="20"/>
                <w:szCs w:val="20"/>
                <w:lang w:eastAsia="en-GB"/>
              </w:rPr>
            </w:pPr>
          </w:p>
        </w:tc>
      </w:tr>
      <w:tr w:rsidR="00D67727" w:rsidRPr="00CC0CAD" w:rsidTr="00D67727">
        <w:trPr>
          <w:trHeight w:val="288"/>
        </w:trPr>
        <w:tc>
          <w:tcPr>
            <w:tcW w:w="1386" w:type="dxa"/>
            <w:tcBorders>
              <w:top w:val="single" w:sz="8" w:space="0" w:color="auto"/>
              <w:left w:val="single" w:sz="8" w:space="0" w:color="auto"/>
              <w:bottom w:val="single" w:sz="4" w:space="0" w:color="auto"/>
              <w:right w:val="nil"/>
            </w:tcBorders>
            <w:shd w:val="clear" w:color="000000" w:fill="F2F2F2"/>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0.1-2.9</w:t>
            </w:r>
          </w:p>
        </w:tc>
        <w:tc>
          <w:tcPr>
            <w:tcW w:w="1360" w:type="dxa"/>
            <w:tcBorders>
              <w:top w:val="single" w:sz="8" w:space="0" w:color="auto"/>
              <w:left w:val="nil"/>
              <w:bottom w:val="single" w:sz="4" w:space="0" w:color="auto"/>
              <w:right w:val="nil"/>
            </w:tcBorders>
            <w:shd w:val="clear" w:color="000000" w:fill="F2F2F2"/>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3.0-4.9</w:t>
            </w:r>
          </w:p>
        </w:tc>
        <w:tc>
          <w:tcPr>
            <w:tcW w:w="1416" w:type="dxa"/>
            <w:tcBorders>
              <w:top w:val="single" w:sz="8" w:space="0" w:color="auto"/>
              <w:left w:val="nil"/>
              <w:bottom w:val="single" w:sz="4" w:space="0" w:color="auto"/>
              <w:right w:val="nil"/>
            </w:tcBorders>
            <w:shd w:val="clear" w:color="000000" w:fill="F2F2F2"/>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5-6.9</w:t>
            </w:r>
          </w:p>
        </w:tc>
        <w:tc>
          <w:tcPr>
            <w:tcW w:w="1103" w:type="dxa"/>
            <w:tcBorders>
              <w:top w:val="single" w:sz="8" w:space="0" w:color="auto"/>
              <w:left w:val="nil"/>
              <w:bottom w:val="single" w:sz="4" w:space="0" w:color="auto"/>
              <w:right w:val="nil"/>
            </w:tcBorders>
            <w:shd w:val="clear" w:color="000000" w:fill="F2F2F2"/>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7-8.9</w:t>
            </w:r>
          </w:p>
        </w:tc>
        <w:tc>
          <w:tcPr>
            <w:tcW w:w="1551" w:type="dxa"/>
            <w:tcBorders>
              <w:top w:val="single" w:sz="8" w:space="0" w:color="auto"/>
              <w:left w:val="nil"/>
              <w:bottom w:val="single" w:sz="4" w:space="0" w:color="auto"/>
              <w:right w:val="single" w:sz="8" w:space="0" w:color="auto"/>
            </w:tcBorders>
            <w:shd w:val="clear" w:color="000000" w:fill="F2F2F2"/>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&gt;10</w:t>
            </w:r>
          </w:p>
        </w:tc>
        <w:tc>
          <w:tcPr>
            <w:tcW w:w="44"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p>
        </w:tc>
      </w:tr>
      <w:tr w:rsidR="00D67727" w:rsidRPr="00CC0CAD" w:rsidTr="00D67727">
        <w:trPr>
          <w:trHeight w:val="288"/>
        </w:trPr>
        <w:tc>
          <w:tcPr>
            <w:tcW w:w="1386" w:type="dxa"/>
            <w:tcBorders>
              <w:top w:val="nil"/>
              <w:left w:val="single" w:sz="8" w:space="0" w:color="auto"/>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Burundi</w:t>
            </w:r>
          </w:p>
        </w:tc>
        <w:tc>
          <w:tcPr>
            <w:tcW w:w="1360"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Lesotho</w:t>
            </w:r>
          </w:p>
        </w:tc>
        <w:tc>
          <w:tcPr>
            <w:tcW w:w="1416"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Cote d'Ivoire</w:t>
            </w:r>
          </w:p>
        </w:tc>
        <w:tc>
          <w:tcPr>
            <w:tcW w:w="1103"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Botswana</w:t>
            </w:r>
          </w:p>
        </w:tc>
        <w:tc>
          <w:tcPr>
            <w:tcW w:w="1551" w:type="dxa"/>
            <w:tcBorders>
              <w:top w:val="nil"/>
              <w:left w:val="nil"/>
              <w:bottom w:val="nil"/>
              <w:right w:val="single" w:sz="8" w:space="0" w:color="auto"/>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Cameroon</w:t>
            </w:r>
          </w:p>
        </w:tc>
        <w:tc>
          <w:tcPr>
            <w:tcW w:w="44"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p>
        </w:tc>
      </w:tr>
      <w:tr w:rsidR="00D67727" w:rsidRPr="00CC0CAD" w:rsidTr="00D67727">
        <w:trPr>
          <w:trHeight w:val="288"/>
        </w:trPr>
        <w:tc>
          <w:tcPr>
            <w:tcW w:w="1386" w:type="dxa"/>
            <w:tcBorders>
              <w:top w:val="nil"/>
              <w:left w:val="single" w:sz="8" w:space="0" w:color="auto"/>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CAR</w:t>
            </w:r>
          </w:p>
        </w:tc>
        <w:tc>
          <w:tcPr>
            <w:tcW w:w="1360"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Madagascar</w:t>
            </w:r>
          </w:p>
        </w:tc>
        <w:tc>
          <w:tcPr>
            <w:tcW w:w="1416"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103"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Ghana</w:t>
            </w:r>
          </w:p>
        </w:tc>
        <w:tc>
          <w:tcPr>
            <w:tcW w:w="1551" w:type="dxa"/>
            <w:tcBorders>
              <w:top w:val="nil"/>
              <w:left w:val="nil"/>
              <w:bottom w:val="nil"/>
              <w:right w:val="single" w:sz="8" w:space="0" w:color="auto"/>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DRC</w:t>
            </w:r>
          </w:p>
        </w:tc>
        <w:tc>
          <w:tcPr>
            <w:tcW w:w="44"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p>
        </w:tc>
      </w:tr>
      <w:tr w:rsidR="00D67727" w:rsidRPr="00CC0CAD" w:rsidTr="00D67727">
        <w:trPr>
          <w:trHeight w:val="288"/>
        </w:trPr>
        <w:tc>
          <w:tcPr>
            <w:tcW w:w="1386" w:type="dxa"/>
            <w:tcBorders>
              <w:top w:val="nil"/>
              <w:left w:val="single" w:sz="8" w:space="0" w:color="auto"/>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Guinea</w:t>
            </w:r>
          </w:p>
        </w:tc>
        <w:tc>
          <w:tcPr>
            <w:tcW w:w="1360"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Malawi</w:t>
            </w:r>
          </w:p>
        </w:tc>
        <w:tc>
          <w:tcPr>
            <w:tcW w:w="1416"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103"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Kenya</w:t>
            </w:r>
          </w:p>
        </w:tc>
        <w:tc>
          <w:tcPr>
            <w:tcW w:w="1551" w:type="dxa"/>
            <w:tcBorders>
              <w:top w:val="nil"/>
              <w:left w:val="nil"/>
              <w:bottom w:val="nil"/>
              <w:right w:val="single" w:sz="8" w:space="0" w:color="auto"/>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DRC</w:t>
            </w:r>
          </w:p>
        </w:tc>
        <w:tc>
          <w:tcPr>
            <w:tcW w:w="44"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p>
        </w:tc>
      </w:tr>
      <w:tr w:rsidR="00D67727" w:rsidRPr="00CC0CAD" w:rsidTr="00D67727">
        <w:trPr>
          <w:trHeight w:val="288"/>
        </w:trPr>
        <w:tc>
          <w:tcPr>
            <w:tcW w:w="1386" w:type="dxa"/>
            <w:tcBorders>
              <w:top w:val="nil"/>
              <w:left w:val="single" w:sz="8" w:space="0" w:color="auto"/>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Mali</w:t>
            </w:r>
          </w:p>
        </w:tc>
        <w:tc>
          <w:tcPr>
            <w:tcW w:w="1360"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Senegal</w:t>
            </w:r>
          </w:p>
        </w:tc>
        <w:tc>
          <w:tcPr>
            <w:tcW w:w="1416"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103"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Namibia</w:t>
            </w:r>
          </w:p>
        </w:tc>
        <w:tc>
          <w:tcPr>
            <w:tcW w:w="1551" w:type="dxa"/>
            <w:tcBorders>
              <w:top w:val="nil"/>
              <w:left w:val="nil"/>
              <w:bottom w:val="nil"/>
              <w:right w:val="single" w:sz="8" w:space="0" w:color="auto"/>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Ethiopia</w:t>
            </w:r>
          </w:p>
        </w:tc>
        <w:tc>
          <w:tcPr>
            <w:tcW w:w="44"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p>
        </w:tc>
      </w:tr>
      <w:tr w:rsidR="00D67727" w:rsidRPr="00CC0CAD" w:rsidTr="00D67727">
        <w:trPr>
          <w:trHeight w:val="288"/>
        </w:trPr>
        <w:tc>
          <w:tcPr>
            <w:tcW w:w="1386" w:type="dxa"/>
            <w:tcBorders>
              <w:top w:val="nil"/>
              <w:left w:val="single" w:sz="8" w:space="0" w:color="auto"/>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Niger</w:t>
            </w:r>
          </w:p>
        </w:tc>
        <w:tc>
          <w:tcPr>
            <w:tcW w:w="1360"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South Africa</w:t>
            </w:r>
          </w:p>
        </w:tc>
        <w:tc>
          <w:tcPr>
            <w:tcW w:w="1416"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103"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Zambia</w:t>
            </w:r>
          </w:p>
        </w:tc>
        <w:tc>
          <w:tcPr>
            <w:tcW w:w="1551" w:type="dxa"/>
            <w:tcBorders>
              <w:top w:val="nil"/>
              <w:left w:val="nil"/>
              <w:bottom w:val="nil"/>
              <w:right w:val="single" w:sz="8" w:space="0" w:color="auto"/>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Gambia</w:t>
            </w:r>
          </w:p>
        </w:tc>
        <w:tc>
          <w:tcPr>
            <w:tcW w:w="44"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p>
        </w:tc>
      </w:tr>
      <w:tr w:rsidR="00D67727" w:rsidRPr="00CC0CAD" w:rsidTr="00D67727">
        <w:trPr>
          <w:trHeight w:val="288"/>
        </w:trPr>
        <w:tc>
          <w:tcPr>
            <w:tcW w:w="1386" w:type="dxa"/>
            <w:tcBorders>
              <w:top w:val="nil"/>
              <w:left w:val="single" w:sz="8" w:space="0" w:color="auto"/>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Sierra Leone</w:t>
            </w:r>
          </w:p>
        </w:tc>
        <w:tc>
          <w:tcPr>
            <w:tcW w:w="1360"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416"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103"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551" w:type="dxa"/>
            <w:tcBorders>
              <w:top w:val="nil"/>
              <w:left w:val="nil"/>
              <w:bottom w:val="nil"/>
              <w:right w:val="single" w:sz="8" w:space="0" w:color="auto"/>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Guinea Bissau</w:t>
            </w:r>
          </w:p>
        </w:tc>
        <w:tc>
          <w:tcPr>
            <w:tcW w:w="44"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p>
        </w:tc>
      </w:tr>
      <w:tr w:rsidR="00D67727" w:rsidRPr="00CC0CAD" w:rsidTr="00D67727">
        <w:trPr>
          <w:trHeight w:val="288"/>
        </w:trPr>
        <w:tc>
          <w:tcPr>
            <w:tcW w:w="1386" w:type="dxa"/>
            <w:tcBorders>
              <w:top w:val="nil"/>
              <w:left w:val="single" w:sz="8" w:space="0" w:color="auto"/>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Togo</w:t>
            </w:r>
          </w:p>
        </w:tc>
        <w:tc>
          <w:tcPr>
            <w:tcW w:w="1360"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416"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103"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551" w:type="dxa"/>
            <w:tcBorders>
              <w:top w:val="nil"/>
              <w:left w:val="nil"/>
              <w:bottom w:val="nil"/>
              <w:right w:val="single" w:sz="8" w:space="0" w:color="auto"/>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Mozambique</w:t>
            </w:r>
          </w:p>
        </w:tc>
        <w:tc>
          <w:tcPr>
            <w:tcW w:w="44"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p>
        </w:tc>
      </w:tr>
      <w:tr w:rsidR="00D67727" w:rsidRPr="00CC0CAD" w:rsidTr="00D67727">
        <w:trPr>
          <w:trHeight w:val="288"/>
        </w:trPr>
        <w:tc>
          <w:tcPr>
            <w:tcW w:w="1386" w:type="dxa"/>
            <w:tcBorders>
              <w:top w:val="nil"/>
              <w:left w:val="single" w:sz="8" w:space="0" w:color="auto"/>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360"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416"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103" w:type="dxa"/>
            <w:tcBorders>
              <w:top w:val="nil"/>
              <w:left w:val="nil"/>
              <w:bottom w:val="nil"/>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551" w:type="dxa"/>
            <w:tcBorders>
              <w:top w:val="nil"/>
              <w:left w:val="nil"/>
              <w:bottom w:val="nil"/>
              <w:right w:val="single" w:sz="8" w:space="0" w:color="auto"/>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Rwanda</w:t>
            </w:r>
          </w:p>
        </w:tc>
        <w:tc>
          <w:tcPr>
            <w:tcW w:w="44"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p>
        </w:tc>
      </w:tr>
      <w:tr w:rsidR="00D67727" w:rsidRPr="00CC0CAD" w:rsidTr="00D67727">
        <w:trPr>
          <w:trHeight w:val="300"/>
        </w:trPr>
        <w:tc>
          <w:tcPr>
            <w:tcW w:w="1386" w:type="dxa"/>
            <w:tcBorders>
              <w:top w:val="nil"/>
              <w:left w:val="single" w:sz="8" w:space="0" w:color="auto"/>
              <w:bottom w:val="single" w:sz="8" w:space="0" w:color="auto"/>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360" w:type="dxa"/>
            <w:tcBorders>
              <w:top w:val="nil"/>
              <w:left w:val="nil"/>
              <w:bottom w:val="single" w:sz="8" w:space="0" w:color="auto"/>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416" w:type="dxa"/>
            <w:tcBorders>
              <w:top w:val="nil"/>
              <w:left w:val="nil"/>
              <w:bottom w:val="single" w:sz="8" w:space="0" w:color="auto"/>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103" w:type="dxa"/>
            <w:tcBorders>
              <w:top w:val="nil"/>
              <w:left w:val="nil"/>
              <w:bottom w:val="single" w:sz="8" w:space="0" w:color="auto"/>
              <w:right w:val="nil"/>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 </w:t>
            </w:r>
          </w:p>
        </w:tc>
        <w:tc>
          <w:tcPr>
            <w:tcW w:w="1551" w:type="dxa"/>
            <w:tcBorders>
              <w:top w:val="nil"/>
              <w:left w:val="nil"/>
              <w:bottom w:val="single" w:sz="8" w:space="0" w:color="auto"/>
              <w:right w:val="single" w:sz="8" w:space="0" w:color="auto"/>
            </w:tcBorders>
            <w:shd w:val="clear" w:color="000000" w:fill="FFFFFF"/>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South Sudan</w:t>
            </w:r>
          </w:p>
        </w:tc>
        <w:tc>
          <w:tcPr>
            <w:tcW w:w="44"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p>
        </w:tc>
      </w:tr>
      <w:tr w:rsidR="00D67727" w:rsidRPr="00CC0CAD" w:rsidTr="00D67727">
        <w:trPr>
          <w:trHeight w:val="288"/>
        </w:trPr>
        <w:tc>
          <w:tcPr>
            <w:tcW w:w="1386" w:type="dxa"/>
            <w:tcBorders>
              <w:top w:val="nil"/>
              <w:left w:val="single" w:sz="8" w:space="0" w:color="auto"/>
              <w:bottom w:val="nil"/>
              <w:right w:val="nil"/>
            </w:tcBorders>
            <w:shd w:val="clear" w:color="auto" w:fill="auto"/>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r w:rsidRPr="00CC0CAD">
              <w:rPr>
                <w:rFonts w:asciiTheme="majorHAnsi" w:eastAsia="Times New Roman" w:hAnsiTheme="majorHAnsi" w:cstheme="majorHAnsi"/>
                <w:color w:val="000000"/>
                <w:lang w:eastAsia="en-GB"/>
              </w:rPr>
              <w:t>Source: UIS</w:t>
            </w:r>
          </w:p>
        </w:tc>
        <w:tc>
          <w:tcPr>
            <w:tcW w:w="1360"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jc w:val="center"/>
              <w:rPr>
                <w:rFonts w:asciiTheme="majorHAnsi" w:eastAsia="Times New Roman" w:hAnsiTheme="majorHAnsi" w:cstheme="majorHAnsi"/>
                <w:color w:val="000000"/>
                <w:lang w:eastAsia="en-GB"/>
              </w:rPr>
            </w:pPr>
          </w:p>
        </w:tc>
        <w:tc>
          <w:tcPr>
            <w:tcW w:w="1416"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rPr>
                <w:rFonts w:asciiTheme="majorHAnsi" w:eastAsia="Times New Roman" w:hAnsiTheme="majorHAnsi" w:cstheme="majorHAnsi"/>
                <w:sz w:val="20"/>
                <w:szCs w:val="20"/>
                <w:lang w:eastAsia="en-GB"/>
              </w:rPr>
            </w:pPr>
          </w:p>
        </w:tc>
        <w:tc>
          <w:tcPr>
            <w:tcW w:w="1103"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rPr>
                <w:rFonts w:asciiTheme="majorHAnsi" w:eastAsia="Times New Roman" w:hAnsiTheme="majorHAnsi" w:cstheme="majorHAnsi"/>
                <w:sz w:val="20"/>
                <w:szCs w:val="20"/>
                <w:lang w:eastAsia="en-GB"/>
              </w:rPr>
            </w:pPr>
          </w:p>
        </w:tc>
        <w:tc>
          <w:tcPr>
            <w:tcW w:w="1551"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rPr>
                <w:rFonts w:asciiTheme="majorHAnsi" w:eastAsia="Times New Roman" w:hAnsiTheme="majorHAnsi" w:cstheme="majorHAnsi"/>
                <w:sz w:val="20"/>
                <w:szCs w:val="20"/>
                <w:lang w:eastAsia="en-GB"/>
              </w:rPr>
            </w:pPr>
          </w:p>
        </w:tc>
        <w:tc>
          <w:tcPr>
            <w:tcW w:w="44" w:type="dxa"/>
            <w:tcBorders>
              <w:top w:val="nil"/>
              <w:left w:val="nil"/>
              <w:bottom w:val="nil"/>
              <w:right w:val="nil"/>
            </w:tcBorders>
            <w:shd w:val="clear" w:color="auto" w:fill="auto"/>
            <w:noWrap/>
            <w:vAlign w:val="bottom"/>
            <w:hideMark/>
          </w:tcPr>
          <w:p w:rsidR="00D67727" w:rsidRPr="00CC0CAD" w:rsidRDefault="00D67727" w:rsidP="00D67727">
            <w:pPr>
              <w:spacing w:after="0" w:line="240" w:lineRule="auto"/>
              <w:rPr>
                <w:rFonts w:asciiTheme="majorHAnsi" w:eastAsia="Times New Roman" w:hAnsiTheme="majorHAnsi" w:cstheme="majorHAnsi"/>
                <w:sz w:val="20"/>
                <w:szCs w:val="20"/>
                <w:lang w:eastAsia="en-GB"/>
              </w:rPr>
            </w:pPr>
          </w:p>
        </w:tc>
      </w:tr>
    </w:tbl>
    <w:p w:rsidR="00D67727" w:rsidRDefault="00D67727" w:rsidP="001E5589">
      <w:pPr>
        <w:jc w:val="both"/>
        <w:rPr>
          <w:rFonts w:asciiTheme="majorHAnsi" w:hAnsiTheme="majorHAnsi" w:cstheme="majorHAnsi"/>
          <w:sz w:val="28"/>
          <w:szCs w:val="28"/>
        </w:rPr>
      </w:pPr>
    </w:p>
    <w:p w:rsidR="00E07854" w:rsidRPr="00327B3A" w:rsidRDefault="00A728BE" w:rsidP="001E5589">
      <w:pPr>
        <w:jc w:val="both"/>
        <w:rPr>
          <w:rFonts w:asciiTheme="majorHAnsi" w:hAnsiTheme="majorHAnsi" w:cstheme="majorHAnsi"/>
          <w:sz w:val="28"/>
          <w:szCs w:val="28"/>
        </w:rPr>
      </w:pPr>
      <w:r w:rsidRPr="00327B3A">
        <w:rPr>
          <w:rFonts w:asciiTheme="majorHAnsi" w:hAnsiTheme="majorHAnsi" w:cstheme="majorHAnsi"/>
          <w:sz w:val="28"/>
          <w:szCs w:val="28"/>
        </w:rPr>
        <w:t>What statistics are available indicate that t</w:t>
      </w:r>
      <w:r w:rsidR="00082B49" w:rsidRPr="00327B3A">
        <w:rPr>
          <w:rFonts w:asciiTheme="majorHAnsi" w:hAnsiTheme="majorHAnsi" w:cstheme="majorHAnsi"/>
          <w:sz w:val="28"/>
          <w:szCs w:val="28"/>
        </w:rPr>
        <w:t xml:space="preserve">he share of capital expenditure in total public education expenditure </w:t>
      </w:r>
      <w:r w:rsidRPr="00327B3A">
        <w:rPr>
          <w:rFonts w:asciiTheme="majorHAnsi" w:hAnsiTheme="majorHAnsi" w:cstheme="majorHAnsi"/>
          <w:sz w:val="28"/>
          <w:szCs w:val="28"/>
        </w:rPr>
        <w:t xml:space="preserve">as a whole </w:t>
      </w:r>
      <w:r w:rsidR="00082B49" w:rsidRPr="00327B3A">
        <w:rPr>
          <w:rFonts w:asciiTheme="majorHAnsi" w:hAnsiTheme="majorHAnsi" w:cstheme="majorHAnsi"/>
          <w:sz w:val="28"/>
          <w:szCs w:val="28"/>
        </w:rPr>
        <w:t xml:space="preserve">is very low </w:t>
      </w:r>
      <w:r w:rsidRPr="00327B3A">
        <w:rPr>
          <w:rFonts w:asciiTheme="majorHAnsi" w:hAnsiTheme="majorHAnsi" w:cstheme="majorHAnsi"/>
          <w:sz w:val="28"/>
          <w:szCs w:val="28"/>
        </w:rPr>
        <w:t xml:space="preserve">(less than 5%) </w:t>
      </w:r>
      <w:r w:rsidR="00082B49" w:rsidRPr="00327B3A">
        <w:rPr>
          <w:rFonts w:asciiTheme="majorHAnsi" w:hAnsiTheme="majorHAnsi" w:cstheme="majorHAnsi"/>
          <w:sz w:val="28"/>
          <w:szCs w:val="28"/>
        </w:rPr>
        <w:t>and declining in the majority of countries</w:t>
      </w:r>
      <w:r w:rsidR="00B5328B" w:rsidRPr="00327B3A">
        <w:rPr>
          <w:rFonts w:asciiTheme="majorHAnsi" w:hAnsiTheme="majorHAnsi" w:cstheme="majorHAnsi"/>
          <w:sz w:val="28"/>
          <w:szCs w:val="28"/>
        </w:rPr>
        <w:t xml:space="preserve"> in SSA</w:t>
      </w:r>
      <w:r w:rsidR="00304A85">
        <w:rPr>
          <w:rFonts w:asciiTheme="majorHAnsi" w:hAnsiTheme="majorHAnsi" w:cstheme="majorHAnsi"/>
          <w:sz w:val="28"/>
          <w:szCs w:val="28"/>
        </w:rPr>
        <w:t xml:space="preserve"> (see table 7</w:t>
      </w:r>
      <w:r w:rsidRPr="00327B3A">
        <w:rPr>
          <w:rFonts w:asciiTheme="majorHAnsi" w:hAnsiTheme="majorHAnsi" w:cstheme="majorHAnsi"/>
          <w:sz w:val="28"/>
          <w:szCs w:val="28"/>
        </w:rPr>
        <w:t xml:space="preserve">). There are at least four sets of </w:t>
      </w:r>
      <w:r w:rsidR="00D931A0" w:rsidRPr="00327B3A">
        <w:rPr>
          <w:rFonts w:asciiTheme="majorHAnsi" w:hAnsiTheme="majorHAnsi" w:cstheme="majorHAnsi"/>
          <w:sz w:val="28"/>
          <w:szCs w:val="28"/>
        </w:rPr>
        <w:t xml:space="preserve">possible </w:t>
      </w:r>
      <w:r w:rsidR="00B5328B" w:rsidRPr="00327B3A">
        <w:rPr>
          <w:rFonts w:asciiTheme="majorHAnsi" w:hAnsiTheme="majorHAnsi" w:cstheme="majorHAnsi"/>
          <w:sz w:val="28"/>
          <w:szCs w:val="28"/>
        </w:rPr>
        <w:t>reasons</w:t>
      </w:r>
      <w:r w:rsidR="00D931A0" w:rsidRPr="00327B3A">
        <w:rPr>
          <w:rFonts w:asciiTheme="majorHAnsi" w:hAnsiTheme="majorHAnsi" w:cstheme="majorHAnsi"/>
          <w:sz w:val="28"/>
          <w:szCs w:val="28"/>
        </w:rPr>
        <w:t xml:space="preserve"> for this</w:t>
      </w:r>
      <w:r w:rsidRPr="00327B3A">
        <w:rPr>
          <w:rFonts w:asciiTheme="majorHAnsi" w:hAnsiTheme="majorHAnsi" w:cstheme="majorHAnsi"/>
          <w:sz w:val="28"/>
          <w:szCs w:val="28"/>
        </w:rPr>
        <w:t xml:space="preserve">. Firstly, </w:t>
      </w:r>
      <w:r w:rsidR="00B5328B" w:rsidRPr="00327B3A">
        <w:rPr>
          <w:rFonts w:asciiTheme="majorHAnsi" w:hAnsiTheme="majorHAnsi" w:cstheme="majorHAnsi"/>
          <w:sz w:val="28"/>
          <w:szCs w:val="28"/>
        </w:rPr>
        <w:t xml:space="preserve">as discussed earlier, </w:t>
      </w:r>
      <w:r w:rsidRPr="00327B3A">
        <w:rPr>
          <w:rFonts w:asciiTheme="majorHAnsi" w:hAnsiTheme="majorHAnsi" w:cstheme="majorHAnsi"/>
          <w:sz w:val="28"/>
          <w:szCs w:val="28"/>
        </w:rPr>
        <w:t>government expenditure on education is declining or stagnant in</w:t>
      </w:r>
      <w:r w:rsidR="00B5328B" w:rsidRPr="00327B3A">
        <w:rPr>
          <w:rFonts w:asciiTheme="majorHAnsi" w:hAnsiTheme="majorHAnsi" w:cstheme="majorHAnsi"/>
          <w:sz w:val="28"/>
          <w:szCs w:val="28"/>
        </w:rPr>
        <w:t xml:space="preserve"> three-quarters of countries in SSA for which data is available which almost </w:t>
      </w:r>
      <w:r w:rsidR="008C40F8" w:rsidRPr="00327B3A">
        <w:rPr>
          <w:rFonts w:asciiTheme="majorHAnsi" w:hAnsiTheme="majorHAnsi" w:cstheme="majorHAnsi"/>
          <w:sz w:val="28"/>
          <w:szCs w:val="28"/>
        </w:rPr>
        <w:t xml:space="preserve">inevitably </w:t>
      </w:r>
      <w:r w:rsidR="00B5328B" w:rsidRPr="00327B3A">
        <w:rPr>
          <w:rFonts w:asciiTheme="majorHAnsi" w:hAnsiTheme="majorHAnsi" w:cstheme="majorHAnsi"/>
          <w:sz w:val="28"/>
          <w:szCs w:val="28"/>
        </w:rPr>
        <w:t>put</w:t>
      </w:r>
      <w:r w:rsidR="00D931A0" w:rsidRPr="00327B3A">
        <w:rPr>
          <w:rFonts w:asciiTheme="majorHAnsi" w:hAnsiTheme="majorHAnsi" w:cstheme="majorHAnsi"/>
          <w:sz w:val="28"/>
          <w:szCs w:val="28"/>
        </w:rPr>
        <w:t>s</w:t>
      </w:r>
      <w:r w:rsidR="00B5328B" w:rsidRPr="00327B3A">
        <w:rPr>
          <w:rFonts w:asciiTheme="majorHAnsi" w:hAnsiTheme="majorHAnsi" w:cstheme="majorHAnsi"/>
          <w:sz w:val="28"/>
          <w:szCs w:val="28"/>
        </w:rPr>
        <w:t xml:space="preserve"> further strain on capital budgets. Secondly, the relatively high unit construction costs for secondary schools </w:t>
      </w:r>
      <w:r w:rsidR="00CC0CAD">
        <w:rPr>
          <w:rFonts w:asciiTheme="majorHAnsi" w:hAnsiTheme="majorHAnsi" w:cstheme="majorHAnsi"/>
          <w:sz w:val="28"/>
          <w:szCs w:val="28"/>
        </w:rPr>
        <w:t>(</w:t>
      </w:r>
      <w:r w:rsidR="00B5328B" w:rsidRPr="00327B3A">
        <w:rPr>
          <w:rFonts w:asciiTheme="majorHAnsi" w:hAnsiTheme="majorHAnsi" w:cstheme="majorHAnsi"/>
          <w:sz w:val="28"/>
          <w:szCs w:val="28"/>
        </w:rPr>
        <w:t xml:space="preserve">especially for boarding schools which are </w:t>
      </w:r>
      <w:r w:rsidR="008C40F8" w:rsidRPr="00327B3A">
        <w:rPr>
          <w:rFonts w:asciiTheme="majorHAnsi" w:hAnsiTheme="majorHAnsi" w:cstheme="majorHAnsi"/>
          <w:sz w:val="28"/>
          <w:szCs w:val="28"/>
        </w:rPr>
        <w:t xml:space="preserve">usually unavoidable </w:t>
      </w:r>
      <w:r w:rsidR="00B5328B" w:rsidRPr="00327B3A">
        <w:rPr>
          <w:rFonts w:asciiTheme="majorHAnsi" w:hAnsiTheme="majorHAnsi" w:cstheme="majorHAnsi"/>
          <w:sz w:val="28"/>
          <w:szCs w:val="28"/>
        </w:rPr>
        <w:t>in more sparsely populated rural areas</w:t>
      </w:r>
      <w:r w:rsidR="00CC0CAD">
        <w:rPr>
          <w:rFonts w:asciiTheme="majorHAnsi" w:hAnsiTheme="majorHAnsi" w:cstheme="majorHAnsi"/>
          <w:sz w:val="28"/>
          <w:szCs w:val="28"/>
        </w:rPr>
        <w:t>)</w:t>
      </w:r>
      <w:r w:rsidR="00B5328B" w:rsidRPr="00327B3A">
        <w:rPr>
          <w:rFonts w:asciiTheme="majorHAnsi" w:hAnsiTheme="majorHAnsi" w:cstheme="majorHAnsi"/>
          <w:sz w:val="28"/>
          <w:szCs w:val="28"/>
        </w:rPr>
        <w:t xml:space="preserve"> are </w:t>
      </w:r>
      <w:r w:rsidR="008C40F8" w:rsidRPr="00327B3A">
        <w:rPr>
          <w:rFonts w:asciiTheme="majorHAnsi" w:hAnsiTheme="majorHAnsi" w:cstheme="majorHAnsi"/>
          <w:sz w:val="28"/>
          <w:szCs w:val="28"/>
        </w:rPr>
        <w:t xml:space="preserve">typically </w:t>
      </w:r>
      <w:r w:rsidR="00B5328B" w:rsidRPr="00327B3A">
        <w:rPr>
          <w:rFonts w:asciiTheme="majorHAnsi" w:hAnsiTheme="majorHAnsi" w:cstheme="majorHAnsi"/>
          <w:sz w:val="28"/>
          <w:szCs w:val="28"/>
        </w:rPr>
        <w:t xml:space="preserve">at least </w:t>
      </w:r>
      <w:r w:rsidR="008C40F8" w:rsidRPr="00327B3A">
        <w:rPr>
          <w:rFonts w:asciiTheme="majorHAnsi" w:hAnsiTheme="majorHAnsi" w:cstheme="majorHAnsi"/>
          <w:sz w:val="28"/>
          <w:szCs w:val="28"/>
        </w:rPr>
        <w:t xml:space="preserve">twice as </w:t>
      </w:r>
      <w:r w:rsidR="00CC0CAD">
        <w:rPr>
          <w:rFonts w:asciiTheme="majorHAnsi" w:hAnsiTheme="majorHAnsi" w:cstheme="majorHAnsi"/>
          <w:sz w:val="28"/>
          <w:szCs w:val="28"/>
        </w:rPr>
        <w:t xml:space="preserve">much </w:t>
      </w:r>
      <w:r w:rsidR="008C40F8" w:rsidRPr="00327B3A">
        <w:rPr>
          <w:rFonts w:asciiTheme="majorHAnsi" w:hAnsiTheme="majorHAnsi" w:cstheme="majorHAnsi"/>
          <w:sz w:val="28"/>
          <w:szCs w:val="28"/>
        </w:rPr>
        <w:t>as</w:t>
      </w:r>
      <w:r w:rsidR="00B5328B" w:rsidRPr="00327B3A">
        <w:rPr>
          <w:rFonts w:asciiTheme="majorHAnsi" w:hAnsiTheme="majorHAnsi" w:cstheme="majorHAnsi"/>
          <w:sz w:val="28"/>
          <w:szCs w:val="28"/>
        </w:rPr>
        <w:t xml:space="preserve"> primary schools. </w:t>
      </w:r>
      <w:r w:rsidR="00B5328B" w:rsidRPr="00327B3A">
        <w:rPr>
          <w:rFonts w:asciiTheme="majorHAnsi" w:hAnsiTheme="majorHAnsi" w:cstheme="majorHAnsi"/>
          <w:sz w:val="28"/>
          <w:szCs w:val="28"/>
        </w:rPr>
        <w:lastRenderedPageBreak/>
        <w:t xml:space="preserve">Thirdly, intensifying recurrent expenditure pressures </w:t>
      </w:r>
      <w:r w:rsidR="008C40F8" w:rsidRPr="00327B3A">
        <w:rPr>
          <w:rFonts w:asciiTheme="majorHAnsi" w:hAnsiTheme="majorHAnsi" w:cstheme="majorHAnsi"/>
          <w:sz w:val="28"/>
          <w:szCs w:val="28"/>
        </w:rPr>
        <w:t xml:space="preserve">will </w:t>
      </w:r>
      <w:r w:rsidR="00B5328B" w:rsidRPr="00327B3A">
        <w:rPr>
          <w:rFonts w:asciiTheme="majorHAnsi" w:hAnsiTheme="majorHAnsi" w:cstheme="majorHAnsi"/>
          <w:sz w:val="28"/>
          <w:szCs w:val="28"/>
        </w:rPr>
        <w:t>increasingly crowding out already relatively very small capital expenditure</w:t>
      </w:r>
      <w:r w:rsidR="008C40F8" w:rsidRPr="00327B3A">
        <w:rPr>
          <w:rFonts w:asciiTheme="majorHAnsi" w:hAnsiTheme="majorHAnsi" w:cstheme="majorHAnsi"/>
          <w:sz w:val="28"/>
          <w:szCs w:val="28"/>
        </w:rPr>
        <w:t>s</w:t>
      </w:r>
      <w:r w:rsidR="00B5328B" w:rsidRPr="00327B3A">
        <w:rPr>
          <w:rFonts w:asciiTheme="majorHAnsi" w:hAnsiTheme="majorHAnsi" w:cstheme="majorHAnsi"/>
          <w:sz w:val="28"/>
          <w:szCs w:val="28"/>
        </w:rPr>
        <w:t xml:space="preserve">. And fourthly, </w:t>
      </w:r>
      <w:r w:rsidR="00E72479" w:rsidRPr="00327B3A">
        <w:rPr>
          <w:rFonts w:asciiTheme="majorHAnsi" w:hAnsiTheme="majorHAnsi" w:cstheme="majorHAnsi"/>
          <w:sz w:val="28"/>
          <w:szCs w:val="28"/>
        </w:rPr>
        <w:t xml:space="preserve">many governments </w:t>
      </w:r>
      <w:r w:rsidR="00D931A0" w:rsidRPr="00327B3A">
        <w:rPr>
          <w:rFonts w:asciiTheme="majorHAnsi" w:hAnsiTheme="majorHAnsi" w:cstheme="majorHAnsi"/>
          <w:sz w:val="28"/>
          <w:szCs w:val="28"/>
        </w:rPr>
        <w:t xml:space="preserve">in SSA </w:t>
      </w:r>
      <w:r w:rsidR="00E72479" w:rsidRPr="00327B3A">
        <w:rPr>
          <w:rFonts w:asciiTheme="majorHAnsi" w:hAnsiTheme="majorHAnsi" w:cstheme="majorHAnsi"/>
          <w:sz w:val="28"/>
          <w:szCs w:val="28"/>
        </w:rPr>
        <w:t xml:space="preserve">have called on local communities to build their own schools especially after Independence as well as </w:t>
      </w:r>
      <w:r w:rsidR="008C40F8" w:rsidRPr="00327B3A">
        <w:rPr>
          <w:rFonts w:asciiTheme="majorHAnsi" w:hAnsiTheme="majorHAnsi" w:cstheme="majorHAnsi"/>
          <w:sz w:val="28"/>
          <w:szCs w:val="28"/>
        </w:rPr>
        <w:t xml:space="preserve">during </w:t>
      </w:r>
      <w:r w:rsidR="00E72479" w:rsidRPr="00327B3A">
        <w:rPr>
          <w:rFonts w:asciiTheme="majorHAnsi" w:hAnsiTheme="majorHAnsi" w:cstheme="majorHAnsi"/>
          <w:sz w:val="28"/>
          <w:szCs w:val="28"/>
        </w:rPr>
        <w:t>the early stages of UPE.  T</w:t>
      </w:r>
      <w:r w:rsidR="00B5328B" w:rsidRPr="00327B3A">
        <w:rPr>
          <w:rFonts w:asciiTheme="majorHAnsi" w:hAnsiTheme="majorHAnsi" w:cstheme="majorHAnsi"/>
          <w:sz w:val="28"/>
          <w:szCs w:val="28"/>
        </w:rPr>
        <w:t>he willingness</w:t>
      </w:r>
      <w:r w:rsidR="00E72479" w:rsidRPr="00327B3A">
        <w:rPr>
          <w:rFonts w:asciiTheme="majorHAnsi" w:hAnsiTheme="majorHAnsi" w:cstheme="majorHAnsi"/>
          <w:sz w:val="28"/>
          <w:szCs w:val="28"/>
        </w:rPr>
        <w:t xml:space="preserve"> and</w:t>
      </w:r>
      <w:r w:rsidR="00D931A0" w:rsidRPr="00327B3A">
        <w:rPr>
          <w:rFonts w:asciiTheme="majorHAnsi" w:hAnsiTheme="majorHAnsi" w:cstheme="majorHAnsi"/>
          <w:sz w:val="28"/>
          <w:szCs w:val="28"/>
        </w:rPr>
        <w:t xml:space="preserve"> </w:t>
      </w:r>
      <w:r w:rsidR="00E72479" w:rsidRPr="00327B3A">
        <w:rPr>
          <w:rFonts w:asciiTheme="majorHAnsi" w:hAnsiTheme="majorHAnsi" w:cstheme="majorHAnsi"/>
          <w:sz w:val="28"/>
          <w:szCs w:val="28"/>
        </w:rPr>
        <w:t>capacity</w:t>
      </w:r>
      <w:r w:rsidR="00B5328B" w:rsidRPr="00327B3A">
        <w:rPr>
          <w:rFonts w:asciiTheme="majorHAnsi" w:hAnsiTheme="majorHAnsi" w:cstheme="majorHAnsi"/>
          <w:sz w:val="28"/>
          <w:szCs w:val="28"/>
        </w:rPr>
        <w:t xml:space="preserve"> of local communities to </w:t>
      </w:r>
      <w:r w:rsidR="00E72479" w:rsidRPr="00327B3A">
        <w:rPr>
          <w:rFonts w:asciiTheme="majorHAnsi" w:hAnsiTheme="majorHAnsi" w:cstheme="majorHAnsi"/>
          <w:sz w:val="28"/>
          <w:szCs w:val="28"/>
        </w:rPr>
        <w:t>continue to shoulder this burden (both cash and labour</w:t>
      </w:r>
      <w:r w:rsidR="008C40F8" w:rsidRPr="00327B3A">
        <w:rPr>
          <w:rFonts w:asciiTheme="majorHAnsi" w:hAnsiTheme="majorHAnsi" w:cstheme="majorHAnsi"/>
          <w:sz w:val="28"/>
          <w:szCs w:val="28"/>
        </w:rPr>
        <w:t xml:space="preserve"> contributions</w:t>
      </w:r>
      <w:r w:rsidR="00E72479" w:rsidRPr="00327B3A">
        <w:rPr>
          <w:rFonts w:asciiTheme="majorHAnsi" w:hAnsiTheme="majorHAnsi" w:cstheme="majorHAnsi"/>
          <w:sz w:val="28"/>
          <w:szCs w:val="28"/>
        </w:rPr>
        <w:t>)</w:t>
      </w:r>
      <w:r w:rsidR="00D931A0" w:rsidRPr="00327B3A">
        <w:rPr>
          <w:rFonts w:asciiTheme="majorHAnsi" w:hAnsiTheme="majorHAnsi" w:cstheme="majorHAnsi"/>
          <w:sz w:val="28"/>
          <w:szCs w:val="28"/>
        </w:rPr>
        <w:t>,</w:t>
      </w:r>
      <w:r w:rsidR="00E72479" w:rsidRPr="00327B3A">
        <w:rPr>
          <w:rFonts w:asciiTheme="majorHAnsi" w:hAnsiTheme="majorHAnsi" w:cstheme="majorHAnsi"/>
          <w:sz w:val="28"/>
          <w:szCs w:val="28"/>
        </w:rPr>
        <w:t xml:space="preserve"> especially </w:t>
      </w:r>
      <w:r w:rsidR="00344FF8" w:rsidRPr="00327B3A">
        <w:rPr>
          <w:rFonts w:asciiTheme="majorHAnsi" w:hAnsiTheme="majorHAnsi" w:cstheme="majorHAnsi"/>
          <w:sz w:val="28"/>
          <w:szCs w:val="28"/>
        </w:rPr>
        <w:t xml:space="preserve">given </w:t>
      </w:r>
      <w:r w:rsidR="00E72479" w:rsidRPr="00327B3A">
        <w:rPr>
          <w:rFonts w:asciiTheme="majorHAnsi" w:hAnsiTheme="majorHAnsi" w:cstheme="majorHAnsi"/>
          <w:sz w:val="28"/>
          <w:szCs w:val="28"/>
        </w:rPr>
        <w:t xml:space="preserve">the </w:t>
      </w:r>
      <w:r w:rsidR="00344FF8" w:rsidRPr="00327B3A">
        <w:rPr>
          <w:rFonts w:asciiTheme="majorHAnsi" w:hAnsiTheme="majorHAnsi" w:cstheme="majorHAnsi"/>
          <w:sz w:val="28"/>
          <w:szCs w:val="28"/>
        </w:rPr>
        <w:t xml:space="preserve">much higher </w:t>
      </w:r>
      <w:r w:rsidR="00E72479" w:rsidRPr="00327B3A">
        <w:rPr>
          <w:rFonts w:asciiTheme="majorHAnsi" w:hAnsiTheme="majorHAnsi" w:cstheme="majorHAnsi"/>
          <w:sz w:val="28"/>
          <w:szCs w:val="28"/>
        </w:rPr>
        <w:t xml:space="preserve">construction </w:t>
      </w:r>
      <w:r w:rsidR="00344FF8" w:rsidRPr="00327B3A">
        <w:rPr>
          <w:rFonts w:asciiTheme="majorHAnsi" w:hAnsiTheme="majorHAnsi" w:cstheme="majorHAnsi"/>
          <w:sz w:val="28"/>
          <w:szCs w:val="28"/>
        </w:rPr>
        <w:t xml:space="preserve">costs </w:t>
      </w:r>
      <w:r w:rsidR="00E72479" w:rsidRPr="00327B3A">
        <w:rPr>
          <w:rFonts w:asciiTheme="majorHAnsi" w:hAnsiTheme="majorHAnsi" w:cstheme="majorHAnsi"/>
          <w:sz w:val="28"/>
          <w:szCs w:val="28"/>
        </w:rPr>
        <w:t>of secondary schools</w:t>
      </w:r>
      <w:r w:rsidR="00D931A0" w:rsidRPr="00327B3A">
        <w:rPr>
          <w:rFonts w:asciiTheme="majorHAnsi" w:hAnsiTheme="majorHAnsi" w:cstheme="majorHAnsi"/>
          <w:sz w:val="28"/>
          <w:szCs w:val="28"/>
        </w:rPr>
        <w:t>,</w:t>
      </w:r>
      <w:r w:rsidR="00E72479" w:rsidRPr="00327B3A">
        <w:rPr>
          <w:rFonts w:asciiTheme="majorHAnsi" w:hAnsiTheme="majorHAnsi" w:cstheme="majorHAnsi"/>
          <w:sz w:val="28"/>
          <w:szCs w:val="28"/>
        </w:rPr>
        <w:t xml:space="preserve"> is a key issue. In some countries, government pressure has amounted to c</w:t>
      </w:r>
      <w:r w:rsidR="00344FF8" w:rsidRPr="00327B3A">
        <w:rPr>
          <w:rFonts w:asciiTheme="majorHAnsi" w:hAnsiTheme="majorHAnsi" w:cstheme="majorHAnsi"/>
          <w:sz w:val="28"/>
          <w:szCs w:val="28"/>
        </w:rPr>
        <w:t xml:space="preserve">oercion which has negatively impacted on </w:t>
      </w:r>
      <w:r w:rsidR="00E72479" w:rsidRPr="00327B3A">
        <w:rPr>
          <w:rFonts w:asciiTheme="majorHAnsi" w:hAnsiTheme="majorHAnsi" w:cstheme="majorHAnsi"/>
          <w:sz w:val="28"/>
          <w:szCs w:val="28"/>
        </w:rPr>
        <w:t xml:space="preserve">both individual and community commitment to USE. Tanzania is a notable example. In 2005, the </w:t>
      </w:r>
      <w:r w:rsidR="00E07854" w:rsidRPr="00327B3A">
        <w:rPr>
          <w:rFonts w:asciiTheme="majorHAnsi" w:hAnsiTheme="majorHAnsi" w:cstheme="majorHAnsi"/>
          <w:sz w:val="28"/>
          <w:szCs w:val="28"/>
        </w:rPr>
        <w:t xml:space="preserve">government made an election promise that it would build one secondary school in every one of the country’s </w:t>
      </w:r>
      <w:r w:rsidR="00E72479" w:rsidRPr="00327B3A">
        <w:rPr>
          <w:rFonts w:asciiTheme="majorHAnsi" w:hAnsiTheme="majorHAnsi" w:cstheme="majorHAnsi"/>
          <w:sz w:val="28"/>
          <w:szCs w:val="28"/>
        </w:rPr>
        <w:t>administrative ‘</w:t>
      </w:r>
      <w:r w:rsidR="00E07854" w:rsidRPr="00327B3A">
        <w:rPr>
          <w:rFonts w:asciiTheme="majorHAnsi" w:hAnsiTheme="majorHAnsi" w:cstheme="majorHAnsi"/>
          <w:sz w:val="28"/>
          <w:szCs w:val="28"/>
        </w:rPr>
        <w:t>wards</w:t>
      </w:r>
      <w:r w:rsidR="00E72479" w:rsidRPr="00327B3A">
        <w:rPr>
          <w:rFonts w:asciiTheme="majorHAnsi" w:hAnsiTheme="majorHAnsi" w:cstheme="majorHAnsi"/>
          <w:sz w:val="28"/>
          <w:szCs w:val="28"/>
        </w:rPr>
        <w:t>’</w:t>
      </w:r>
      <w:r w:rsidR="00E07854" w:rsidRPr="00327B3A">
        <w:rPr>
          <w:rFonts w:asciiTheme="majorHAnsi" w:hAnsiTheme="majorHAnsi" w:cstheme="majorHAnsi"/>
          <w:sz w:val="28"/>
          <w:szCs w:val="28"/>
        </w:rPr>
        <w:t xml:space="preserve">. Once elected, however, households were </w:t>
      </w:r>
      <w:r w:rsidR="002626F4" w:rsidRPr="00327B3A">
        <w:rPr>
          <w:rFonts w:asciiTheme="majorHAnsi" w:hAnsiTheme="majorHAnsi" w:cstheme="majorHAnsi"/>
          <w:sz w:val="28"/>
          <w:szCs w:val="28"/>
        </w:rPr>
        <w:t xml:space="preserve">forced </w:t>
      </w:r>
      <w:r w:rsidR="00E07854" w:rsidRPr="00327B3A">
        <w:rPr>
          <w:rFonts w:asciiTheme="majorHAnsi" w:hAnsiTheme="majorHAnsi" w:cstheme="majorHAnsi"/>
          <w:sz w:val="28"/>
          <w:szCs w:val="28"/>
        </w:rPr>
        <w:t>to make contributions both in kind and money which</w:t>
      </w:r>
      <w:r w:rsidR="00344FF8" w:rsidRPr="00327B3A">
        <w:rPr>
          <w:rFonts w:asciiTheme="majorHAnsi" w:hAnsiTheme="majorHAnsi" w:cstheme="majorHAnsi"/>
          <w:sz w:val="28"/>
          <w:szCs w:val="28"/>
        </w:rPr>
        <w:t>, on average,</w:t>
      </w:r>
      <w:r w:rsidR="00E07854" w:rsidRPr="00327B3A">
        <w:rPr>
          <w:rFonts w:asciiTheme="majorHAnsi" w:hAnsiTheme="majorHAnsi" w:cstheme="majorHAnsi"/>
          <w:sz w:val="28"/>
          <w:szCs w:val="28"/>
        </w:rPr>
        <w:t xml:space="preserve"> amounted to one-half </w:t>
      </w:r>
      <w:r w:rsidR="00344FF8" w:rsidRPr="00327B3A">
        <w:rPr>
          <w:rFonts w:asciiTheme="majorHAnsi" w:hAnsiTheme="majorHAnsi" w:cstheme="majorHAnsi"/>
          <w:sz w:val="28"/>
          <w:szCs w:val="28"/>
        </w:rPr>
        <w:t xml:space="preserve">of </w:t>
      </w:r>
      <w:r w:rsidR="00E07854" w:rsidRPr="00327B3A">
        <w:rPr>
          <w:rFonts w:asciiTheme="majorHAnsi" w:hAnsiTheme="majorHAnsi" w:cstheme="majorHAnsi"/>
          <w:sz w:val="28"/>
          <w:szCs w:val="28"/>
        </w:rPr>
        <w:t>the monthly cash income of households</w:t>
      </w:r>
      <w:r w:rsidR="00E72479" w:rsidRPr="00327B3A">
        <w:rPr>
          <w:rFonts w:asciiTheme="majorHAnsi" w:hAnsiTheme="majorHAnsi" w:cstheme="majorHAnsi"/>
          <w:sz w:val="28"/>
          <w:szCs w:val="28"/>
        </w:rPr>
        <w:t xml:space="preserve">. Community </w:t>
      </w:r>
      <w:r w:rsidR="00E07854" w:rsidRPr="00327B3A">
        <w:rPr>
          <w:rFonts w:asciiTheme="majorHAnsi" w:hAnsiTheme="majorHAnsi" w:cstheme="majorHAnsi"/>
          <w:sz w:val="28"/>
          <w:szCs w:val="28"/>
        </w:rPr>
        <w:t>resent</w:t>
      </w:r>
      <w:r w:rsidR="00344FF8" w:rsidRPr="00327B3A">
        <w:rPr>
          <w:rFonts w:asciiTheme="majorHAnsi" w:hAnsiTheme="majorHAnsi" w:cstheme="majorHAnsi"/>
          <w:sz w:val="28"/>
          <w:szCs w:val="28"/>
        </w:rPr>
        <w:t xml:space="preserve">ment </w:t>
      </w:r>
      <w:r w:rsidR="00E72479" w:rsidRPr="00327B3A">
        <w:rPr>
          <w:rFonts w:asciiTheme="majorHAnsi" w:hAnsiTheme="majorHAnsi" w:cstheme="majorHAnsi"/>
          <w:sz w:val="28"/>
          <w:szCs w:val="28"/>
        </w:rPr>
        <w:t>led to lower support for the ruling party at the next elections</w:t>
      </w:r>
      <w:r w:rsidR="00E07854" w:rsidRPr="00327B3A">
        <w:rPr>
          <w:rFonts w:asciiTheme="majorHAnsi" w:hAnsiTheme="majorHAnsi" w:cstheme="majorHAnsi"/>
          <w:sz w:val="28"/>
          <w:szCs w:val="28"/>
        </w:rPr>
        <w:t>.</w:t>
      </w:r>
      <w:r w:rsidR="00E07854" w:rsidRPr="00327B3A">
        <w:rPr>
          <w:rFonts w:asciiTheme="majorHAnsi" w:hAnsiTheme="majorHAnsi" w:cstheme="majorHAnsi"/>
          <w:b/>
          <w:sz w:val="28"/>
          <w:szCs w:val="28"/>
        </w:rPr>
        <w:t xml:space="preserve"> </w:t>
      </w:r>
      <w:r w:rsidR="00E07854" w:rsidRPr="00327B3A">
        <w:rPr>
          <w:rFonts w:asciiTheme="majorHAnsi" w:hAnsiTheme="majorHAnsi" w:cstheme="majorHAnsi"/>
          <w:sz w:val="28"/>
          <w:szCs w:val="28"/>
        </w:rPr>
        <w:t xml:space="preserve">It also proved to be very difficult to deploy teachers to the new schools and examination pass rates </w:t>
      </w:r>
      <w:r w:rsidR="00344FF8" w:rsidRPr="00327B3A">
        <w:rPr>
          <w:rFonts w:asciiTheme="majorHAnsi" w:hAnsiTheme="majorHAnsi" w:cstheme="majorHAnsi"/>
          <w:sz w:val="28"/>
          <w:szCs w:val="28"/>
        </w:rPr>
        <w:t>fell considerably</w:t>
      </w:r>
      <w:r w:rsidR="00E72479" w:rsidRPr="00327B3A">
        <w:rPr>
          <w:rFonts w:asciiTheme="majorHAnsi" w:hAnsiTheme="majorHAnsi" w:cstheme="majorHAnsi"/>
          <w:sz w:val="28"/>
          <w:szCs w:val="28"/>
        </w:rPr>
        <w:t xml:space="preserve"> (see </w:t>
      </w:r>
      <w:r w:rsidR="00540923">
        <w:rPr>
          <w:rFonts w:asciiTheme="majorHAnsi" w:hAnsiTheme="majorHAnsi" w:cstheme="majorHAnsi"/>
          <w:sz w:val="28"/>
          <w:szCs w:val="28"/>
        </w:rPr>
        <w:t>Habyarimana et al. 2020</w:t>
      </w:r>
      <w:r w:rsidR="00E72479" w:rsidRPr="00327B3A">
        <w:rPr>
          <w:rFonts w:asciiTheme="majorHAnsi" w:hAnsiTheme="majorHAnsi" w:cstheme="majorHAnsi"/>
          <w:sz w:val="28"/>
          <w:szCs w:val="28"/>
        </w:rPr>
        <w:t>).</w:t>
      </w:r>
    </w:p>
    <w:p w:rsidR="00790ABF" w:rsidRPr="00327B3A" w:rsidRDefault="00790ABF" w:rsidP="00577F32">
      <w:pPr>
        <w:jc w:val="both"/>
        <w:rPr>
          <w:rFonts w:asciiTheme="majorHAnsi" w:hAnsiTheme="majorHAnsi" w:cstheme="majorHAnsi"/>
          <w:i/>
          <w:sz w:val="28"/>
          <w:szCs w:val="28"/>
        </w:rPr>
      </w:pPr>
      <w:r w:rsidRPr="00327B3A">
        <w:rPr>
          <w:rFonts w:asciiTheme="majorHAnsi" w:hAnsiTheme="majorHAnsi" w:cstheme="majorHAnsi"/>
          <w:i/>
          <w:sz w:val="28"/>
          <w:szCs w:val="28"/>
        </w:rPr>
        <w:t>Organisation and management</w:t>
      </w:r>
    </w:p>
    <w:p w:rsidR="00B24571" w:rsidRPr="00327B3A" w:rsidRDefault="00877843" w:rsidP="00577F32">
      <w:pPr>
        <w:jc w:val="both"/>
        <w:rPr>
          <w:rFonts w:asciiTheme="majorHAnsi" w:hAnsiTheme="majorHAnsi" w:cstheme="majorHAnsi"/>
          <w:sz w:val="28"/>
          <w:szCs w:val="28"/>
        </w:rPr>
      </w:pPr>
      <w:r w:rsidRPr="00327B3A">
        <w:rPr>
          <w:rFonts w:asciiTheme="majorHAnsi" w:hAnsiTheme="majorHAnsi" w:cstheme="majorHAnsi"/>
          <w:sz w:val="28"/>
          <w:szCs w:val="28"/>
        </w:rPr>
        <w:t xml:space="preserve">Increased citizen/client accountability </w:t>
      </w:r>
      <w:r w:rsidR="00B24571" w:rsidRPr="00327B3A">
        <w:rPr>
          <w:rFonts w:asciiTheme="majorHAnsi" w:hAnsiTheme="majorHAnsi" w:cstheme="majorHAnsi"/>
          <w:sz w:val="28"/>
          <w:szCs w:val="28"/>
        </w:rPr>
        <w:t xml:space="preserve">at all levels, from the </w:t>
      </w:r>
      <w:r w:rsidR="005875EE" w:rsidRPr="00327B3A">
        <w:rPr>
          <w:rFonts w:asciiTheme="majorHAnsi" w:hAnsiTheme="majorHAnsi" w:cstheme="majorHAnsi"/>
          <w:sz w:val="28"/>
          <w:szCs w:val="28"/>
        </w:rPr>
        <w:t>national level</w:t>
      </w:r>
      <w:r w:rsidR="00CC0CAD">
        <w:rPr>
          <w:rFonts w:asciiTheme="majorHAnsi" w:hAnsiTheme="majorHAnsi" w:cstheme="majorHAnsi"/>
          <w:sz w:val="28"/>
          <w:szCs w:val="28"/>
        </w:rPr>
        <w:t xml:space="preserve"> down to the community and </w:t>
      </w:r>
      <w:r w:rsidR="00B24571" w:rsidRPr="00327B3A">
        <w:rPr>
          <w:rFonts w:asciiTheme="majorHAnsi" w:hAnsiTheme="majorHAnsi" w:cstheme="majorHAnsi"/>
          <w:sz w:val="28"/>
          <w:szCs w:val="28"/>
        </w:rPr>
        <w:t>household</w:t>
      </w:r>
      <w:r w:rsidR="00CC0CAD">
        <w:rPr>
          <w:rFonts w:asciiTheme="majorHAnsi" w:hAnsiTheme="majorHAnsi" w:cstheme="majorHAnsi"/>
          <w:sz w:val="28"/>
          <w:szCs w:val="28"/>
        </w:rPr>
        <w:t>/individual</w:t>
      </w:r>
      <w:r w:rsidR="00B24571" w:rsidRPr="00327B3A">
        <w:rPr>
          <w:rFonts w:asciiTheme="majorHAnsi" w:hAnsiTheme="majorHAnsi" w:cstheme="majorHAnsi"/>
          <w:sz w:val="28"/>
          <w:szCs w:val="28"/>
        </w:rPr>
        <w:t xml:space="preserve"> level</w:t>
      </w:r>
      <w:r w:rsidR="00CC0CAD">
        <w:rPr>
          <w:rFonts w:asciiTheme="majorHAnsi" w:hAnsiTheme="majorHAnsi" w:cstheme="majorHAnsi"/>
          <w:sz w:val="28"/>
          <w:szCs w:val="28"/>
        </w:rPr>
        <w:t>,</w:t>
      </w:r>
      <w:r w:rsidR="00B24571" w:rsidRPr="00327B3A">
        <w:rPr>
          <w:rFonts w:asciiTheme="majorHAnsi" w:hAnsiTheme="majorHAnsi" w:cstheme="majorHAnsi"/>
          <w:sz w:val="28"/>
          <w:szCs w:val="28"/>
        </w:rPr>
        <w:t xml:space="preserve"> </w:t>
      </w:r>
      <w:r w:rsidRPr="00327B3A">
        <w:rPr>
          <w:rFonts w:asciiTheme="majorHAnsi" w:hAnsiTheme="majorHAnsi" w:cstheme="majorHAnsi"/>
          <w:sz w:val="28"/>
          <w:szCs w:val="28"/>
        </w:rPr>
        <w:t>is a core element of the overall process of p</w:t>
      </w:r>
      <w:r w:rsidR="00790ABF" w:rsidRPr="00327B3A">
        <w:rPr>
          <w:rFonts w:asciiTheme="majorHAnsi" w:hAnsiTheme="majorHAnsi" w:cstheme="majorHAnsi"/>
          <w:sz w:val="28"/>
          <w:szCs w:val="28"/>
        </w:rPr>
        <w:t>olitical liberalisation</w:t>
      </w:r>
      <w:r w:rsidRPr="00327B3A">
        <w:rPr>
          <w:rFonts w:asciiTheme="majorHAnsi" w:hAnsiTheme="majorHAnsi" w:cstheme="majorHAnsi"/>
          <w:sz w:val="28"/>
          <w:szCs w:val="28"/>
        </w:rPr>
        <w:t xml:space="preserve"> which is being pursued </w:t>
      </w:r>
      <w:r w:rsidR="00B54157" w:rsidRPr="00327B3A">
        <w:rPr>
          <w:rFonts w:asciiTheme="majorHAnsi" w:hAnsiTheme="majorHAnsi" w:cstheme="majorHAnsi"/>
          <w:sz w:val="28"/>
          <w:szCs w:val="28"/>
        </w:rPr>
        <w:t xml:space="preserve">(albeit with varying </w:t>
      </w:r>
      <w:r w:rsidR="00B24571" w:rsidRPr="00327B3A">
        <w:rPr>
          <w:rFonts w:asciiTheme="majorHAnsi" w:hAnsiTheme="majorHAnsi" w:cstheme="majorHAnsi"/>
          <w:sz w:val="28"/>
          <w:szCs w:val="28"/>
        </w:rPr>
        <w:t xml:space="preserve">degrees of commitment) </w:t>
      </w:r>
      <w:r w:rsidRPr="00327B3A">
        <w:rPr>
          <w:rFonts w:asciiTheme="majorHAnsi" w:hAnsiTheme="majorHAnsi" w:cstheme="majorHAnsi"/>
          <w:sz w:val="28"/>
          <w:szCs w:val="28"/>
        </w:rPr>
        <w:t xml:space="preserve">by most countries in Africa and </w:t>
      </w:r>
      <w:r w:rsidR="00B24571" w:rsidRPr="00327B3A">
        <w:rPr>
          <w:rFonts w:asciiTheme="majorHAnsi" w:hAnsiTheme="majorHAnsi" w:cstheme="majorHAnsi"/>
          <w:sz w:val="28"/>
          <w:szCs w:val="28"/>
        </w:rPr>
        <w:t xml:space="preserve">which </w:t>
      </w:r>
      <w:r w:rsidRPr="00327B3A">
        <w:rPr>
          <w:rFonts w:asciiTheme="majorHAnsi" w:hAnsiTheme="majorHAnsi" w:cstheme="majorHAnsi"/>
          <w:sz w:val="28"/>
          <w:szCs w:val="28"/>
        </w:rPr>
        <w:t>c</w:t>
      </w:r>
      <w:r w:rsidR="00790ABF" w:rsidRPr="00327B3A">
        <w:rPr>
          <w:rFonts w:asciiTheme="majorHAnsi" w:hAnsiTheme="majorHAnsi" w:cstheme="majorHAnsi"/>
          <w:sz w:val="28"/>
          <w:szCs w:val="28"/>
        </w:rPr>
        <w:t xml:space="preserve">losely complements the </w:t>
      </w:r>
      <w:r w:rsidRPr="00327B3A">
        <w:rPr>
          <w:rFonts w:asciiTheme="majorHAnsi" w:hAnsiTheme="majorHAnsi" w:cstheme="majorHAnsi"/>
          <w:sz w:val="28"/>
          <w:szCs w:val="28"/>
        </w:rPr>
        <w:t xml:space="preserve">overall </w:t>
      </w:r>
      <w:r w:rsidR="00790ABF" w:rsidRPr="00327B3A">
        <w:rPr>
          <w:rFonts w:asciiTheme="majorHAnsi" w:hAnsiTheme="majorHAnsi" w:cstheme="majorHAnsi"/>
          <w:sz w:val="28"/>
          <w:szCs w:val="28"/>
        </w:rPr>
        <w:t>neo-liberal</w:t>
      </w:r>
      <w:r w:rsidRPr="00327B3A">
        <w:rPr>
          <w:rFonts w:asciiTheme="majorHAnsi" w:hAnsiTheme="majorHAnsi" w:cstheme="majorHAnsi"/>
          <w:sz w:val="28"/>
          <w:szCs w:val="28"/>
        </w:rPr>
        <w:t>, economic liberalisation</w:t>
      </w:r>
      <w:r w:rsidR="00790ABF" w:rsidRPr="00327B3A">
        <w:rPr>
          <w:rFonts w:asciiTheme="majorHAnsi" w:hAnsiTheme="majorHAnsi" w:cstheme="majorHAnsi"/>
          <w:sz w:val="28"/>
          <w:szCs w:val="28"/>
        </w:rPr>
        <w:t xml:space="preserve"> agenda</w:t>
      </w:r>
      <w:r w:rsidRPr="00327B3A">
        <w:rPr>
          <w:rFonts w:asciiTheme="majorHAnsi" w:hAnsiTheme="majorHAnsi" w:cstheme="majorHAnsi"/>
          <w:sz w:val="28"/>
          <w:szCs w:val="28"/>
        </w:rPr>
        <w:t xml:space="preserve"> discussed earlier</w:t>
      </w:r>
      <w:r w:rsidR="00790ABF" w:rsidRPr="00327B3A">
        <w:rPr>
          <w:rFonts w:asciiTheme="majorHAnsi" w:hAnsiTheme="majorHAnsi" w:cstheme="majorHAnsi"/>
          <w:sz w:val="28"/>
          <w:szCs w:val="28"/>
        </w:rPr>
        <w:t>.</w:t>
      </w:r>
    </w:p>
    <w:p w:rsidR="00B24571" w:rsidRPr="00327B3A" w:rsidRDefault="00EA1914" w:rsidP="00B24571">
      <w:pPr>
        <w:jc w:val="both"/>
        <w:rPr>
          <w:rFonts w:asciiTheme="majorHAnsi" w:hAnsiTheme="majorHAnsi" w:cstheme="majorHAnsi"/>
          <w:sz w:val="28"/>
          <w:szCs w:val="28"/>
        </w:rPr>
      </w:pPr>
      <w:r w:rsidRPr="00327B3A">
        <w:rPr>
          <w:rFonts w:asciiTheme="majorHAnsi" w:hAnsiTheme="majorHAnsi" w:cstheme="majorHAnsi"/>
          <w:sz w:val="28"/>
          <w:szCs w:val="28"/>
        </w:rPr>
        <w:t xml:space="preserve">The Report’s discussion of the organisation and management of secondary education </w:t>
      </w:r>
      <w:r w:rsidR="00C86CE8" w:rsidRPr="00327B3A">
        <w:rPr>
          <w:rFonts w:asciiTheme="majorHAnsi" w:hAnsiTheme="majorHAnsi" w:cstheme="majorHAnsi"/>
          <w:sz w:val="28"/>
          <w:szCs w:val="28"/>
        </w:rPr>
        <w:t xml:space="preserve">in SSA </w:t>
      </w:r>
      <w:r w:rsidRPr="00327B3A">
        <w:rPr>
          <w:rFonts w:asciiTheme="majorHAnsi" w:hAnsiTheme="majorHAnsi" w:cstheme="majorHAnsi"/>
          <w:sz w:val="28"/>
          <w:szCs w:val="28"/>
        </w:rPr>
        <w:t>is limited. On</w:t>
      </w:r>
      <w:r w:rsidR="00B24571" w:rsidRPr="00327B3A">
        <w:rPr>
          <w:rFonts w:asciiTheme="majorHAnsi" w:hAnsiTheme="majorHAnsi" w:cstheme="majorHAnsi"/>
          <w:sz w:val="28"/>
          <w:szCs w:val="28"/>
        </w:rPr>
        <w:t xml:space="preserve">ce again, the absence of any comprehensive information on the extent and impact of </w:t>
      </w:r>
      <w:r w:rsidR="005875EE" w:rsidRPr="00327B3A">
        <w:rPr>
          <w:rFonts w:asciiTheme="majorHAnsi" w:hAnsiTheme="majorHAnsi" w:cstheme="majorHAnsi"/>
          <w:sz w:val="28"/>
          <w:szCs w:val="28"/>
        </w:rPr>
        <w:t xml:space="preserve">secondary </w:t>
      </w:r>
      <w:r w:rsidR="00B24571" w:rsidRPr="00327B3A">
        <w:rPr>
          <w:rFonts w:asciiTheme="majorHAnsi" w:hAnsiTheme="majorHAnsi" w:cstheme="majorHAnsi"/>
          <w:sz w:val="28"/>
          <w:szCs w:val="28"/>
        </w:rPr>
        <w:t>school governance reforms is striking. It appears though that both s</w:t>
      </w:r>
      <w:r w:rsidR="00082B49" w:rsidRPr="00327B3A">
        <w:rPr>
          <w:rFonts w:asciiTheme="majorHAnsi" w:hAnsiTheme="majorHAnsi" w:cstheme="majorHAnsi"/>
          <w:sz w:val="28"/>
          <w:szCs w:val="28"/>
        </w:rPr>
        <w:t xml:space="preserve">chool managements and teachers </w:t>
      </w:r>
      <w:r w:rsidRPr="00327B3A">
        <w:rPr>
          <w:rFonts w:asciiTheme="majorHAnsi" w:hAnsiTheme="majorHAnsi" w:cstheme="majorHAnsi"/>
          <w:sz w:val="28"/>
          <w:szCs w:val="28"/>
        </w:rPr>
        <w:t xml:space="preserve">frequently </w:t>
      </w:r>
      <w:r w:rsidR="00B24571" w:rsidRPr="00327B3A">
        <w:rPr>
          <w:rFonts w:asciiTheme="majorHAnsi" w:hAnsiTheme="majorHAnsi" w:cstheme="majorHAnsi"/>
          <w:sz w:val="28"/>
          <w:szCs w:val="28"/>
        </w:rPr>
        <w:t>do not welcome the additional involvement of parents and other community members in school planning and management. For school hea</w:t>
      </w:r>
      <w:r w:rsidRPr="00327B3A">
        <w:rPr>
          <w:rFonts w:asciiTheme="majorHAnsi" w:hAnsiTheme="majorHAnsi" w:cstheme="majorHAnsi"/>
          <w:sz w:val="28"/>
          <w:szCs w:val="28"/>
        </w:rPr>
        <w:t xml:space="preserve">ds, it </w:t>
      </w:r>
      <w:r w:rsidR="00CC0CAD">
        <w:rPr>
          <w:rFonts w:asciiTheme="majorHAnsi" w:hAnsiTheme="majorHAnsi" w:cstheme="majorHAnsi"/>
          <w:sz w:val="28"/>
          <w:szCs w:val="28"/>
        </w:rPr>
        <w:t xml:space="preserve">usually increases </w:t>
      </w:r>
      <w:r w:rsidR="00B24571" w:rsidRPr="00327B3A">
        <w:rPr>
          <w:rFonts w:asciiTheme="majorHAnsi" w:hAnsiTheme="majorHAnsi" w:cstheme="majorHAnsi"/>
          <w:sz w:val="28"/>
          <w:szCs w:val="28"/>
        </w:rPr>
        <w:t>their workloads</w:t>
      </w:r>
      <w:r w:rsidR="00CC0CAD">
        <w:rPr>
          <w:rFonts w:asciiTheme="majorHAnsi" w:hAnsiTheme="majorHAnsi" w:cstheme="majorHAnsi"/>
          <w:sz w:val="28"/>
          <w:szCs w:val="28"/>
        </w:rPr>
        <w:t>,</w:t>
      </w:r>
      <w:r w:rsidR="00B24571" w:rsidRPr="00327B3A">
        <w:rPr>
          <w:rFonts w:asciiTheme="majorHAnsi" w:hAnsiTheme="majorHAnsi" w:cstheme="majorHAnsi"/>
          <w:sz w:val="28"/>
          <w:szCs w:val="28"/>
        </w:rPr>
        <w:t xml:space="preserve"> especially financial management. </w:t>
      </w:r>
      <w:r w:rsidR="00C86CE8" w:rsidRPr="00327B3A">
        <w:rPr>
          <w:rFonts w:asciiTheme="majorHAnsi" w:hAnsiTheme="majorHAnsi" w:cstheme="majorHAnsi"/>
          <w:sz w:val="28"/>
          <w:szCs w:val="28"/>
        </w:rPr>
        <w:t>Consequently, r</w:t>
      </w:r>
      <w:r w:rsidR="00B24571" w:rsidRPr="00327B3A">
        <w:rPr>
          <w:rFonts w:asciiTheme="majorHAnsi" w:hAnsiTheme="majorHAnsi" w:cstheme="majorHAnsi"/>
          <w:sz w:val="28"/>
          <w:szCs w:val="28"/>
        </w:rPr>
        <w:t xml:space="preserve">esistance </w:t>
      </w:r>
      <w:r w:rsidR="000C09DE" w:rsidRPr="00327B3A">
        <w:rPr>
          <w:rFonts w:asciiTheme="majorHAnsi" w:hAnsiTheme="majorHAnsi" w:cstheme="majorHAnsi"/>
          <w:sz w:val="28"/>
          <w:szCs w:val="28"/>
        </w:rPr>
        <w:t xml:space="preserve">to </w:t>
      </w:r>
      <w:r w:rsidR="00B24571" w:rsidRPr="00327B3A">
        <w:rPr>
          <w:rFonts w:asciiTheme="majorHAnsi" w:hAnsiTheme="majorHAnsi" w:cstheme="majorHAnsi"/>
          <w:sz w:val="28"/>
          <w:szCs w:val="28"/>
        </w:rPr>
        <w:t xml:space="preserve">and subversion of these reforms is widespread. </w:t>
      </w:r>
    </w:p>
    <w:p w:rsidR="00D669C6" w:rsidRPr="00327B3A" w:rsidRDefault="000C09DE" w:rsidP="00577F32">
      <w:pPr>
        <w:jc w:val="both"/>
        <w:rPr>
          <w:rFonts w:asciiTheme="majorHAnsi" w:hAnsiTheme="majorHAnsi" w:cstheme="majorHAnsi"/>
          <w:sz w:val="28"/>
          <w:szCs w:val="28"/>
        </w:rPr>
      </w:pPr>
      <w:r w:rsidRPr="00327B3A">
        <w:rPr>
          <w:rFonts w:asciiTheme="majorHAnsi" w:hAnsiTheme="majorHAnsi" w:cstheme="majorHAnsi"/>
          <w:sz w:val="28"/>
          <w:szCs w:val="28"/>
        </w:rPr>
        <w:t xml:space="preserve">In some countries, school governance reforms are also likely to have </w:t>
      </w:r>
      <w:r w:rsidR="00790ABF" w:rsidRPr="00327B3A">
        <w:rPr>
          <w:rFonts w:asciiTheme="majorHAnsi" w:hAnsiTheme="majorHAnsi" w:cstheme="majorHAnsi"/>
          <w:sz w:val="28"/>
          <w:szCs w:val="28"/>
        </w:rPr>
        <w:t>exacerbated access and learning outcom</w:t>
      </w:r>
      <w:r w:rsidRPr="00327B3A">
        <w:rPr>
          <w:rFonts w:asciiTheme="majorHAnsi" w:hAnsiTheme="majorHAnsi" w:cstheme="majorHAnsi"/>
          <w:sz w:val="28"/>
          <w:szCs w:val="28"/>
        </w:rPr>
        <w:t>e inequalities because better-</w:t>
      </w:r>
      <w:r w:rsidR="00790ABF" w:rsidRPr="00327B3A">
        <w:rPr>
          <w:rFonts w:asciiTheme="majorHAnsi" w:hAnsiTheme="majorHAnsi" w:cstheme="majorHAnsi"/>
          <w:sz w:val="28"/>
          <w:szCs w:val="28"/>
        </w:rPr>
        <w:t xml:space="preserve">off schools have </w:t>
      </w:r>
      <w:r w:rsidRPr="00327B3A">
        <w:rPr>
          <w:rFonts w:asciiTheme="majorHAnsi" w:hAnsiTheme="majorHAnsi" w:cstheme="majorHAnsi"/>
          <w:sz w:val="28"/>
          <w:szCs w:val="28"/>
        </w:rPr>
        <w:t xml:space="preserve">used their increased levels of organisational and management autonomy to </w:t>
      </w:r>
      <w:r w:rsidR="00790ABF" w:rsidRPr="00327B3A">
        <w:rPr>
          <w:rFonts w:asciiTheme="majorHAnsi" w:hAnsiTheme="majorHAnsi" w:cstheme="majorHAnsi"/>
          <w:sz w:val="28"/>
          <w:szCs w:val="28"/>
        </w:rPr>
        <w:t xml:space="preserve">generate </w:t>
      </w:r>
      <w:r w:rsidRPr="00327B3A">
        <w:rPr>
          <w:rFonts w:asciiTheme="majorHAnsi" w:hAnsiTheme="majorHAnsi" w:cstheme="majorHAnsi"/>
          <w:sz w:val="28"/>
          <w:szCs w:val="28"/>
        </w:rPr>
        <w:t xml:space="preserve">considerable </w:t>
      </w:r>
      <w:r w:rsidR="00790ABF" w:rsidRPr="00327B3A">
        <w:rPr>
          <w:rFonts w:asciiTheme="majorHAnsi" w:hAnsiTheme="majorHAnsi" w:cstheme="majorHAnsi"/>
          <w:sz w:val="28"/>
          <w:szCs w:val="28"/>
        </w:rPr>
        <w:t xml:space="preserve">additional resources </w:t>
      </w:r>
      <w:r w:rsidRPr="00327B3A">
        <w:rPr>
          <w:rFonts w:asciiTheme="majorHAnsi" w:hAnsiTheme="majorHAnsi" w:cstheme="majorHAnsi"/>
          <w:sz w:val="28"/>
          <w:szCs w:val="28"/>
        </w:rPr>
        <w:t xml:space="preserve">through higher parental contributions and </w:t>
      </w:r>
      <w:r w:rsidRPr="00327B3A">
        <w:rPr>
          <w:rFonts w:asciiTheme="majorHAnsi" w:hAnsiTheme="majorHAnsi" w:cstheme="majorHAnsi"/>
          <w:sz w:val="28"/>
          <w:szCs w:val="28"/>
        </w:rPr>
        <w:lastRenderedPageBreak/>
        <w:t>other income generating activities</w:t>
      </w:r>
      <w:r w:rsidR="00C86CE8" w:rsidRPr="00327B3A">
        <w:rPr>
          <w:rFonts w:asciiTheme="majorHAnsi" w:hAnsiTheme="majorHAnsi" w:cstheme="majorHAnsi"/>
          <w:sz w:val="28"/>
          <w:szCs w:val="28"/>
        </w:rPr>
        <w:t xml:space="preserve">. This additional funding is </w:t>
      </w:r>
      <w:r w:rsidR="00790ABF" w:rsidRPr="00327B3A">
        <w:rPr>
          <w:rFonts w:asciiTheme="majorHAnsi" w:hAnsiTheme="majorHAnsi" w:cstheme="majorHAnsi"/>
          <w:sz w:val="28"/>
          <w:szCs w:val="28"/>
        </w:rPr>
        <w:t xml:space="preserve">used to employ additional teachers, pay teacher bonuses, increase operational resources and improve school facilities and other infrastructure. </w:t>
      </w:r>
    </w:p>
    <w:p w:rsidR="00790ABF" w:rsidRPr="00327B3A" w:rsidRDefault="000C09DE" w:rsidP="00577F32">
      <w:pPr>
        <w:jc w:val="both"/>
        <w:rPr>
          <w:rFonts w:asciiTheme="majorHAnsi" w:hAnsiTheme="majorHAnsi" w:cstheme="majorHAnsi"/>
          <w:sz w:val="28"/>
          <w:szCs w:val="28"/>
        </w:rPr>
      </w:pPr>
      <w:r w:rsidRPr="00327B3A">
        <w:rPr>
          <w:rFonts w:asciiTheme="majorHAnsi" w:hAnsiTheme="majorHAnsi" w:cstheme="majorHAnsi"/>
          <w:sz w:val="28"/>
          <w:szCs w:val="28"/>
        </w:rPr>
        <w:t xml:space="preserve">The </w:t>
      </w:r>
      <w:r w:rsidR="00D669C6" w:rsidRPr="00327B3A">
        <w:rPr>
          <w:rFonts w:asciiTheme="majorHAnsi" w:hAnsiTheme="majorHAnsi" w:cstheme="majorHAnsi"/>
          <w:sz w:val="28"/>
          <w:szCs w:val="28"/>
        </w:rPr>
        <w:t>weak organisational capacity of M</w:t>
      </w:r>
      <w:r w:rsidRPr="00327B3A">
        <w:rPr>
          <w:rFonts w:asciiTheme="majorHAnsi" w:hAnsiTheme="majorHAnsi" w:cstheme="majorHAnsi"/>
          <w:sz w:val="28"/>
          <w:szCs w:val="28"/>
        </w:rPr>
        <w:t xml:space="preserve">inistries of </w:t>
      </w:r>
      <w:r w:rsidR="00D669C6" w:rsidRPr="00327B3A">
        <w:rPr>
          <w:rFonts w:asciiTheme="majorHAnsi" w:hAnsiTheme="majorHAnsi" w:cstheme="majorHAnsi"/>
          <w:sz w:val="28"/>
          <w:szCs w:val="28"/>
        </w:rPr>
        <w:t>E</w:t>
      </w:r>
      <w:r w:rsidRPr="00327B3A">
        <w:rPr>
          <w:rFonts w:asciiTheme="majorHAnsi" w:hAnsiTheme="majorHAnsi" w:cstheme="majorHAnsi"/>
          <w:sz w:val="28"/>
          <w:szCs w:val="28"/>
        </w:rPr>
        <w:t>ducation</w:t>
      </w:r>
      <w:r w:rsidR="00D669C6" w:rsidRPr="00327B3A">
        <w:rPr>
          <w:rFonts w:asciiTheme="majorHAnsi" w:hAnsiTheme="majorHAnsi" w:cstheme="majorHAnsi"/>
          <w:sz w:val="28"/>
          <w:szCs w:val="28"/>
        </w:rPr>
        <w:t xml:space="preserve"> to implement </w:t>
      </w:r>
      <w:r w:rsidRPr="00327B3A">
        <w:rPr>
          <w:rFonts w:asciiTheme="majorHAnsi" w:hAnsiTheme="majorHAnsi" w:cstheme="majorHAnsi"/>
          <w:sz w:val="28"/>
          <w:szCs w:val="28"/>
        </w:rPr>
        <w:t xml:space="preserve">USE-related </w:t>
      </w:r>
      <w:r w:rsidR="00D669C6" w:rsidRPr="00327B3A">
        <w:rPr>
          <w:rFonts w:asciiTheme="majorHAnsi" w:hAnsiTheme="majorHAnsi" w:cstheme="majorHAnsi"/>
          <w:sz w:val="28"/>
          <w:szCs w:val="28"/>
        </w:rPr>
        <w:t>reforms</w:t>
      </w:r>
      <w:r w:rsidRPr="00327B3A">
        <w:rPr>
          <w:rFonts w:asciiTheme="majorHAnsi" w:hAnsiTheme="majorHAnsi" w:cstheme="majorHAnsi"/>
          <w:sz w:val="28"/>
          <w:szCs w:val="28"/>
        </w:rPr>
        <w:t xml:space="preserve"> is another major </w:t>
      </w:r>
      <w:r w:rsidR="00EA1914" w:rsidRPr="00327B3A">
        <w:rPr>
          <w:rFonts w:asciiTheme="majorHAnsi" w:hAnsiTheme="majorHAnsi" w:cstheme="majorHAnsi"/>
          <w:sz w:val="28"/>
          <w:szCs w:val="28"/>
        </w:rPr>
        <w:t>constraint which receives scant attention in the Report</w:t>
      </w:r>
      <w:r w:rsidR="00D669C6" w:rsidRPr="00327B3A">
        <w:rPr>
          <w:rFonts w:asciiTheme="majorHAnsi" w:hAnsiTheme="majorHAnsi" w:cstheme="majorHAnsi"/>
          <w:sz w:val="28"/>
          <w:szCs w:val="28"/>
        </w:rPr>
        <w:t>.</w:t>
      </w:r>
      <w:r w:rsidR="00790ABF" w:rsidRPr="00327B3A">
        <w:rPr>
          <w:rFonts w:asciiTheme="majorHAnsi" w:hAnsiTheme="majorHAnsi" w:cstheme="majorHAnsi"/>
          <w:sz w:val="28"/>
          <w:szCs w:val="28"/>
        </w:rPr>
        <w:t xml:space="preserve"> </w:t>
      </w:r>
      <w:r w:rsidR="00EA1914" w:rsidRPr="00327B3A">
        <w:rPr>
          <w:rFonts w:asciiTheme="majorHAnsi" w:hAnsiTheme="majorHAnsi" w:cstheme="majorHAnsi"/>
          <w:sz w:val="28"/>
          <w:szCs w:val="28"/>
        </w:rPr>
        <w:t>Even where Ministries of Education have devolved responsibility for the direct provision of secondary schooling to non-state actors (as</w:t>
      </w:r>
      <w:r w:rsidR="00C86CE8" w:rsidRPr="00327B3A">
        <w:rPr>
          <w:rFonts w:asciiTheme="majorHAnsi" w:hAnsiTheme="majorHAnsi" w:cstheme="majorHAnsi"/>
          <w:sz w:val="28"/>
          <w:szCs w:val="28"/>
        </w:rPr>
        <w:t>,</w:t>
      </w:r>
      <w:r w:rsidR="00EA1914" w:rsidRPr="00327B3A">
        <w:rPr>
          <w:rFonts w:asciiTheme="majorHAnsi" w:hAnsiTheme="majorHAnsi" w:cstheme="majorHAnsi"/>
          <w:sz w:val="28"/>
          <w:szCs w:val="28"/>
        </w:rPr>
        <w:t xml:space="preserve"> for example, with the private-public partnership </w:t>
      </w:r>
      <w:r w:rsidR="00C86CE8" w:rsidRPr="00327B3A">
        <w:rPr>
          <w:rFonts w:asciiTheme="majorHAnsi" w:hAnsiTheme="majorHAnsi" w:cstheme="majorHAnsi"/>
          <w:sz w:val="28"/>
          <w:szCs w:val="28"/>
        </w:rPr>
        <w:t xml:space="preserve">scheme </w:t>
      </w:r>
      <w:r w:rsidR="00EA1914" w:rsidRPr="00327B3A">
        <w:rPr>
          <w:rFonts w:asciiTheme="majorHAnsi" w:hAnsiTheme="majorHAnsi" w:cstheme="majorHAnsi"/>
          <w:sz w:val="28"/>
          <w:szCs w:val="28"/>
        </w:rPr>
        <w:t xml:space="preserve">in Uganda), the capacity of the Ministry to enforce contract implementation </w:t>
      </w:r>
      <w:r w:rsidR="00C86CE8" w:rsidRPr="00327B3A">
        <w:rPr>
          <w:rFonts w:asciiTheme="majorHAnsi" w:hAnsiTheme="majorHAnsi" w:cstheme="majorHAnsi"/>
          <w:sz w:val="28"/>
          <w:szCs w:val="28"/>
        </w:rPr>
        <w:t xml:space="preserve">through basic monitoring of participating private schools </w:t>
      </w:r>
      <w:r w:rsidR="0054484C" w:rsidRPr="00327B3A">
        <w:rPr>
          <w:rFonts w:asciiTheme="majorHAnsi" w:hAnsiTheme="majorHAnsi" w:cstheme="majorHAnsi"/>
          <w:sz w:val="28"/>
          <w:szCs w:val="28"/>
        </w:rPr>
        <w:t xml:space="preserve">has been quite limited (see </w:t>
      </w:r>
      <w:r w:rsidR="00540923">
        <w:rPr>
          <w:rFonts w:asciiTheme="majorHAnsi" w:hAnsiTheme="majorHAnsi" w:cstheme="majorHAnsi"/>
          <w:sz w:val="28"/>
          <w:szCs w:val="28"/>
        </w:rPr>
        <w:t>O’Donoghue et al. 2018</w:t>
      </w:r>
      <w:r w:rsidR="0054484C" w:rsidRPr="00327B3A">
        <w:rPr>
          <w:rFonts w:asciiTheme="majorHAnsi" w:hAnsiTheme="majorHAnsi" w:cstheme="majorHAnsi"/>
          <w:sz w:val="28"/>
          <w:szCs w:val="28"/>
        </w:rPr>
        <w:t>)</w:t>
      </w:r>
      <w:r w:rsidR="005875EE" w:rsidRPr="00327B3A">
        <w:rPr>
          <w:rFonts w:asciiTheme="majorHAnsi" w:hAnsiTheme="majorHAnsi" w:cstheme="majorHAnsi"/>
          <w:sz w:val="28"/>
          <w:szCs w:val="28"/>
        </w:rPr>
        <w:t>.</w:t>
      </w:r>
      <w:r w:rsidRPr="00327B3A">
        <w:rPr>
          <w:rFonts w:asciiTheme="majorHAnsi" w:hAnsiTheme="majorHAnsi" w:cstheme="majorHAnsi"/>
          <w:sz w:val="28"/>
          <w:szCs w:val="28"/>
        </w:rPr>
        <w:t xml:space="preserve"> </w:t>
      </w:r>
    </w:p>
    <w:p w:rsidR="00C15A6E" w:rsidRPr="00327B3A" w:rsidRDefault="008951EF" w:rsidP="00577F32">
      <w:pPr>
        <w:jc w:val="both"/>
        <w:rPr>
          <w:rFonts w:asciiTheme="majorHAnsi" w:hAnsiTheme="majorHAnsi" w:cstheme="majorHAnsi"/>
          <w:i/>
          <w:sz w:val="28"/>
          <w:szCs w:val="28"/>
        </w:rPr>
      </w:pPr>
      <w:r w:rsidRPr="00327B3A">
        <w:rPr>
          <w:rFonts w:asciiTheme="majorHAnsi" w:hAnsiTheme="majorHAnsi" w:cstheme="majorHAnsi"/>
          <w:i/>
          <w:sz w:val="28"/>
          <w:szCs w:val="28"/>
        </w:rPr>
        <w:t>System restructuring</w:t>
      </w:r>
    </w:p>
    <w:p w:rsidR="009E3870" w:rsidRPr="00327B3A" w:rsidRDefault="000C09DE" w:rsidP="00577F32">
      <w:pPr>
        <w:jc w:val="both"/>
        <w:rPr>
          <w:rFonts w:asciiTheme="majorHAnsi" w:hAnsiTheme="majorHAnsi" w:cstheme="majorHAnsi"/>
          <w:sz w:val="28"/>
          <w:szCs w:val="28"/>
        </w:rPr>
      </w:pPr>
      <w:r w:rsidRPr="00327B3A">
        <w:rPr>
          <w:rFonts w:asciiTheme="majorHAnsi" w:hAnsiTheme="majorHAnsi" w:cstheme="majorHAnsi"/>
          <w:sz w:val="28"/>
          <w:szCs w:val="28"/>
        </w:rPr>
        <w:t xml:space="preserve">The Report </w:t>
      </w:r>
      <w:r w:rsidR="0054484C" w:rsidRPr="00327B3A">
        <w:rPr>
          <w:rFonts w:asciiTheme="majorHAnsi" w:hAnsiTheme="majorHAnsi" w:cstheme="majorHAnsi"/>
          <w:sz w:val="28"/>
          <w:szCs w:val="28"/>
        </w:rPr>
        <w:t xml:space="preserve">mentions other ways of expanding access to secondary schooling. With regard to system restructuring, it notes </w:t>
      </w:r>
      <w:r w:rsidRPr="00327B3A">
        <w:rPr>
          <w:rFonts w:asciiTheme="majorHAnsi" w:hAnsiTheme="majorHAnsi" w:cstheme="majorHAnsi"/>
          <w:sz w:val="28"/>
          <w:szCs w:val="28"/>
        </w:rPr>
        <w:t xml:space="preserve">that </w:t>
      </w:r>
      <w:r w:rsidR="009E3870" w:rsidRPr="00327B3A">
        <w:rPr>
          <w:rFonts w:asciiTheme="majorHAnsi" w:hAnsiTheme="majorHAnsi" w:cstheme="majorHAnsi"/>
          <w:sz w:val="28"/>
          <w:szCs w:val="28"/>
        </w:rPr>
        <w:t>‘</w:t>
      </w:r>
      <w:r w:rsidRPr="00327B3A">
        <w:rPr>
          <w:rFonts w:asciiTheme="majorHAnsi" w:hAnsiTheme="majorHAnsi" w:cstheme="majorHAnsi"/>
          <w:sz w:val="28"/>
          <w:szCs w:val="28"/>
        </w:rPr>
        <w:t>i</w:t>
      </w:r>
      <w:r w:rsidR="009E3870" w:rsidRPr="00327B3A">
        <w:rPr>
          <w:rFonts w:asciiTheme="majorHAnsi" w:hAnsiTheme="majorHAnsi" w:cstheme="majorHAnsi"/>
          <w:sz w:val="28"/>
          <w:szCs w:val="28"/>
        </w:rPr>
        <w:t>n many countries, merging primary and lower secondary education into a good quality extended basic education of nine years for all can be an effective approach’ (p. 244).</w:t>
      </w:r>
      <w:r w:rsidRPr="00327B3A">
        <w:rPr>
          <w:rFonts w:asciiTheme="majorHAnsi" w:hAnsiTheme="majorHAnsi" w:cstheme="majorHAnsi"/>
          <w:sz w:val="28"/>
          <w:szCs w:val="28"/>
        </w:rPr>
        <w:t xml:space="preserve"> What is clear though is</w:t>
      </w:r>
      <w:r w:rsidR="0054484C" w:rsidRPr="00327B3A">
        <w:rPr>
          <w:rFonts w:asciiTheme="majorHAnsi" w:hAnsiTheme="majorHAnsi" w:cstheme="majorHAnsi"/>
          <w:sz w:val="28"/>
          <w:szCs w:val="28"/>
        </w:rPr>
        <w:t xml:space="preserve"> that, to date, </w:t>
      </w:r>
      <w:r w:rsidR="005875EE" w:rsidRPr="00327B3A">
        <w:rPr>
          <w:rFonts w:asciiTheme="majorHAnsi" w:hAnsiTheme="majorHAnsi" w:cstheme="majorHAnsi"/>
          <w:sz w:val="28"/>
          <w:szCs w:val="28"/>
        </w:rPr>
        <w:t xml:space="preserve">major </w:t>
      </w:r>
      <w:r w:rsidRPr="00327B3A">
        <w:rPr>
          <w:rFonts w:asciiTheme="majorHAnsi" w:hAnsiTheme="majorHAnsi" w:cstheme="majorHAnsi"/>
          <w:sz w:val="28"/>
          <w:szCs w:val="28"/>
        </w:rPr>
        <w:t>attempts</w:t>
      </w:r>
      <w:r w:rsidR="004145F5">
        <w:rPr>
          <w:rFonts w:asciiTheme="majorHAnsi" w:hAnsiTheme="majorHAnsi" w:cstheme="majorHAnsi"/>
          <w:sz w:val="28"/>
          <w:szCs w:val="28"/>
        </w:rPr>
        <w:t xml:space="preserve"> in SSA</w:t>
      </w:r>
      <w:r w:rsidRPr="00327B3A">
        <w:rPr>
          <w:rFonts w:asciiTheme="majorHAnsi" w:hAnsiTheme="majorHAnsi" w:cstheme="majorHAnsi"/>
          <w:sz w:val="28"/>
          <w:szCs w:val="28"/>
        </w:rPr>
        <w:t xml:space="preserve"> to restructure national school systems </w:t>
      </w:r>
      <w:r w:rsidR="00316570" w:rsidRPr="00327B3A">
        <w:rPr>
          <w:rFonts w:asciiTheme="majorHAnsi" w:hAnsiTheme="majorHAnsi" w:cstheme="majorHAnsi"/>
          <w:sz w:val="28"/>
          <w:szCs w:val="28"/>
        </w:rPr>
        <w:t>in this way hav</w:t>
      </w:r>
      <w:r w:rsidR="00C86CE8" w:rsidRPr="00327B3A">
        <w:rPr>
          <w:rFonts w:asciiTheme="majorHAnsi" w:hAnsiTheme="majorHAnsi" w:cstheme="majorHAnsi"/>
          <w:sz w:val="28"/>
          <w:szCs w:val="28"/>
        </w:rPr>
        <w:t xml:space="preserve">e been </w:t>
      </w:r>
      <w:r w:rsidR="004145F5">
        <w:rPr>
          <w:rFonts w:asciiTheme="majorHAnsi" w:hAnsiTheme="majorHAnsi" w:cstheme="majorHAnsi"/>
          <w:sz w:val="28"/>
          <w:szCs w:val="28"/>
        </w:rPr>
        <w:t xml:space="preserve">generally </w:t>
      </w:r>
      <w:r w:rsidR="00316570" w:rsidRPr="00327B3A">
        <w:rPr>
          <w:rFonts w:asciiTheme="majorHAnsi" w:hAnsiTheme="majorHAnsi" w:cstheme="majorHAnsi"/>
          <w:sz w:val="28"/>
          <w:szCs w:val="28"/>
        </w:rPr>
        <w:t xml:space="preserve">unsuccessful and </w:t>
      </w:r>
      <w:r w:rsidR="0054484C" w:rsidRPr="00327B3A">
        <w:rPr>
          <w:rFonts w:asciiTheme="majorHAnsi" w:hAnsiTheme="majorHAnsi" w:cstheme="majorHAnsi"/>
          <w:sz w:val="28"/>
          <w:szCs w:val="28"/>
        </w:rPr>
        <w:t xml:space="preserve">that </w:t>
      </w:r>
      <w:r w:rsidR="00316570" w:rsidRPr="00327B3A">
        <w:rPr>
          <w:rFonts w:asciiTheme="majorHAnsi" w:hAnsiTheme="majorHAnsi" w:cstheme="majorHAnsi"/>
          <w:sz w:val="28"/>
          <w:szCs w:val="28"/>
        </w:rPr>
        <w:t xml:space="preserve">the previous </w:t>
      </w:r>
      <w:r w:rsidR="00A90E66" w:rsidRPr="00327B3A">
        <w:rPr>
          <w:rFonts w:asciiTheme="majorHAnsi" w:hAnsiTheme="majorHAnsi" w:cstheme="majorHAnsi"/>
          <w:sz w:val="28"/>
          <w:szCs w:val="28"/>
        </w:rPr>
        <w:t xml:space="preserve">organisational </w:t>
      </w:r>
      <w:r w:rsidR="00316570" w:rsidRPr="00327B3A">
        <w:rPr>
          <w:rFonts w:asciiTheme="majorHAnsi" w:hAnsiTheme="majorHAnsi" w:cstheme="majorHAnsi"/>
          <w:sz w:val="28"/>
          <w:szCs w:val="28"/>
        </w:rPr>
        <w:t>arrangement of separate primary-lower secondary</w:t>
      </w:r>
      <w:r w:rsidRPr="00327B3A">
        <w:rPr>
          <w:rFonts w:asciiTheme="majorHAnsi" w:hAnsiTheme="majorHAnsi" w:cstheme="majorHAnsi"/>
          <w:sz w:val="28"/>
          <w:szCs w:val="28"/>
        </w:rPr>
        <w:t xml:space="preserve"> </w:t>
      </w:r>
      <w:r w:rsidR="0054484C" w:rsidRPr="00327B3A">
        <w:rPr>
          <w:rFonts w:asciiTheme="majorHAnsi" w:hAnsiTheme="majorHAnsi" w:cstheme="majorHAnsi"/>
          <w:sz w:val="28"/>
          <w:szCs w:val="28"/>
        </w:rPr>
        <w:t xml:space="preserve">school </w:t>
      </w:r>
      <w:r w:rsidR="00316570" w:rsidRPr="00327B3A">
        <w:rPr>
          <w:rFonts w:asciiTheme="majorHAnsi" w:hAnsiTheme="majorHAnsi" w:cstheme="majorHAnsi"/>
          <w:sz w:val="28"/>
          <w:szCs w:val="28"/>
        </w:rPr>
        <w:t>cycles ha</w:t>
      </w:r>
      <w:r w:rsidR="0054484C" w:rsidRPr="00327B3A">
        <w:rPr>
          <w:rFonts w:asciiTheme="majorHAnsi" w:hAnsiTheme="majorHAnsi" w:cstheme="majorHAnsi"/>
          <w:sz w:val="28"/>
          <w:szCs w:val="28"/>
        </w:rPr>
        <w:t>s</w:t>
      </w:r>
      <w:r w:rsidR="00316570" w:rsidRPr="00327B3A">
        <w:rPr>
          <w:rFonts w:asciiTheme="majorHAnsi" w:hAnsiTheme="majorHAnsi" w:cstheme="majorHAnsi"/>
          <w:sz w:val="28"/>
          <w:szCs w:val="28"/>
        </w:rPr>
        <w:t xml:space="preserve"> </w:t>
      </w:r>
      <w:r w:rsidR="005875EE" w:rsidRPr="00327B3A">
        <w:rPr>
          <w:rFonts w:asciiTheme="majorHAnsi" w:hAnsiTheme="majorHAnsi" w:cstheme="majorHAnsi"/>
          <w:sz w:val="28"/>
          <w:szCs w:val="28"/>
        </w:rPr>
        <w:t xml:space="preserve">had to be </w:t>
      </w:r>
      <w:r w:rsidR="00316570" w:rsidRPr="00327B3A">
        <w:rPr>
          <w:rFonts w:asciiTheme="majorHAnsi" w:hAnsiTheme="majorHAnsi" w:cstheme="majorHAnsi"/>
          <w:sz w:val="28"/>
          <w:szCs w:val="28"/>
        </w:rPr>
        <w:t xml:space="preserve">reinstated. </w:t>
      </w:r>
      <w:r w:rsidR="005875EE" w:rsidRPr="00327B3A">
        <w:rPr>
          <w:rFonts w:asciiTheme="majorHAnsi" w:hAnsiTheme="majorHAnsi" w:cstheme="majorHAnsi"/>
          <w:sz w:val="28"/>
          <w:szCs w:val="28"/>
        </w:rPr>
        <w:t>Again, t</w:t>
      </w:r>
      <w:r w:rsidR="00316570" w:rsidRPr="00327B3A">
        <w:rPr>
          <w:rFonts w:asciiTheme="majorHAnsi" w:hAnsiTheme="majorHAnsi" w:cstheme="majorHAnsi"/>
          <w:sz w:val="28"/>
          <w:szCs w:val="28"/>
        </w:rPr>
        <w:t xml:space="preserve">his is </w:t>
      </w:r>
      <w:r w:rsidR="004145F5">
        <w:rPr>
          <w:rFonts w:asciiTheme="majorHAnsi" w:hAnsiTheme="majorHAnsi" w:cstheme="majorHAnsi"/>
          <w:sz w:val="28"/>
          <w:szCs w:val="28"/>
        </w:rPr>
        <w:t xml:space="preserve">a </w:t>
      </w:r>
      <w:r w:rsidR="00316570" w:rsidRPr="00327B3A">
        <w:rPr>
          <w:rFonts w:asciiTheme="majorHAnsi" w:hAnsiTheme="majorHAnsi" w:cstheme="majorHAnsi"/>
          <w:sz w:val="28"/>
          <w:szCs w:val="28"/>
        </w:rPr>
        <w:t xml:space="preserve">prime example of the dangers of promoting particular </w:t>
      </w:r>
      <w:r w:rsidR="0054484C" w:rsidRPr="00327B3A">
        <w:rPr>
          <w:rFonts w:asciiTheme="majorHAnsi" w:hAnsiTheme="majorHAnsi" w:cstheme="majorHAnsi"/>
          <w:sz w:val="28"/>
          <w:szCs w:val="28"/>
        </w:rPr>
        <w:t xml:space="preserve">‘promising practices’ </w:t>
      </w:r>
      <w:r w:rsidR="00316570" w:rsidRPr="00327B3A">
        <w:rPr>
          <w:rFonts w:asciiTheme="majorHAnsi" w:hAnsiTheme="majorHAnsi" w:cstheme="majorHAnsi"/>
          <w:sz w:val="28"/>
          <w:szCs w:val="28"/>
        </w:rPr>
        <w:t xml:space="preserve">with little or no knowledge of the extent to which they have already been adopted and </w:t>
      </w:r>
      <w:r w:rsidR="00A90E66" w:rsidRPr="00327B3A">
        <w:rPr>
          <w:rFonts w:asciiTheme="majorHAnsi" w:hAnsiTheme="majorHAnsi" w:cstheme="majorHAnsi"/>
          <w:sz w:val="28"/>
          <w:szCs w:val="28"/>
        </w:rPr>
        <w:t xml:space="preserve">their </w:t>
      </w:r>
      <w:r w:rsidR="00316570" w:rsidRPr="00327B3A">
        <w:rPr>
          <w:rFonts w:asciiTheme="majorHAnsi" w:hAnsiTheme="majorHAnsi" w:cstheme="majorHAnsi"/>
          <w:sz w:val="28"/>
          <w:szCs w:val="28"/>
        </w:rPr>
        <w:t xml:space="preserve">implementation outcomes. </w:t>
      </w:r>
      <w:r w:rsidR="009E3870" w:rsidRPr="00327B3A">
        <w:rPr>
          <w:rFonts w:asciiTheme="majorHAnsi" w:hAnsiTheme="majorHAnsi" w:cstheme="majorHAnsi"/>
          <w:sz w:val="28"/>
          <w:szCs w:val="28"/>
        </w:rPr>
        <w:t xml:space="preserve"> </w:t>
      </w:r>
    </w:p>
    <w:p w:rsidR="008951EF" w:rsidRPr="00327B3A" w:rsidRDefault="0054484C" w:rsidP="00577F32">
      <w:pPr>
        <w:jc w:val="both"/>
        <w:rPr>
          <w:rFonts w:asciiTheme="majorHAnsi" w:hAnsiTheme="majorHAnsi" w:cstheme="majorHAnsi"/>
          <w:sz w:val="28"/>
          <w:szCs w:val="28"/>
        </w:rPr>
      </w:pPr>
      <w:r w:rsidRPr="00327B3A">
        <w:rPr>
          <w:rFonts w:asciiTheme="majorHAnsi" w:hAnsiTheme="majorHAnsi" w:cstheme="majorHAnsi"/>
          <w:sz w:val="28"/>
          <w:szCs w:val="28"/>
        </w:rPr>
        <w:t>During the roll-</w:t>
      </w:r>
      <w:r w:rsidR="00316570" w:rsidRPr="00327B3A">
        <w:rPr>
          <w:rFonts w:asciiTheme="majorHAnsi" w:hAnsiTheme="majorHAnsi" w:cstheme="majorHAnsi"/>
          <w:sz w:val="28"/>
          <w:szCs w:val="28"/>
        </w:rPr>
        <w:t xml:space="preserve">out of UPE, Universal Basic Education was </w:t>
      </w:r>
      <w:r w:rsidR="00A90E66" w:rsidRPr="00327B3A">
        <w:rPr>
          <w:rFonts w:asciiTheme="majorHAnsi" w:hAnsiTheme="majorHAnsi" w:cstheme="majorHAnsi"/>
          <w:sz w:val="28"/>
          <w:szCs w:val="28"/>
        </w:rPr>
        <w:t xml:space="preserve">strongly </w:t>
      </w:r>
      <w:r w:rsidR="00316570" w:rsidRPr="00327B3A">
        <w:rPr>
          <w:rFonts w:asciiTheme="majorHAnsi" w:hAnsiTheme="majorHAnsi" w:cstheme="majorHAnsi"/>
          <w:sz w:val="28"/>
          <w:szCs w:val="28"/>
        </w:rPr>
        <w:t>promoted by UNESCO and the World B</w:t>
      </w:r>
      <w:r w:rsidR="00A90E66" w:rsidRPr="00327B3A">
        <w:rPr>
          <w:rFonts w:asciiTheme="majorHAnsi" w:hAnsiTheme="majorHAnsi" w:cstheme="majorHAnsi"/>
          <w:sz w:val="28"/>
          <w:szCs w:val="28"/>
        </w:rPr>
        <w:t>ank as</w:t>
      </w:r>
      <w:r w:rsidR="00316570" w:rsidRPr="00327B3A">
        <w:rPr>
          <w:rFonts w:asciiTheme="majorHAnsi" w:hAnsiTheme="majorHAnsi" w:cstheme="majorHAnsi"/>
          <w:sz w:val="28"/>
          <w:szCs w:val="28"/>
        </w:rPr>
        <w:t xml:space="preserve"> a cost-effective way of extending universal </w:t>
      </w:r>
      <w:r w:rsidRPr="00327B3A">
        <w:rPr>
          <w:rFonts w:asciiTheme="majorHAnsi" w:hAnsiTheme="majorHAnsi" w:cstheme="majorHAnsi"/>
          <w:sz w:val="28"/>
          <w:szCs w:val="28"/>
        </w:rPr>
        <w:t xml:space="preserve">primary school </w:t>
      </w:r>
      <w:r w:rsidR="00316570" w:rsidRPr="00327B3A">
        <w:rPr>
          <w:rFonts w:asciiTheme="majorHAnsi" w:hAnsiTheme="majorHAnsi" w:cstheme="majorHAnsi"/>
          <w:sz w:val="28"/>
          <w:szCs w:val="28"/>
        </w:rPr>
        <w:t xml:space="preserve">enrolment to the lower secondary cycle especially in hard-to-reach rural areas. </w:t>
      </w:r>
      <w:r w:rsidR="00A90E66" w:rsidRPr="00327B3A">
        <w:rPr>
          <w:rFonts w:asciiTheme="majorHAnsi" w:hAnsiTheme="majorHAnsi" w:cstheme="majorHAnsi"/>
          <w:sz w:val="28"/>
          <w:szCs w:val="28"/>
        </w:rPr>
        <w:t>The intention was that m</w:t>
      </w:r>
      <w:r w:rsidR="00A62D67" w:rsidRPr="00327B3A">
        <w:rPr>
          <w:rFonts w:asciiTheme="majorHAnsi" w:hAnsiTheme="majorHAnsi" w:cstheme="majorHAnsi"/>
          <w:sz w:val="28"/>
          <w:szCs w:val="28"/>
        </w:rPr>
        <w:t xml:space="preserve">ost students would leave school after </w:t>
      </w:r>
      <w:r w:rsidR="00A90E66" w:rsidRPr="00327B3A">
        <w:rPr>
          <w:rFonts w:asciiTheme="majorHAnsi" w:hAnsiTheme="majorHAnsi" w:cstheme="majorHAnsi"/>
          <w:sz w:val="28"/>
          <w:szCs w:val="28"/>
        </w:rPr>
        <w:t xml:space="preserve">9-10 years of </w:t>
      </w:r>
      <w:r w:rsidR="00A62D67" w:rsidRPr="00327B3A">
        <w:rPr>
          <w:rFonts w:asciiTheme="majorHAnsi" w:hAnsiTheme="majorHAnsi" w:cstheme="majorHAnsi"/>
          <w:sz w:val="28"/>
          <w:szCs w:val="28"/>
        </w:rPr>
        <w:t xml:space="preserve">basic education </w:t>
      </w:r>
      <w:r w:rsidR="00A90E66" w:rsidRPr="00327B3A">
        <w:rPr>
          <w:rFonts w:asciiTheme="majorHAnsi" w:hAnsiTheme="majorHAnsi" w:cstheme="majorHAnsi"/>
          <w:sz w:val="28"/>
          <w:szCs w:val="28"/>
        </w:rPr>
        <w:t xml:space="preserve">and that </w:t>
      </w:r>
      <w:r w:rsidR="00A62D67" w:rsidRPr="00327B3A">
        <w:rPr>
          <w:rFonts w:asciiTheme="majorHAnsi" w:hAnsiTheme="majorHAnsi" w:cstheme="majorHAnsi"/>
          <w:sz w:val="28"/>
          <w:szCs w:val="28"/>
        </w:rPr>
        <w:t xml:space="preserve">only a relatively small proportion </w:t>
      </w:r>
      <w:r w:rsidR="00A90E66" w:rsidRPr="00327B3A">
        <w:rPr>
          <w:rFonts w:asciiTheme="majorHAnsi" w:hAnsiTheme="majorHAnsi" w:cstheme="majorHAnsi"/>
          <w:sz w:val="28"/>
          <w:szCs w:val="28"/>
        </w:rPr>
        <w:t xml:space="preserve">would proceed </w:t>
      </w:r>
      <w:r w:rsidR="00A62D67" w:rsidRPr="00327B3A">
        <w:rPr>
          <w:rFonts w:asciiTheme="majorHAnsi" w:hAnsiTheme="majorHAnsi" w:cstheme="majorHAnsi"/>
          <w:sz w:val="28"/>
          <w:szCs w:val="28"/>
        </w:rPr>
        <w:t>to upper secondary</w:t>
      </w:r>
      <w:r w:rsidR="00A90E66" w:rsidRPr="00327B3A">
        <w:rPr>
          <w:rFonts w:asciiTheme="majorHAnsi" w:hAnsiTheme="majorHAnsi" w:cstheme="majorHAnsi"/>
          <w:sz w:val="28"/>
          <w:szCs w:val="28"/>
        </w:rPr>
        <w:t xml:space="preserve"> school</w:t>
      </w:r>
      <w:r w:rsidR="00A62D67" w:rsidRPr="00327B3A">
        <w:rPr>
          <w:rFonts w:asciiTheme="majorHAnsi" w:hAnsiTheme="majorHAnsi" w:cstheme="majorHAnsi"/>
          <w:sz w:val="28"/>
          <w:szCs w:val="28"/>
        </w:rPr>
        <w:t>.</w:t>
      </w:r>
      <w:r w:rsidR="00DD0A13" w:rsidRPr="00327B3A">
        <w:rPr>
          <w:rFonts w:asciiTheme="majorHAnsi" w:hAnsiTheme="majorHAnsi" w:cstheme="majorHAnsi"/>
          <w:sz w:val="28"/>
          <w:szCs w:val="28"/>
        </w:rPr>
        <w:t xml:space="preserve"> </w:t>
      </w:r>
      <w:r w:rsidR="00A62D67" w:rsidRPr="00327B3A">
        <w:rPr>
          <w:rFonts w:asciiTheme="majorHAnsi" w:hAnsiTheme="majorHAnsi" w:cstheme="majorHAnsi"/>
          <w:sz w:val="28"/>
          <w:szCs w:val="28"/>
        </w:rPr>
        <w:t xml:space="preserve"> </w:t>
      </w:r>
      <w:r w:rsidR="008951EF" w:rsidRPr="00327B3A">
        <w:rPr>
          <w:rFonts w:asciiTheme="majorHAnsi" w:hAnsiTheme="majorHAnsi" w:cstheme="majorHAnsi"/>
          <w:sz w:val="28"/>
          <w:szCs w:val="28"/>
        </w:rPr>
        <w:t xml:space="preserve"> </w:t>
      </w:r>
    </w:p>
    <w:p w:rsidR="00595A5F" w:rsidRPr="00327B3A" w:rsidRDefault="00A90E66" w:rsidP="00595A5F">
      <w:pPr>
        <w:jc w:val="both"/>
        <w:rPr>
          <w:rFonts w:asciiTheme="majorHAnsi" w:hAnsiTheme="majorHAnsi" w:cstheme="majorHAnsi"/>
          <w:sz w:val="28"/>
          <w:szCs w:val="28"/>
        </w:rPr>
      </w:pPr>
      <w:r w:rsidRPr="00327B3A">
        <w:rPr>
          <w:rFonts w:asciiTheme="majorHAnsi" w:hAnsiTheme="majorHAnsi" w:cstheme="majorHAnsi"/>
          <w:sz w:val="28"/>
          <w:szCs w:val="28"/>
        </w:rPr>
        <w:t xml:space="preserve">More research is need on the extent to which UBE has been adopted in SSA. </w:t>
      </w:r>
      <w:r w:rsidR="005875EE" w:rsidRPr="00327B3A">
        <w:rPr>
          <w:rFonts w:asciiTheme="majorHAnsi" w:hAnsiTheme="majorHAnsi" w:cstheme="majorHAnsi"/>
          <w:sz w:val="28"/>
          <w:szCs w:val="28"/>
        </w:rPr>
        <w:t>However, a</w:t>
      </w:r>
      <w:r w:rsidRPr="00327B3A">
        <w:rPr>
          <w:rFonts w:asciiTheme="majorHAnsi" w:hAnsiTheme="majorHAnsi" w:cstheme="majorHAnsi"/>
          <w:sz w:val="28"/>
          <w:szCs w:val="28"/>
        </w:rPr>
        <w:t xml:space="preserve">t least three sizeable countries in Anglophone Africa, </w:t>
      </w:r>
      <w:r w:rsidR="00A62D67" w:rsidRPr="00327B3A">
        <w:rPr>
          <w:rFonts w:asciiTheme="majorHAnsi" w:hAnsiTheme="majorHAnsi" w:cstheme="majorHAnsi"/>
          <w:sz w:val="28"/>
          <w:szCs w:val="28"/>
        </w:rPr>
        <w:t xml:space="preserve">Kenya, </w:t>
      </w:r>
      <w:r w:rsidRPr="00327B3A">
        <w:rPr>
          <w:rFonts w:asciiTheme="majorHAnsi" w:hAnsiTheme="majorHAnsi" w:cstheme="majorHAnsi"/>
          <w:sz w:val="28"/>
          <w:szCs w:val="28"/>
        </w:rPr>
        <w:t xml:space="preserve">Nigeria and </w:t>
      </w:r>
      <w:r w:rsidR="00A62D67" w:rsidRPr="00327B3A">
        <w:rPr>
          <w:rFonts w:asciiTheme="majorHAnsi" w:hAnsiTheme="majorHAnsi" w:cstheme="majorHAnsi"/>
          <w:sz w:val="28"/>
          <w:szCs w:val="28"/>
        </w:rPr>
        <w:t>Zambia</w:t>
      </w:r>
      <w:r w:rsidR="0054484C" w:rsidRPr="00327B3A">
        <w:rPr>
          <w:rFonts w:asciiTheme="majorHAnsi" w:hAnsiTheme="majorHAnsi" w:cstheme="majorHAnsi"/>
          <w:sz w:val="28"/>
          <w:szCs w:val="28"/>
        </w:rPr>
        <w:t>,</w:t>
      </w:r>
      <w:r w:rsidRPr="00327B3A">
        <w:rPr>
          <w:rFonts w:asciiTheme="majorHAnsi" w:hAnsiTheme="majorHAnsi" w:cstheme="majorHAnsi"/>
          <w:sz w:val="28"/>
          <w:szCs w:val="28"/>
        </w:rPr>
        <w:t xml:space="preserve"> </w:t>
      </w:r>
      <w:r w:rsidR="0054484C" w:rsidRPr="00327B3A">
        <w:rPr>
          <w:rFonts w:asciiTheme="majorHAnsi" w:hAnsiTheme="majorHAnsi" w:cstheme="majorHAnsi"/>
          <w:sz w:val="28"/>
          <w:szCs w:val="28"/>
        </w:rPr>
        <w:t xml:space="preserve">adopted </w:t>
      </w:r>
      <w:r w:rsidRPr="00327B3A">
        <w:rPr>
          <w:rFonts w:asciiTheme="majorHAnsi" w:hAnsiTheme="majorHAnsi" w:cstheme="majorHAnsi"/>
          <w:sz w:val="28"/>
          <w:szCs w:val="28"/>
        </w:rPr>
        <w:t xml:space="preserve">UBE </w:t>
      </w:r>
      <w:r w:rsidR="0054484C" w:rsidRPr="00327B3A">
        <w:rPr>
          <w:rFonts w:asciiTheme="majorHAnsi" w:hAnsiTheme="majorHAnsi" w:cstheme="majorHAnsi"/>
          <w:sz w:val="28"/>
          <w:szCs w:val="28"/>
        </w:rPr>
        <w:t xml:space="preserve">strategies </w:t>
      </w:r>
      <w:r w:rsidRPr="00327B3A">
        <w:rPr>
          <w:rFonts w:asciiTheme="majorHAnsi" w:hAnsiTheme="majorHAnsi" w:cstheme="majorHAnsi"/>
          <w:sz w:val="28"/>
          <w:szCs w:val="28"/>
        </w:rPr>
        <w:t xml:space="preserve">with the establishment of </w:t>
      </w:r>
      <w:r w:rsidR="00762293" w:rsidRPr="00327B3A">
        <w:rPr>
          <w:rFonts w:asciiTheme="majorHAnsi" w:hAnsiTheme="majorHAnsi" w:cstheme="majorHAnsi"/>
          <w:sz w:val="28"/>
          <w:szCs w:val="28"/>
        </w:rPr>
        <w:t xml:space="preserve">9-10 year unified </w:t>
      </w:r>
      <w:r w:rsidRPr="00327B3A">
        <w:rPr>
          <w:rFonts w:asciiTheme="majorHAnsi" w:hAnsiTheme="majorHAnsi" w:cstheme="majorHAnsi"/>
          <w:sz w:val="28"/>
          <w:szCs w:val="28"/>
        </w:rPr>
        <w:t>basic schools or extended cycle primary schools (as in Kenya)</w:t>
      </w:r>
      <w:r w:rsidR="00A62D67" w:rsidRPr="00327B3A">
        <w:rPr>
          <w:rFonts w:asciiTheme="majorHAnsi" w:hAnsiTheme="majorHAnsi" w:cstheme="majorHAnsi"/>
          <w:sz w:val="28"/>
          <w:szCs w:val="28"/>
        </w:rPr>
        <w:t>.</w:t>
      </w:r>
      <w:r w:rsidR="00595A5F" w:rsidRPr="00327B3A">
        <w:rPr>
          <w:rFonts w:asciiTheme="majorHAnsi" w:hAnsiTheme="majorHAnsi" w:cstheme="majorHAnsi"/>
          <w:sz w:val="28"/>
          <w:szCs w:val="28"/>
        </w:rPr>
        <w:t xml:space="preserve"> </w:t>
      </w:r>
      <w:r w:rsidR="00762293" w:rsidRPr="00327B3A">
        <w:rPr>
          <w:rFonts w:asciiTheme="majorHAnsi" w:hAnsiTheme="majorHAnsi" w:cstheme="majorHAnsi"/>
          <w:sz w:val="28"/>
          <w:szCs w:val="28"/>
        </w:rPr>
        <w:t>While t</w:t>
      </w:r>
      <w:r w:rsidR="00595A5F" w:rsidRPr="00327B3A">
        <w:rPr>
          <w:rFonts w:asciiTheme="majorHAnsi" w:hAnsiTheme="majorHAnsi" w:cstheme="majorHAnsi"/>
          <w:sz w:val="28"/>
          <w:szCs w:val="28"/>
        </w:rPr>
        <w:t>he process of ‘disarticulation’ never got off the ground in Nigeria</w:t>
      </w:r>
      <w:r w:rsidR="00762293" w:rsidRPr="00327B3A">
        <w:rPr>
          <w:rFonts w:asciiTheme="majorHAnsi" w:hAnsiTheme="majorHAnsi" w:cstheme="majorHAnsi"/>
          <w:sz w:val="28"/>
          <w:szCs w:val="28"/>
        </w:rPr>
        <w:t xml:space="preserve">, </w:t>
      </w:r>
      <w:r w:rsidR="005875EE" w:rsidRPr="00327B3A">
        <w:rPr>
          <w:rFonts w:asciiTheme="majorHAnsi" w:hAnsiTheme="majorHAnsi" w:cstheme="majorHAnsi"/>
          <w:sz w:val="28"/>
          <w:szCs w:val="28"/>
        </w:rPr>
        <w:t xml:space="preserve">basic education schools were widely established in </w:t>
      </w:r>
      <w:r w:rsidR="00762293" w:rsidRPr="00327B3A">
        <w:rPr>
          <w:rFonts w:asciiTheme="majorHAnsi" w:hAnsiTheme="majorHAnsi" w:cstheme="majorHAnsi"/>
          <w:sz w:val="28"/>
          <w:szCs w:val="28"/>
        </w:rPr>
        <w:t xml:space="preserve">Zambia during </w:t>
      </w:r>
      <w:r w:rsidR="005875EE" w:rsidRPr="00327B3A">
        <w:rPr>
          <w:rFonts w:asciiTheme="majorHAnsi" w:hAnsiTheme="majorHAnsi" w:cstheme="majorHAnsi"/>
          <w:sz w:val="28"/>
          <w:szCs w:val="28"/>
        </w:rPr>
        <w:t>the early 200</w:t>
      </w:r>
      <w:r w:rsidR="00762293" w:rsidRPr="00327B3A">
        <w:rPr>
          <w:rFonts w:asciiTheme="majorHAnsi" w:hAnsiTheme="majorHAnsi" w:cstheme="majorHAnsi"/>
          <w:sz w:val="28"/>
          <w:szCs w:val="28"/>
        </w:rPr>
        <w:t>0</w:t>
      </w:r>
      <w:r w:rsidR="005875EE" w:rsidRPr="00327B3A">
        <w:rPr>
          <w:rFonts w:asciiTheme="majorHAnsi" w:hAnsiTheme="majorHAnsi" w:cstheme="majorHAnsi"/>
          <w:sz w:val="28"/>
          <w:szCs w:val="28"/>
        </w:rPr>
        <w:t>s</w:t>
      </w:r>
      <w:r w:rsidR="00762293" w:rsidRPr="00327B3A">
        <w:rPr>
          <w:rFonts w:asciiTheme="majorHAnsi" w:hAnsiTheme="majorHAnsi" w:cstheme="majorHAnsi"/>
          <w:sz w:val="28"/>
          <w:szCs w:val="28"/>
        </w:rPr>
        <w:t xml:space="preserve">. But, </w:t>
      </w:r>
      <w:r w:rsidR="005875EE" w:rsidRPr="00327B3A">
        <w:rPr>
          <w:rFonts w:asciiTheme="majorHAnsi" w:hAnsiTheme="majorHAnsi" w:cstheme="majorHAnsi"/>
          <w:sz w:val="28"/>
          <w:szCs w:val="28"/>
        </w:rPr>
        <w:t xml:space="preserve">in the </w:t>
      </w:r>
      <w:r w:rsidR="00762293" w:rsidRPr="00327B3A">
        <w:rPr>
          <w:rFonts w:asciiTheme="majorHAnsi" w:hAnsiTheme="majorHAnsi" w:cstheme="majorHAnsi"/>
          <w:sz w:val="28"/>
          <w:szCs w:val="28"/>
        </w:rPr>
        <w:t xml:space="preserve">face of considerable </w:t>
      </w:r>
      <w:r w:rsidR="005875EE" w:rsidRPr="00327B3A">
        <w:rPr>
          <w:rFonts w:asciiTheme="majorHAnsi" w:hAnsiTheme="majorHAnsi" w:cstheme="majorHAnsi"/>
          <w:sz w:val="28"/>
          <w:szCs w:val="28"/>
        </w:rPr>
        <w:t xml:space="preserve">opposition, </w:t>
      </w:r>
      <w:r w:rsidR="00595A5F" w:rsidRPr="00327B3A">
        <w:rPr>
          <w:rFonts w:asciiTheme="majorHAnsi" w:hAnsiTheme="majorHAnsi" w:cstheme="majorHAnsi"/>
          <w:sz w:val="28"/>
          <w:szCs w:val="28"/>
        </w:rPr>
        <w:t xml:space="preserve">the policy was reversed in the early 2010s. Kenya </w:t>
      </w:r>
      <w:r w:rsidR="00595A5F" w:rsidRPr="00327B3A">
        <w:rPr>
          <w:rFonts w:asciiTheme="majorHAnsi" w:hAnsiTheme="majorHAnsi" w:cstheme="majorHAnsi"/>
          <w:sz w:val="28"/>
          <w:szCs w:val="28"/>
        </w:rPr>
        <w:lastRenderedPageBreak/>
        <w:t xml:space="preserve">abandoned </w:t>
      </w:r>
      <w:r w:rsidR="004145F5">
        <w:rPr>
          <w:rFonts w:asciiTheme="majorHAnsi" w:hAnsiTheme="majorHAnsi" w:cstheme="majorHAnsi"/>
          <w:sz w:val="28"/>
          <w:szCs w:val="28"/>
        </w:rPr>
        <w:t xml:space="preserve">its </w:t>
      </w:r>
      <w:r w:rsidR="00595A5F" w:rsidRPr="00327B3A">
        <w:rPr>
          <w:rFonts w:asciiTheme="majorHAnsi" w:hAnsiTheme="majorHAnsi" w:cstheme="majorHAnsi"/>
          <w:sz w:val="28"/>
          <w:szCs w:val="28"/>
        </w:rPr>
        <w:t xml:space="preserve">8-4 </w:t>
      </w:r>
      <w:r w:rsidR="004145F5">
        <w:rPr>
          <w:rFonts w:asciiTheme="majorHAnsi" w:hAnsiTheme="majorHAnsi" w:cstheme="majorHAnsi"/>
          <w:sz w:val="28"/>
          <w:szCs w:val="28"/>
        </w:rPr>
        <w:t xml:space="preserve">(year) </w:t>
      </w:r>
      <w:r w:rsidR="005875EE" w:rsidRPr="00327B3A">
        <w:rPr>
          <w:rFonts w:asciiTheme="majorHAnsi" w:hAnsiTheme="majorHAnsi" w:cstheme="majorHAnsi"/>
          <w:sz w:val="28"/>
          <w:szCs w:val="28"/>
        </w:rPr>
        <w:t>primary-</w:t>
      </w:r>
      <w:r w:rsidR="00595A5F" w:rsidRPr="00327B3A">
        <w:rPr>
          <w:rFonts w:asciiTheme="majorHAnsi" w:hAnsiTheme="majorHAnsi" w:cstheme="majorHAnsi"/>
          <w:sz w:val="28"/>
          <w:szCs w:val="28"/>
        </w:rPr>
        <w:t xml:space="preserve">secondary school </w:t>
      </w:r>
      <w:r w:rsidR="005875EE" w:rsidRPr="00327B3A">
        <w:rPr>
          <w:rFonts w:asciiTheme="majorHAnsi" w:hAnsiTheme="majorHAnsi" w:cstheme="majorHAnsi"/>
          <w:sz w:val="28"/>
          <w:szCs w:val="28"/>
        </w:rPr>
        <w:t xml:space="preserve">structure </w:t>
      </w:r>
      <w:r w:rsidR="00595A5F" w:rsidRPr="00327B3A">
        <w:rPr>
          <w:rFonts w:asciiTheme="majorHAnsi" w:hAnsiTheme="majorHAnsi" w:cstheme="majorHAnsi"/>
          <w:sz w:val="28"/>
          <w:szCs w:val="28"/>
        </w:rPr>
        <w:t xml:space="preserve">in 2018 and reverted </w:t>
      </w:r>
      <w:r w:rsidR="00703F2A" w:rsidRPr="00327B3A">
        <w:rPr>
          <w:rFonts w:asciiTheme="majorHAnsi" w:hAnsiTheme="majorHAnsi" w:cstheme="majorHAnsi"/>
          <w:sz w:val="28"/>
          <w:szCs w:val="28"/>
        </w:rPr>
        <w:t xml:space="preserve">back </w:t>
      </w:r>
      <w:r w:rsidR="00595A5F" w:rsidRPr="00327B3A">
        <w:rPr>
          <w:rFonts w:asciiTheme="majorHAnsi" w:hAnsiTheme="majorHAnsi" w:cstheme="majorHAnsi"/>
          <w:sz w:val="28"/>
          <w:szCs w:val="28"/>
        </w:rPr>
        <w:t xml:space="preserve">to the 6-3-3 school </w:t>
      </w:r>
      <w:r w:rsidR="005875EE" w:rsidRPr="00327B3A">
        <w:rPr>
          <w:rFonts w:asciiTheme="majorHAnsi" w:hAnsiTheme="majorHAnsi" w:cstheme="majorHAnsi"/>
          <w:sz w:val="28"/>
          <w:szCs w:val="28"/>
        </w:rPr>
        <w:t xml:space="preserve">system </w:t>
      </w:r>
      <w:r w:rsidR="00595A5F" w:rsidRPr="00327B3A">
        <w:rPr>
          <w:rFonts w:asciiTheme="majorHAnsi" w:hAnsiTheme="majorHAnsi" w:cstheme="majorHAnsi"/>
          <w:sz w:val="28"/>
          <w:szCs w:val="28"/>
        </w:rPr>
        <w:t>which it had discarded thirty years earlier</w:t>
      </w:r>
      <w:r w:rsidR="00762293" w:rsidRPr="00327B3A">
        <w:rPr>
          <w:rFonts w:asciiTheme="majorHAnsi" w:hAnsiTheme="majorHAnsi" w:cstheme="majorHAnsi"/>
          <w:sz w:val="28"/>
          <w:szCs w:val="28"/>
        </w:rPr>
        <w:t>. I</w:t>
      </w:r>
      <w:r w:rsidR="005875EE" w:rsidRPr="00327B3A">
        <w:rPr>
          <w:rFonts w:asciiTheme="majorHAnsi" w:hAnsiTheme="majorHAnsi" w:cstheme="majorHAnsi"/>
          <w:sz w:val="28"/>
          <w:szCs w:val="28"/>
        </w:rPr>
        <w:t xml:space="preserve">n so doing, </w:t>
      </w:r>
      <w:r w:rsidR="00595A5F" w:rsidRPr="00327B3A">
        <w:rPr>
          <w:rFonts w:asciiTheme="majorHAnsi" w:hAnsiTheme="majorHAnsi" w:cstheme="majorHAnsi"/>
          <w:sz w:val="28"/>
          <w:szCs w:val="28"/>
        </w:rPr>
        <w:t xml:space="preserve">the </w:t>
      </w:r>
      <w:r w:rsidR="00762293" w:rsidRPr="00327B3A">
        <w:rPr>
          <w:rFonts w:asciiTheme="majorHAnsi" w:hAnsiTheme="majorHAnsi" w:cstheme="majorHAnsi"/>
          <w:sz w:val="28"/>
          <w:szCs w:val="28"/>
        </w:rPr>
        <w:t xml:space="preserve">duration of the </w:t>
      </w:r>
      <w:r w:rsidR="00595A5F" w:rsidRPr="00327B3A">
        <w:rPr>
          <w:rFonts w:asciiTheme="majorHAnsi" w:hAnsiTheme="majorHAnsi" w:cstheme="majorHAnsi"/>
          <w:sz w:val="28"/>
          <w:szCs w:val="28"/>
        </w:rPr>
        <w:t xml:space="preserve">full secondary school cycle </w:t>
      </w:r>
      <w:r w:rsidR="00762293" w:rsidRPr="00327B3A">
        <w:rPr>
          <w:rFonts w:asciiTheme="majorHAnsi" w:hAnsiTheme="majorHAnsi" w:cstheme="majorHAnsi"/>
          <w:sz w:val="28"/>
          <w:szCs w:val="28"/>
        </w:rPr>
        <w:t xml:space="preserve">has increased </w:t>
      </w:r>
      <w:r w:rsidR="00595A5F" w:rsidRPr="00327B3A">
        <w:rPr>
          <w:rFonts w:asciiTheme="majorHAnsi" w:hAnsiTheme="majorHAnsi" w:cstheme="majorHAnsi"/>
          <w:sz w:val="28"/>
          <w:szCs w:val="28"/>
        </w:rPr>
        <w:t>from four to six years</w:t>
      </w:r>
      <w:r w:rsidR="005875EE" w:rsidRPr="00327B3A">
        <w:rPr>
          <w:rFonts w:asciiTheme="majorHAnsi" w:hAnsiTheme="majorHAnsi" w:cstheme="majorHAnsi"/>
          <w:sz w:val="28"/>
          <w:szCs w:val="28"/>
        </w:rPr>
        <w:t xml:space="preserve"> making it that much harder to achieve USE</w:t>
      </w:r>
      <w:r w:rsidR="00595A5F" w:rsidRPr="00327B3A">
        <w:rPr>
          <w:rFonts w:asciiTheme="majorHAnsi" w:hAnsiTheme="majorHAnsi" w:cstheme="majorHAnsi"/>
          <w:sz w:val="28"/>
          <w:szCs w:val="28"/>
        </w:rPr>
        <w:t xml:space="preserve">. </w:t>
      </w:r>
    </w:p>
    <w:p w:rsidR="00D37A67" w:rsidRPr="00327B3A" w:rsidRDefault="00762293" w:rsidP="00D37A67">
      <w:pPr>
        <w:jc w:val="both"/>
        <w:rPr>
          <w:rFonts w:asciiTheme="majorHAnsi" w:hAnsiTheme="majorHAnsi" w:cstheme="majorHAnsi"/>
          <w:sz w:val="28"/>
          <w:szCs w:val="28"/>
        </w:rPr>
      </w:pPr>
      <w:r w:rsidRPr="00327B3A">
        <w:rPr>
          <w:rFonts w:asciiTheme="majorHAnsi" w:hAnsiTheme="majorHAnsi" w:cstheme="majorHAnsi"/>
          <w:sz w:val="28"/>
          <w:szCs w:val="28"/>
        </w:rPr>
        <w:t>What is clear is that t</w:t>
      </w:r>
      <w:r w:rsidR="005875EE" w:rsidRPr="00327B3A">
        <w:rPr>
          <w:rFonts w:asciiTheme="majorHAnsi" w:hAnsiTheme="majorHAnsi" w:cstheme="majorHAnsi"/>
          <w:sz w:val="28"/>
          <w:szCs w:val="28"/>
        </w:rPr>
        <w:t xml:space="preserve">he adoption of the </w:t>
      </w:r>
      <w:r w:rsidR="00D37A67" w:rsidRPr="00327B3A">
        <w:rPr>
          <w:rFonts w:asciiTheme="majorHAnsi" w:hAnsiTheme="majorHAnsi" w:cstheme="majorHAnsi"/>
          <w:sz w:val="28"/>
          <w:szCs w:val="28"/>
        </w:rPr>
        <w:t xml:space="preserve">SDG4 </w:t>
      </w:r>
      <w:r w:rsidR="005875EE" w:rsidRPr="00327B3A">
        <w:rPr>
          <w:rFonts w:asciiTheme="majorHAnsi" w:hAnsiTheme="majorHAnsi" w:cstheme="majorHAnsi"/>
          <w:sz w:val="28"/>
          <w:szCs w:val="28"/>
        </w:rPr>
        <w:t xml:space="preserve">goal of universal secondary </w:t>
      </w:r>
      <w:r w:rsidR="00F17B68" w:rsidRPr="00327B3A">
        <w:rPr>
          <w:rFonts w:asciiTheme="majorHAnsi" w:hAnsiTheme="majorHAnsi" w:cstheme="majorHAnsi"/>
          <w:sz w:val="28"/>
          <w:szCs w:val="28"/>
        </w:rPr>
        <w:t xml:space="preserve">(lower and upper) education has effectively </w:t>
      </w:r>
      <w:r w:rsidR="00D37A67" w:rsidRPr="00327B3A">
        <w:rPr>
          <w:rFonts w:asciiTheme="majorHAnsi" w:hAnsiTheme="majorHAnsi" w:cstheme="majorHAnsi"/>
          <w:sz w:val="28"/>
          <w:szCs w:val="28"/>
        </w:rPr>
        <w:t xml:space="preserve">sounded the death knell of UBE </w:t>
      </w:r>
      <w:r w:rsidR="00F17B68" w:rsidRPr="00327B3A">
        <w:rPr>
          <w:rFonts w:asciiTheme="majorHAnsi" w:hAnsiTheme="majorHAnsi" w:cstheme="majorHAnsi"/>
          <w:sz w:val="28"/>
          <w:szCs w:val="28"/>
        </w:rPr>
        <w:t xml:space="preserve">in SSA </w:t>
      </w:r>
      <w:r w:rsidR="00D37A67" w:rsidRPr="00327B3A">
        <w:rPr>
          <w:rFonts w:asciiTheme="majorHAnsi" w:hAnsiTheme="majorHAnsi" w:cstheme="majorHAnsi"/>
          <w:sz w:val="28"/>
          <w:szCs w:val="28"/>
        </w:rPr>
        <w:t xml:space="preserve">which was a significantly more attainable goal. </w:t>
      </w:r>
    </w:p>
    <w:p w:rsidR="004342F3" w:rsidRPr="00327B3A" w:rsidRDefault="00F955C1" w:rsidP="004F3581">
      <w:pPr>
        <w:jc w:val="both"/>
        <w:rPr>
          <w:rFonts w:asciiTheme="majorHAnsi" w:hAnsiTheme="majorHAnsi" w:cstheme="majorHAnsi"/>
          <w:i/>
          <w:sz w:val="28"/>
          <w:szCs w:val="28"/>
        </w:rPr>
      </w:pPr>
      <w:r w:rsidRPr="00327B3A">
        <w:rPr>
          <w:rFonts w:asciiTheme="majorHAnsi" w:hAnsiTheme="majorHAnsi" w:cstheme="majorHAnsi"/>
          <w:i/>
          <w:sz w:val="28"/>
          <w:szCs w:val="28"/>
        </w:rPr>
        <w:t>Private education</w:t>
      </w:r>
    </w:p>
    <w:p w:rsidR="004F3581" w:rsidRDefault="00F955C1" w:rsidP="004F3581">
      <w:pPr>
        <w:jc w:val="both"/>
        <w:rPr>
          <w:rFonts w:asciiTheme="majorHAnsi" w:hAnsiTheme="majorHAnsi" w:cstheme="majorHAnsi"/>
          <w:sz w:val="28"/>
          <w:szCs w:val="28"/>
        </w:rPr>
      </w:pPr>
      <w:r w:rsidRPr="00327B3A">
        <w:rPr>
          <w:rFonts w:asciiTheme="majorHAnsi" w:hAnsiTheme="majorHAnsi" w:cstheme="majorHAnsi"/>
          <w:i/>
          <w:sz w:val="28"/>
          <w:szCs w:val="28"/>
        </w:rPr>
        <w:t>T</w:t>
      </w:r>
      <w:r w:rsidRPr="00327B3A">
        <w:rPr>
          <w:rFonts w:asciiTheme="majorHAnsi" w:hAnsiTheme="majorHAnsi" w:cstheme="majorHAnsi"/>
          <w:sz w:val="28"/>
          <w:szCs w:val="28"/>
        </w:rPr>
        <w:t>he role of private, for-</w:t>
      </w:r>
      <w:r w:rsidR="004342F3" w:rsidRPr="00327B3A">
        <w:rPr>
          <w:rFonts w:asciiTheme="majorHAnsi" w:hAnsiTheme="majorHAnsi" w:cstheme="majorHAnsi"/>
          <w:sz w:val="28"/>
          <w:szCs w:val="28"/>
        </w:rPr>
        <w:t>profit secondary schooling provision</w:t>
      </w:r>
      <w:r w:rsidRPr="00327B3A">
        <w:rPr>
          <w:rFonts w:asciiTheme="majorHAnsi" w:hAnsiTheme="majorHAnsi" w:cstheme="majorHAnsi"/>
          <w:sz w:val="28"/>
          <w:szCs w:val="28"/>
        </w:rPr>
        <w:t xml:space="preserve"> </w:t>
      </w:r>
      <w:r w:rsidR="00703F2A" w:rsidRPr="00327B3A">
        <w:rPr>
          <w:rFonts w:asciiTheme="majorHAnsi" w:hAnsiTheme="majorHAnsi" w:cstheme="majorHAnsi"/>
          <w:sz w:val="28"/>
          <w:szCs w:val="28"/>
        </w:rPr>
        <w:t xml:space="preserve">in SSA </w:t>
      </w:r>
      <w:r w:rsidRPr="00327B3A">
        <w:rPr>
          <w:rFonts w:asciiTheme="majorHAnsi" w:hAnsiTheme="majorHAnsi" w:cstheme="majorHAnsi"/>
          <w:sz w:val="28"/>
          <w:szCs w:val="28"/>
        </w:rPr>
        <w:t>is barely mentioned in the report</w:t>
      </w:r>
      <w:r w:rsidR="004342F3"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This is surprising given the sizeable share of secondary school </w:t>
      </w:r>
      <w:r w:rsidR="008819ED" w:rsidRPr="00327B3A">
        <w:rPr>
          <w:rFonts w:asciiTheme="majorHAnsi" w:hAnsiTheme="majorHAnsi" w:cstheme="majorHAnsi"/>
          <w:sz w:val="28"/>
          <w:szCs w:val="28"/>
        </w:rPr>
        <w:t>students who attend these schools especially in Francophone and fragile and conflict-affected states where publicly-funded school systems remain seriousl</w:t>
      </w:r>
      <w:r w:rsidR="0004379C">
        <w:rPr>
          <w:rFonts w:asciiTheme="majorHAnsi" w:hAnsiTheme="majorHAnsi" w:cstheme="majorHAnsi"/>
          <w:sz w:val="28"/>
          <w:szCs w:val="28"/>
        </w:rPr>
        <w:t>y under-developed (see figure 3</w:t>
      </w:r>
      <w:r w:rsidR="008819ED" w:rsidRPr="00327B3A">
        <w:rPr>
          <w:rFonts w:asciiTheme="majorHAnsi" w:hAnsiTheme="majorHAnsi" w:cstheme="majorHAnsi"/>
          <w:sz w:val="28"/>
          <w:szCs w:val="28"/>
        </w:rPr>
        <w:t xml:space="preserve">). Moreover, governments are </w:t>
      </w:r>
      <w:r w:rsidR="00EA0551" w:rsidRPr="00327B3A">
        <w:rPr>
          <w:rFonts w:asciiTheme="majorHAnsi" w:hAnsiTheme="majorHAnsi" w:cstheme="majorHAnsi"/>
          <w:sz w:val="28"/>
          <w:szCs w:val="28"/>
        </w:rPr>
        <w:t xml:space="preserve">also </w:t>
      </w:r>
      <w:r w:rsidR="008819ED" w:rsidRPr="00327B3A">
        <w:rPr>
          <w:rFonts w:asciiTheme="majorHAnsi" w:hAnsiTheme="majorHAnsi" w:cstheme="majorHAnsi"/>
          <w:sz w:val="28"/>
          <w:szCs w:val="28"/>
        </w:rPr>
        <w:t>becoming increasingly reliant on private schools in order to increase overall secondary school enrolments. Just as was the case with UPE, the adoption of USE is likely to lead to the rapid growth in private schools. For example, h</w:t>
      </w:r>
      <w:r w:rsidR="00361EFC" w:rsidRPr="00327B3A">
        <w:rPr>
          <w:rFonts w:asciiTheme="majorHAnsi" w:hAnsiTheme="majorHAnsi" w:cstheme="majorHAnsi"/>
          <w:sz w:val="28"/>
          <w:szCs w:val="28"/>
        </w:rPr>
        <w:t xml:space="preserve">alf of all new secondary schools </w:t>
      </w:r>
      <w:r w:rsidR="008819ED" w:rsidRPr="00327B3A">
        <w:rPr>
          <w:rFonts w:asciiTheme="majorHAnsi" w:hAnsiTheme="majorHAnsi" w:cstheme="majorHAnsi"/>
          <w:sz w:val="28"/>
          <w:szCs w:val="28"/>
        </w:rPr>
        <w:t xml:space="preserve">that were established </w:t>
      </w:r>
      <w:r w:rsidR="00361EFC" w:rsidRPr="00327B3A">
        <w:rPr>
          <w:rFonts w:asciiTheme="majorHAnsi" w:hAnsiTheme="majorHAnsi" w:cstheme="majorHAnsi"/>
          <w:sz w:val="28"/>
          <w:szCs w:val="28"/>
        </w:rPr>
        <w:t xml:space="preserve">in Ghana between 2011 and 2017 </w:t>
      </w:r>
      <w:r w:rsidR="008819ED" w:rsidRPr="00327B3A">
        <w:rPr>
          <w:rFonts w:asciiTheme="majorHAnsi" w:hAnsiTheme="majorHAnsi" w:cstheme="majorHAnsi"/>
          <w:sz w:val="28"/>
          <w:szCs w:val="28"/>
        </w:rPr>
        <w:t xml:space="preserve">were </w:t>
      </w:r>
      <w:r w:rsidR="00361EFC" w:rsidRPr="00327B3A">
        <w:rPr>
          <w:rFonts w:asciiTheme="majorHAnsi" w:hAnsiTheme="majorHAnsi" w:cstheme="majorHAnsi"/>
          <w:sz w:val="28"/>
          <w:szCs w:val="28"/>
        </w:rPr>
        <w:t>privately owned</w:t>
      </w:r>
      <w:r w:rsidR="008819ED" w:rsidRPr="00327B3A">
        <w:rPr>
          <w:rStyle w:val="FootnoteReference"/>
          <w:rFonts w:asciiTheme="majorHAnsi" w:hAnsiTheme="majorHAnsi" w:cstheme="majorHAnsi"/>
          <w:sz w:val="28"/>
          <w:szCs w:val="28"/>
        </w:rPr>
        <w:footnoteReference w:id="20"/>
      </w:r>
      <w:r w:rsidR="00361EFC" w:rsidRPr="00327B3A">
        <w:rPr>
          <w:rFonts w:asciiTheme="majorHAnsi" w:hAnsiTheme="majorHAnsi" w:cstheme="majorHAnsi"/>
          <w:sz w:val="28"/>
          <w:szCs w:val="28"/>
        </w:rPr>
        <w:t xml:space="preserve">. </w:t>
      </w:r>
    </w:p>
    <w:p w:rsidR="002879FF" w:rsidRDefault="00EA0551" w:rsidP="004F3581">
      <w:pPr>
        <w:jc w:val="both"/>
        <w:rPr>
          <w:rFonts w:asciiTheme="majorHAnsi" w:hAnsiTheme="majorHAnsi" w:cstheme="majorHAnsi"/>
          <w:sz w:val="28"/>
          <w:szCs w:val="28"/>
        </w:rPr>
      </w:pPr>
      <w:r w:rsidRPr="00327B3A">
        <w:rPr>
          <w:rFonts w:asciiTheme="majorHAnsi" w:hAnsiTheme="majorHAnsi" w:cstheme="majorHAnsi"/>
          <w:sz w:val="28"/>
          <w:szCs w:val="28"/>
        </w:rPr>
        <w:t xml:space="preserve">As discussed earlier, both UPE and USE pose a </w:t>
      </w:r>
      <w:r w:rsidR="00703F2A" w:rsidRPr="00327B3A">
        <w:rPr>
          <w:rFonts w:asciiTheme="majorHAnsi" w:hAnsiTheme="majorHAnsi" w:cstheme="majorHAnsi"/>
          <w:sz w:val="28"/>
          <w:szCs w:val="28"/>
        </w:rPr>
        <w:t xml:space="preserve">potentially serious </w:t>
      </w:r>
      <w:r w:rsidRPr="00327B3A">
        <w:rPr>
          <w:rFonts w:asciiTheme="majorHAnsi" w:hAnsiTheme="majorHAnsi" w:cstheme="majorHAnsi"/>
          <w:sz w:val="28"/>
          <w:szCs w:val="28"/>
        </w:rPr>
        <w:t xml:space="preserve">threat to the privileged social and economic status of an expanding and increasingly powerful middle class in SSA. Coupled with declines in the quality of public secondary education as a result of rapid but seriously under-resourced </w:t>
      </w:r>
      <w:r w:rsidR="00762293" w:rsidRPr="00327B3A">
        <w:rPr>
          <w:rFonts w:asciiTheme="majorHAnsi" w:hAnsiTheme="majorHAnsi" w:cstheme="majorHAnsi"/>
          <w:sz w:val="28"/>
          <w:szCs w:val="28"/>
        </w:rPr>
        <w:t xml:space="preserve">USE-driven </w:t>
      </w:r>
      <w:r w:rsidR="00703F2A" w:rsidRPr="00327B3A">
        <w:rPr>
          <w:rFonts w:asciiTheme="majorHAnsi" w:hAnsiTheme="majorHAnsi" w:cstheme="majorHAnsi"/>
          <w:sz w:val="28"/>
          <w:szCs w:val="28"/>
        </w:rPr>
        <w:t>enrolment expansion</w:t>
      </w:r>
      <w:r w:rsidRPr="00327B3A">
        <w:rPr>
          <w:rFonts w:asciiTheme="majorHAnsi" w:hAnsiTheme="majorHAnsi" w:cstheme="majorHAnsi"/>
          <w:sz w:val="28"/>
          <w:szCs w:val="28"/>
        </w:rPr>
        <w:t xml:space="preserve">, </w:t>
      </w:r>
      <w:r w:rsidR="00762293" w:rsidRPr="00327B3A">
        <w:rPr>
          <w:rFonts w:asciiTheme="majorHAnsi" w:hAnsiTheme="majorHAnsi" w:cstheme="majorHAnsi"/>
          <w:sz w:val="28"/>
          <w:szCs w:val="28"/>
        </w:rPr>
        <w:t xml:space="preserve">it is likely that </w:t>
      </w:r>
      <w:r w:rsidRPr="00327B3A">
        <w:rPr>
          <w:rFonts w:asciiTheme="majorHAnsi" w:hAnsiTheme="majorHAnsi" w:cstheme="majorHAnsi"/>
          <w:sz w:val="28"/>
          <w:szCs w:val="28"/>
        </w:rPr>
        <w:t xml:space="preserve">the middle class and other elites will increasingly rely on </w:t>
      </w:r>
      <w:r w:rsidR="002879FF" w:rsidRPr="00327B3A">
        <w:rPr>
          <w:rFonts w:asciiTheme="majorHAnsi" w:hAnsiTheme="majorHAnsi" w:cstheme="majorHAnsi"/>
          <w:sz w:val="28"/>
          <w:szCs w:val="28"/>
        </w:rPr>
        <w:t xml:space="preserve">relatively high-cost private </w:t>
      </w:r>
      <w:r w:rsidR="00703F2A" w:rsidRPr="00327B3A">
        <w:rPr>
          <w:rFonts w:asciiTheme="majorHAnsi" w:hAnsiTheme="majorHAnsi" w:cstheme="majorHAnsi"/>
          <w:sz w:val="28"/>
          <w:szCs w:val="28"/>
        </w:rPr>
        <w:t xml:space="preserve">schools </w:t>
      </w:r>
      <w:r w:rsidR="002879FF" w:rsidRPr="00327B3A">
        <w:rPr>
          <w:rFonts w:asciiTheme="majorHAnsi" w:hAnsiTheme="majorHAnsi" w:cstheme="majorHAnsi"/>
          <w:sz w:val="28"/>
          <w:szCs w:val="28"/>
        </w:rPr>
        <w:t>in order to main sufficient educational distance between their children and those from the rest of society. As with UPE, USE may well</w:t>
      </w:r>
      <w:r w:rsidR="00703F2A" w:rsidRPr="00327B3A">
        <w:rPr>
          <w:rFonts w:asciiTheme="majorHAnsi" w:hAnsiTheme="majorHAnsi" w:cstheme="majorHAnsi"/>
          <w:sz w:val="28"/>
          <w:szCs w:val="28"/>
        </w:rPr>
        <w:t>,</w:t>
      </w:r>
      <w:r w:rsidR="002879FF" w:rsidRPr="00327B3A">
        <w:rPr>
          <w:rFonts w:asciiTheme="majorHAnsi" w:hAnsiTheme="majorHAnsi" w:cstheme="majorHAnsi"/>
          <w:sz w:val="28"/>
          <w:szCs w:val="28"/>
        </w:rPr>
        <w:t xml:space="preserve"> therefore</w:t>
      </w:r>
      <w:r w:rsidR="00703F2A" w:rsidRPr="00327B3A">
        <w:rPr>
          <w:rFonts w:asciiTheme="majorHAnsi" w:hAnsiTheme="majorHAnsi" w:cstheme="majorHAnsi"/>
          <w:sz w:val="28"/>
          <w:szCs w:val="28"/>
        </w:rPr>
        <w:t>,</w:t>
      </w:r>
      <w:r w:rsidR="002879FF" w:rsidRPr="00327B3A">
        <w:rPr>
          <w:rFonts w:asciiTheme="majorHAnsi" w:hAnsiTheme="majorHAnsi" w:cstheme="majorHAnsi"/>
          <w:sz w:val="28"/>
          <w:szCs w:val="28"/>
        </w:rPr>
        <w:t xml:space="preserve"> be accompanied by increasing educational inequality</w:t>
      </w:r>
      <w:r w:rsidR="001D63A3" w:rsidRPr="00327B3A">
        <w:rPr>
          <w:rFonts w:asciiTheme="majorHAnsi" w:hAnsiTheme="majorHAnsi" w:cstheme="majorHAnsi"/>
          <w:sz w:val="28"/>
          <w:szCs w:val="28"/>
        </w:rPr>
        <w:t xml:space="preserve"> with poorer children ghettoised in </w:t>
      </w:r>
      <w:r w:rsidR="00703F2A" w:rsidRPr="00327B3A">
        <w:rPr>
          <w:rFonts w:asciiTheme="majorHAnsi" w:hAnsiTheme="majorHAnsi" w:cstheme="majorHAnsi"/>
          <w:sz w:val="28"/>
          <w:szCs w:val="28"/>
        </w:rPr>
        <w:t xml:space="preserve">low </w:t>
      </w:r>
      <w:r w:rsidR="001D63A3" w:rsidRPr="00327B3A">
        <w:rPr>
          <w:rFonts w:asciiTheme="majorHAnsi" w:hAnsiTheme="majorHAnsi" w:cstheme="majorHAnsi"/>
          <w:sz w:val="28"/>
          <w:szCs w:val="28"/>
        </w:rPr>
        <w:t xml:space="preserve">quality </w:t>
      </w:r>
      <w:r w:rsidR="00443837" w:rsidRPr="00327B3A">
        <w:rPr>
          <w:rFonts w:asciiTheme="majorHAnsi" w:hAnsiTheme="majorHAnsi" w:cstheme="majorHAnsi"/>
          <w:sz w:val="28"/>
          <w:szCs w:val="28"/>
        </w:rPr>
        <w:t xml:space="preserve">public </w:t>
      </w:r>
      <w:r w:rsidR="001D63A3" w:rsidRPr="00327B3A">
        <w:rPr>
          <w:rFonts w:asciiTheme="majorHAnsi" w:hAnsiTheme="majorHAnsi" w:cstheme="majorHAnsi"/>
          <w:sz w:val="28"/>
          <w:szCs w:val="28"/>
        </w:rPr>
        <w:t xml:space="preserve">secondary schools. </w:t>
      </w:r>
    </w:p>
    <w:p w:rsidR="00827381" w:rsidRPr="00327B3A" w:rsidRDefault="00827381" w:rsidP="004F3581">
      <w:pPr>
        <w:jc w:val="both"/>
        <w:rPr>
          <w:rFonts w:asciiTheme="majorHAnsi" w:hAnsiTheme="majorHAnsi" w:cstheme="majorHAnsi"/>
          <w:sz w:val="28"/>
          <w:szCs w:val="28"/>
        </w:rPr>
      </w:pPr>
      <w:r>
        <w:rPr>
          <w:noProof/>
          <w:lang w:eastAsia="en-GB"/>
        </w:rPr>
        <w:lastRenderedPageBreak/>
        <w:drawing>
          <wp:inline distT="0" distB="0" distL="0" distR="0" wp14:anchorId="1E14FDBE" wp14:editId="26571CB2">
            <wp:extent cx="550545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0551" w:rsidRPr="00327B3A" w:rsidRDefault="002879FF" w:rsidP="004F3581">
      <w:pPr>
        <w:jc w:val="both"/>
        <w:rPr>
          <w:rFonts w:asciiTheme="majorHAnsi" w:hAnsiTheme="majorHAnsi" w:cstheme="majorHAnsi"/>
          <w:sz w:val="28"/>
          <w:szCs w:val="28"/>
        </w:rPr>
      </w:pPr>
      <w:r w:rsidRPr="00327B3A">
        <w:rPr>
          <w:rFonts w:asciiTheme="majorHAnsi" w:hAnsiTheme="majorHAnsi" w:cstheme="majorHAnsi"/>
          <w:sz w:val="28"/>
          <w:szCs w:val="28"/>
        </w:rPr>
        <w:t xml:space="preserve">The </w:t>
      </w:r>
      <w:r w:rsidR="00703F2A" w:rsidRPr="00327B3A">
        <w:rPr>
          <w:rFonts w:asciiTheme="majorHAnsi" w:hAnsiTheme="majorHAnsi" w:cstheme="majorHAnsi"/>
          <w:sz w:val="28"/>
          <w:szCs w:val="28"/>
        </w:rPr>
        <w:t xml:space="preserve">likely </w:t>
      </w:r>
      <w:r w:rsidRPr="00327B3A">
        <w:rPr>
          <w:rFonts w:asciiTheme="majorHAnsi" w:hAnsiTheme="majorHAnsi" w:cstheme="majorHAnsi"/>
          <w:sz w:val="28"/>
          <w:szCs w:val="28"/>
        </w:rPr>
        <w:t>political economy implications of the increasing public-private polarisation of secondary school provision for the eventual attainment of USE are</w:t>
      </w:r>
      <w:r w:rsidR="001D63A3" w:rsidRPr="00327B3A">
        <w:rPr>
          <w:rFonts w:asciiTheme="majorHAnsi" w:hAnsiTheme="majorHAnsi" w:cstheme="majorHAnsi"/>
          <w:sz w:val="28"/>
          <w:szCs w:val="28"/>
        </w:rPr>
        <w:t>, therefore,</w:t>
      </w:r>
      <w:r w:rsidR="00443837" w:rsidRPr="00327B3A">
        <w:rPr>
          <w:rFonts w:asciiTheme="majorHAnsi" w:hAnsiTheme="majorHAnsi" w:cstheme="majorHAnsi"/>
          <w:sz w:val="28"/>
          <w:szCs w:val="28"/>
        </w:rPr>
        <w:t xml:space="preserve"> </w:t>
      </w:r>
      <w:r w:rsidR="00540923">
        <w:rPr>
          <w:rFonts w:asciiTheme="majorHAnsi" w:hAnsiTheme="majorHAnsi" w:cstheme="majorHAnsi"/>
          <w:sz w:val="28"/>
          <w:szCs w:val="28"/>
        </w:rPr>
        <w:t>far r</w:t>
      </w:r>
      <w:r w:rsidRPr="00327B3A">
        <w:rPr>
          <w:rFonts w:asciiTheme="majorHAnsi" w:hAnsiTheme="majorHAnsi" w:cstheme="majorHAnsi"/>
          <w:sz w:val="28"/>
          <w:szCs w:val="28"/>
        </w:rPr>
        <w:t xml:space="preserve">eaching and need to be explored in far more detail. In particular, declining standards in public secondary schools will negatively impact on the overall demand for secondary schooling (especially among the poor) who are reliant on these schools and also </w:t>
      </w:r>
      <w:r w:rsidR="004145F5">
        <w:rPr>
          <w:rFonts w:asciiTheme="majorHAnsi" w:hAnsiTheme="majorHAnsi" w:cstheme="majorHAnsi"/>
          <w:sz w:val="28"/>
          <w:szCs w:val="28"/>
        </w:rPr>
        <w:t xml:space="preserve">on </w:t>
      </w:r>
      <w:r w:rsidRPr="00327B3A">
        <w:rPr>
          <w:rFonts w:asciiTheme="majorHAnsi" w:hAnsiTheme="majorHAnsi" w:cstheme="majorHAnsi"/>
          <w:sz w:val="28"/>
          <w:szCs w:val="28"/>
        </w:rPr>
        <w:t xml:space="preserve">the overall level of government commitment to USE as major ‘political constituencies’ </w:t>
      </w:r>
      <w:r w:rsidR="00703F2A" w:rsidRPr="00327B3A">
        <w:rPr>
          <w:rFonts w:asciiTheme="majorHAnsi" w:hAnsiTheme="majorHAnsi" w:cstheme="majorHAnsi"/>
          <w:sz w:val="28"/>
          <w:szCs w:val="28"/>
        </w:rPr>
        <w:t xml:space="preserve">increasingly </w:t>
      </w:r>
      <w:r w:rsidRPr="00327B3A">
        <w:rPr>
          <w:rFonts w:asciiTheme="majorHAnsi" w:hAnsiTheme="majorHAnsi" w:cstheme="majorHAnsi"/>
          <w:sz w:val="28"/>
          <w:szCs w:val="28"/>
        </w:rPr>
        <w:t>focus on other areas of public service delivery and investment besides second</w:t>
      </w:r>
      <w:r w:rsidR="00443837" w:rsidRPr="00327B3A">
        <w:rPr>
          <w:rFonts w:asciiTheme="majorHAnsi" w:hAnsiTheme="majorHAnsi" w:cstheme="majorHAnsi"/>
          <w:sz w:val="28"/>
          <w:szCs w:val="28"/>
        </w:rPr>
        <w:t>ary education (see Bennell 2021b</w:t>
      </w:r>
      <w:r w:rsidRPr="00327B3A">
        <w:rPr>
          <w:rFonts w:asciiTheme="majorHAnsi" w:hAnsiTheme="majorHAnsi" w:cstheme="majorHAnsi"/>
          <w:sz w:val="28"/>
          <w:szCs w:val="28"/>
        </w:rPr>
        <w:t xml:space="preserve">). </w:t>
      </w:r>
      <w:r w:rsidR="00EA0551" w:rsidRPr="00327B3A">
        <w:rPr>
          <w:rFonts w:asciiTheme="majorHAnsi" w:hAnsiTheme="majorHAnsi" w:cstheme="majorHAnsi"/>
          <w:sz w:val="28"/>
          <w:szCs w:val="28"/>
        </w:rPr>
        <w:t xml:space="preserve"> </w:t>
      </w:r>
    </w:p>
    <w:p w:rsidR="004F3581" w:rsidRPr="00327B3A" w:rsidRDefault="001D63A3" w:rsidP="004F3581">
      <w:pPr>
        <w:jc w:val="both"/>
        <w:rPr>
          <w:rFonts w:asciiTheme="majorHAnsi" w:hAnsiTheme="majorHAnsi" w:cstheme="majorHAnsi"/>
          <w:sz w:val="28"/>
          <w:szCs w:val="28"/>
        </w:rPr>
      </w:pPr>
      <w:r w:rsidRPr="00327B3A">
        <w:rPr>
          <w:rFonts w:asciiTheme="majorHAnsi" w:hAnsiTheme="majorHAnsi" w:cstheme="majorHAnsi"/>
          <w:sz w:val="28"/>
          <w:szCs w:val="28"/>
        </w:rPr>
        <w:t xml:space="preserve">The </w:t>
      </w:r>
      <w:r w:rsidR="00B41AF2" w:rsidRPr="00327B3A">
        <w:rPr>
          <w:rFonts w:asciiTheme="majorHAnsi" w:hAnsiTheme="majorHAnsi" w:cstheme="majorHAnsi"/>
          <w:sz w:val="28"/>
          <w:szCs w:val="28"/>
        </w:rPr>
        <w:t xml:space="preserve">Report broadly endorses the growing </w:t>
      </w:r>
      <w:r w:rsidRPr="00327B3A">
        <w:rPr>
          <w:rFonts w:asciiTheme="majorHAnsi" w:hAnsiTheme="majorHAnsi" w:cstheme="majorHAnsi"/>
          <w:sz w:val="28"/>
          <w:szCs w:val="28"/>
        </w:rPr>
        <w:t xml:space="preserve">interest in public-private </w:t>
      </w:r>
      <w:r w:rsidR="00B41AF2" w:rsidRPr="00327B3A">
        <w:rPr>
          <w:rFonts w:asciiTheme="majorHAnsi" w:hAnsiTheme="majorHAnsi" w:cstheme="majorHAnsi"/>
          <w:sz w:val="28"/>
          <w:szCs w:val="28"/>
        </w:rPr>
        <w:t xml:space="preserve">partnerships </w:t>
      </w:r>
      <w:r w:rsidRPr="00327B3A">
        <w:rPr>
          <w:rFonts w:asciiTheme="majorHAnsi" w:hAnsiTheme="majorHAnsi" w:cstheme="majorHAnsi"/>
          <w:sz w:val="28"/>
          <w:szCs w:val="28"/>
        </w:rPr>
        <w:t>in harnessing the alleged</w:t>
      </w:r>
      <w:r w:rsidR="00B41AF2" w:rsidRPr="00327B3A">
        <w:rPr>
          <w:rFonts w:asciiTheme="majorHAnsi" w:hAnsiTheme="majorHAnsi" w:cstheme="majorHAnsi"/>
          <w:sz w:val="28"/>
          <w:szCs w:val="28"/>
        </w:rPr>
        <w:t>ly</w:t>
      </w:r>
      <w:r w:rsidRPr="00327B3A">
        <w:rPr>
          <w:rFonts w:asciiTheme="majorHAnsi" w:hAnsiTheme="majorHAnsi" w:cstheme="majorHAnsi"/>
          <w:sz w:val="28"/>
          <w:szCs w:val="28"/>
        </w:rPr>
        <w:t xml:space="preserve"> better quality and greater cost-effectiveness of private schools </w:t>
      </w:r>
      <w:r w:rsidR="00B41AF2" w:rsidRPr="00327B3A">
        <w:rPr>
          <w:rFonts w:asciiTheme="majorHAnsi" w:hAnsiTheme="majorHAnsi" w:cstheme="majorHAnsi"/>
          <w:sz w:val="28"/>
          <w:szCs w:val="28"/>
        </w:rPr>
        <w:t xml:space="preserve">while enabling better </w:t>
      </w:r>
      <w:r w:rsidRPr="00327B3A">
        <w:rPr>
          <w:rFonts w:asciiTheme="majorHAnsi" w:hAnsiTheme="majorHAnsi" w:cstheme="majorHAnsi"/>
          <w:sz w:val="28"/>
          <w:szCs w:val="28"/>
        </w:rPr>
        <w:t>access of the poor to secondary education</w:t>
      </w:r>
      <w:r w:rsidR="00B41AF2" w:rsidRPr="00327B3A">
        <w:rPr>
          <w:rFonts w:asciiTheme="majorHAnsi" w:hAnsiTheme="majorHAnsi" w:cstheme="majorHAnsi"/>
          <w:sz w:val="28"/>
          <w:szCs w:val="28"/>
        </w:rPr>
        <w:t xml:space="preserve">. However, </w:t>
      </w:r>
      <w:r w:rsidRPr="00327B3A">
        <w:rPr>
          <w:rFonts w:asciiTheme="majorHAnsi" w:hAnsiTheme="majorHAnsi" w:cstheme="majorHAnsi"/>
          <w:sz w:val="28"/>
          <w:szCs w:val="28"/>
        </w:rPr>
        <w:t xml:space="preserve">considerably more research </w:t>
      </w:r>
      <w:r w:rsidR="00703F2A" w:rsidRPr="00327B3A">
        <w:rPr>
          <w:rFonts w:asciiTheme="majorHAnsi" w:hAnsiTheme="majorHAnsi" w:cstheme="majorHAnsi"/>
          <w:sz w:val="28"/>
          <w:szCs w:val="28"/>
        </w:rPr>
        <w:t xml:space="preserve">is needed </w:t>
      </w:r>
      <w:r w:rsidRPr="00327B3A">
        <w:rPr>
          <w:rFonts w:asciiTheme="majorHAnsi" w:hAnsiTheme="majorHAnsi" w:cstheme="majorHAnsi"/>
          <w:sz w:val="28"/>
          <w:szCs w:val="28"/>
        </w:rPr>
        <w:t xml:space="preserve">before it </w:t>
      </w:r>
      <w:r w:rsidR="004145F5">
        <w:rPr>
          <w:rFonts w:asciiTheme="majorHAnsi" w:hAnsiTheme="majorHAnsi" w:cstheme="majorHAnsi"/>
          <w:sz w:val="28"/>
          <w:szCs w:val="28"/>
        </w:rPr>
        <w:t xml:space="preserve">can be recommended </w:t>
      </w:r>
      <w:r w:rsidRPr="00327B3A">
        <w:rPr>
          <w:rFonts w:asciiTheme="majorHAnsi" w:hAnsiTheme="majorHAnsi" w:cstheme="majorHAnsi"/>
          <w:sz w:val="28"/>
          <w:szCs w:val="28"/>
        </w:rPr>
        <w:t>as</w:t>
      </w:r>
      <w:r w:rsidR="004145F5">
        <w:rPr>
          <w:rFonts w:asciiTheme="majorHAnsi" w:hAnsiTheme="majorHAnsi" w:cstheme="majorHAnsi"/>
          <w:sz w:val="28"/>
          <w:szCs w:val="28"/>
        </w:rPr>
        <w:t xml:space="preserve"> being</w:t>
      </w:r>
      <w:r w:rsidRPr="00327B3A">
        <w:rPr>
          <w:rFonts w:asciiTheme="majorHAnsi" w:hAnsiTheme="majorHAnsi" w:cstheme="majorHAnsi"/>
          <w:sz w:val="28"/>
          <w:szCs w:val="28"/>
        </w:rPr>
        <w:t xml:space="preserve"> an efficient and equitable policy. </w:t>
      </w:r>
      <w:r w:rsidR="00624826" w:rsidRPr="00327B3A">
        <w:rPr>
          <w:rFonts w:asciiTheme="majorHAnsi" w:hAnsiTheme="majorHAnsi" w:cstheme="majorHAnsi"/>
          <w:sz w:val="28"/>
          <w:szCs w:val="28"/>
        </w:rPr>
        <w:t xml:space="preserve">Traditional </w:t>
      </w:r>
      <w:r w:rsidR="00B41AF2" w:rsidRPr="00327B3A">
        <w:rPr>
          <w:rFonts w:asciiTheme="majorHAnsi" w:hAnsiTheme="majorHAnsi" w:cstheme="majorHAnsi"/>
          <w:sz w:val="28"/>
          <w:szCs w:val="28"/>
        </w:rPr>
        <w:t>public-(</w:t>
      </w:r>
      <w:r w:rsidR="00624826" w:rsidRPr="00327B3A">
        <w:rPr>
          <w:rFonts w:asciiTheme="majorHAnsi" w:hAnsiTheme="majorHAnsi" w:cstheme="majorHAnsi"/>
          <w:sz w:val="28"/>
          <w:szCs w:val="28"/>
        </w:rPr>
        <w:t>not-for profit</w:t>
      </w:r>
      <w:r w:rsidR="00B41AF2" w:rsidRPr="00327B3A">
        <w:rPr>
          <w:rFonts w:asciiTheme="majorHAnsi" w:hAnsiTheme="majorHAnsi" w:cstheme="majorHAnsi"/>
          <w:sz w:val="28"/>
          <w:szCs w:val="28"/>
        </w:rPr>
        <w:t>) private</w:t>
      </w:r>
      <w:r w:rsidR="00624826" w:rsidRPr="00327B3A">
        <w:rPr>
          <w:rFonts w:asciiTheme="majorHAnsi" w:hAnsiTheme="majorHAnsi" w:cstheme="majorHAnsi"/>
          <w:sz w:val="28"/>
          <w:szCs w:val="28"/>
        </w:rPr>
        <w:t xml:space="preserve"> partnerships with mainly faith-based/church owned schools are well established in many countries in</w:t>
      </w:r>
      <w:r w:rsidR="004145F5">
        <w:rPr>
          <w:rFonts w:asciiTheme="majorHAnsi" w:hAnsiTheme="majorHAnsi" w:cstheme="majorHAnsi"/>
          <w:sz w:val="28"/>
          <w:szCs w:val="28"/>
        </w:rPr>
        <w:t>cluding DRC</w:t>
      </w:r>
      <w:r w:rsidR="008F5E97" w:rsidRPr="00327B3A">
        <w:rPr>
          <w:rFonts w:asciiTheme="majorHAnsi" w:hAnsiTheme="majorHAnsi" w:cstheme="majorHAnsi"/>
          <w:sz w:val="28"/>
          <w:szCs w:val="28"/>
        </w:rPr>
        <w:t>, Lesotho, Rwanda, Sierra Leone and Uganda.</w:t>
      </w:r>
      <w:r w:rsidRPr="00327B3A">
        <w:rPr>
          <w:rFonts w:asciiTheme="majorHAnsi" w:hAnsiTheme="majorHAnsi" w:cstheme="majorHAnsi"/>
          <w:sz w:val="28"/>
          <w:szCs w:val="28"/>
        </w:rPr>
        <w:t xml:space="preserve"> However, for secondary schooling, it is still the case that much of what </w:t>
      </w:r>
      <w:r w:rsidR="00B41AF2" w:rsidRPr="00327B3A">
        <w:rPr>
          <w:rFonts w:asciiTheme="majorHAnsi" w:hAnsiTheme="majorHAnsi" w:cstheme="majorHAnsi"/>
          <w:sz w:val="28"/>
          <w:szCs w:val="28"/>
        </w:rPr>
        <w:t xml:space="preserve">usually amounts to </w:t>
      </w:r>
      <w:r w:rsidRPr="00327B3A">
        <w:rPr>
          <w:rFonts w:asciiTheme="majorHAnsi" w:hAnsiTheme="majorHAnsi" w:cstheme="majorHAnsi"/>
          <w:sz w:val="28"/>
          <w:szCs w:val="28"/>
        </w:rPr>
        <w:t xml:space="preserve">very sizeable grant funding (mainly for teacher’s salaries) </w:t>
      </w:r>
      <w:r w:rsidR="00B41AF2" w:rsidRPr="00327B3A">
        <w:rPr>
          <w:rFonts w:asciiTheme="majorHAnsi" w:hAnsiTheme="majorHAnsi" w:cstheme="majorHAnsi"/>
          <w:sz w:val="28"/>
          <w:szCs w:val="28"/>
        </w:rPr>
        <w:t xml:space="preserve">disproportionately </w:t>
      </w:r>
      <w:r w:rsidRPr="00327B3A">
        <w:rPr>
          <w:rFonts w:asciiTheme="majorHAnsi" w:hAnsiTheme="majorHAnsi" w:cstheme="majorHAnsi"/>
          <w:sz w:val="28"/>
          <w:szCs w:val="28"/>
        </w:rPr>
        <w:t>benefits children</w:t>
      </w:r>
      <w:r w:rsidR="00443837" w:rsidRPr="00327B3A">
        <w:rPr>
          <w:rFonts w:asciiTheme="majorHAnsi" w:hAnsiTheme="majorHAnsi" w:cstheme="majorHAnsi"/>
          <w:sz w:val="28"/>
          <w:szCs w:val="28"/>
        </w:rPr>
        <w:t xml:space="preserve"> from better-</w:t>
      </w:r>
      <w:r w:rsidR="00B41AF2" w:rsidRPr="00327B3A">
        <w:rPr>
          <w:rFonts w:asciiTheme="majorHAnsi" w:hAnsiTheme="majorHAnsi" w:cstheme="majorHAnsi"/>
          <w:sz w:val="28"/>
          <w:szCs w:val="28"/>
        </w:rPr>
        <w:t xml:space="preserve">off households.  </w:t>
      </w:r>
      <w:r w:rsidRPr="00327B3A">
        <w:rPr>
          <w:rFonts w:asciiTheme="majorHAnsi" w:hAnsiTheme="majorHAnsi" w:cstheme="majorHAnsi"/>
          <w:sz w:val="28"/>
          <w:szCs w:val="28"/>
        </w:rPr>
        <w:t xml:space="preserve"> </w:t>
      </w:r>
    </w:p>
    <w:p w:rsidR="00AE7885" w:rsidRPr="00327B3A" w:rsidRDefault="008717D2" w:rsidP="00CF18E6">
      <w:pPr>
        <w:pStyle w:val="ListParagraph"/>
        <w:numPr>
          <w:ilvl w:val="0"/>
          <w:numId w:val="2"/>
        </w:numPr>
        <w:jc w:val="both"/>
        <w:rPr>
          <w:rFonts w:asciiTheme="majorHAnsi" w:hAnsiTheme="majorHAnsi" w:cstheme="majorHAnsi"/>
          <w:b/>
          <w:i/>
          <w:sz w:val="28"/>
          <w:szCs w:val="28"/>
        </w:rPr>
      </w:pPr>
      <w:r w:rsidRPr="00327B3A">
        <w:rPr>
          <w:rFonts w:asciiTheme="majorHAnsi" w:hAnsiTheme="majorHAnsi" w:cstheme="majorHAnsi"/>
          <w:b/>
          <w:i/>
          <w:sz w:val="28"/>
          <w:szCs w:val="28"/>
        </w:rPr>
        <w:t xml:space="preserve">Developing comprehensive national human </w:t>
      </w:r>
      <w:r w:rsidR="00180B99" w:rsidRPr="00327B3A">
        <w:rPr>
          <w:rFonts w:asciiTheme="majorHAnsi" w:hAnsiTheme="majorHAnsi" w:cstheme="majorHAnsi"/>
          <w:b/>
          <w:i/>
          <w:sz w:val="28"/>
          <w:szCs w:val="28"/>
        </w:rPr>
        <w:t xml:space="preserve">resource </w:t>
      </w:r>
      <w:r w:rsidRPr="00327B3A">
        <w:rPr>
          <w:rFonts w:asciiTheme="majorHAnsi" w:hAnsiTheme="majorHAnsi" w:cstheme="majorHAnsi"/>
          <w:b/>
          <w:i/>
          <w:sz w:val="28"/>
          <w:szCs w:val="28"/>
        </w:rPr>
        <w:t>development strategies</w:t>
      </w:r>
    </w:p>
    <w:p w:rsidR="003F4DA0" w:rsidRPr="00327B3A" w:rsidRDefault="00167777" w:rsidP="00167777">
      <w:pPr>
        <w:jc w:val="both"/>
        <w:rPr>
          <w:rFonts w:asciiTheme="majorHAnsi" w:hAnsiTheme="majorHAnsi" w:cstheme="majorHAnsi"/>
          <w:sz w:val="28"/>
          <w:szCs w:val="28"/>
        </w:rPr>
      </w:pPr>
      <w:r w:rsidRPr="00327B3A">
        <w:rPr>
          <w:rFonts w:asciiTheme="majorHAnsi" w:hAnsiTheme="majorHAnsi" w:cstheme="majorHAnsi"/>
          <w:sz w:val="28"/>
          <w:szCs w:val="28"/>
        </w:rPr>
        <w:t xml:space="preserve">The starting point for the development of a comprehensive strategy for secondary education in SSA is not what </w:t>
      </w:r>
      <w:r w:rsidR="00A96630" w:rsidRPr="00327B3A">
        <w:rPr>
          <w:rFonts w:asciiTheme="majorHAnsi" w:hAnsiTheme="majorHAnsi" w:cstheme="majorHAnsi"/>
          <w:sz w:val="28"/>
          <w:szCs w:val="28"/>
        </w:rPr>
        <w:t xml:space="preserve">general </w:t>
      </w:r>
      <w:r w:rsidRPr="00327B3A">
        <w:rPr>
          <w:rFonts w:asciiTheme="majorHAnsi" w:hAnsiTheme="majorHAnsi" w:cstheme="majorHAnsi"/>
          <w:sz w:val="28"/>
          <w:szCs w:val="28"/>
        </w:rPr>
        <w:t xml:space="preserve">knowledge and skills African youth require for future work but </w:t>
      </w:r>
      <w:r w:rsidR="00A96630" w:rsidRPr="00327B3A">
        <w:rPr>
          <w:rFonts w:asciiTheme="majorHAnsi" w:hAnsiTheme="majorHAnsi" w:cstheme="majorHAnsi"/>
          <w:sz w:val="28"/>
          <w:szCs w:val="28"/>
        </w:rPr>
        <w:t xml:space="preserve">rather identifying the </w:t>
      </w:r>
      <w:r w:rsidRPr="00327B3A">
        <w:rPr>
          <w:rFonts w:asciiTheme="majorHAnsi" w:hAnsiTheme="majorHAnsi" w:cstheme="majorHAnsi"/>
          <w:sz w:val="28"/>
          <w:szCs w:val="28"/>
        </w:rPr>
        <w:t xml:space="preserve">knowledge and skills </w:t>
      </w:r>
      <w:r w:rsidR="00A96630" w:rsidRPr="00327B3A">
        <w:rPr>
          <w:rFonts w:asciiTheme="majorHAnsi" w:hAnsiTheme="majorHAnsi" w:cstheme="majorHAnsi"/>
          <w:sz w:val="28"/>
          <w:szCs w:val="28"/>
        </w:rPr>
        <w:t xml:space="preserve">that </w:t>
      </w:r>
      <w:r w:rsidRPr="00327B3A">
        <w:rPr>
          <w:rFonts w:asciiTheme="majorHAnsi" w:hAnsiTheme="majorHAnsi" w:cstheme="majorHAnsi"/>
          <w:sz w:val="28"/>
          <w:szCs w:val="28"/>
        </w:rPr>
        <w:lastRenderedPageBreak/>
        <w:t xml:space="preserve">are </w:t>
      </w:r>
      <w:r w:rsidR="00A96630" w:rsidRPr="00327B3A">
        <w:rPr>
          <w:rFonts w:asciiTheme="majorHAnsi" w:hAnsiTheme="majorHAnsi" w:cstheme="majorHAnsi"/>
          <w:sz w:val="28"/>
          <w:szCs w:val="28"/>
        </w:rPr>
        <w:t>indispensable in t</w:t>
      </w:r>
      <w:r w:rsidRPr="00327B3A">
        <w:rPr>
          <w:rFonts w:asciiTheme="majorHAnsi" w:hAnsiTheme="majorHAnsi" w:cstheme="majorHAnsi"/>
          <w:sz w:val="28"/>
          <w:szCs w:val="28"/>
        </w:rPr>
        <w:t xml:space="preserve">he short-medium term for </w:t>
      </w:r>
      <w:r w:rsidR="008F13A9" w:rsidRPr="00327B3A">
        <w:rPr>
          <w:rFonts w:asciiTheme="majorHAnsi" w:hAnsiTheme="majorHAnsi" w:cstheme="majorHAnsi"/>
          <w:sz w:val="28"/>
          <w:szCs w:val="28"/>
        </w:rPr>
        <w:t xml:space="preserve">successful </w:t>
      </w:r>
      <w:r w:rsidRPr="00327B3A">
        <w:rPr>
          <w:rFonts w:asciiTheme="majorHAnsi" w:hAnsiTheme="majorHAnsi" w:cstheme="majorHAnsi"/>
          <w:sz w:val="28"/>
          <w:szCs w:val="28"/>
        </w:rPr>
        <w:t>economic transformation</w:t>
      </w:r>
      <w:r w:rsidR="00A96630" w:rsidRPr="00327B3A">
        <w:rPr>
          <w:rFonts w:asciiTheme="majorHAnsi" w:hAnsiTheme="majorHAnsi" w:cstheme="majorHAnsi"/>
          <w:sz w:val="28"/>
          <w:szCs w:val="28"/>
        </w:rPr>
        <w:t xml:space="preserve"> in each country</w:t>
      </w:r>
      <w:r w:rsidRPr="00327B3A">
        <w:rPr>
          <w:rFonts w:asciiTheme="majorHAnsi" w:hAnsiTheme="majorHAnsi" w:cstheme="majorHAnsi"/>
          <w:sz w:val="28"/>
          <w:szCs w:val="28"/>
        </w:rPr>
        <w:t xml:space="preserve">. The fundamental nature </w:t>
      </w:r>
      <w:r w:rsidR="00DC02BA" w:rsidRPr="00327B3A">
        <w:rPr>
          <w:rFonts w:asciiTheme="majorHAnsi" w:hAnsiTheme="majorHAnsi" w:cstheme="majorHAnsi"/>
          <w:sz w:val="28"/>
          <w:szCs w:val="28"/>
        </w:rPr>
        <w:t xml:space="preserve">and key features </w:t>
      </w:r>
      <w:r w:rsidRPr="00327B3A">
        <w:rPr>
          <w:rFonts w:asciiTheme="majorHAnsi" w:hAnsiTheme="majorHAnsi" w:cstheme="majorHAnsi"/>
          <w:sz w:val="28"/>
          <w:szCs w:val="28"/>
        </w:rPr>
        <w:t xml:space="preserve">of this economic transformation </w:t>
      </w:r>
      <w:r w:rsidR="00A96630" w:rsidRPr="00327B3A">
        <w:rPr>
          <w:rFonts w:asciiTheme="majorHAnsi" w:hAnsiTheme="majorHAnsi" w:cstheme="majorHAnsi"/>
          <w:sz w:val="28"/>
          <w:szCs w:val="28"/>
        </w:rPr>
        <w:t>must, therefore,</w:t>
      </w:r>
      <w:r w:rsidRPr="00327B3A">
        <w:rPr>
          <w:rFonts w:asciiTheme="majorHAnsi" w:hAnsiTheme="majorHAnsi" w:cstheme="majorHAnsi"/>
          <w:sz w:val="28"/>
          <w:szCs w:val="28"/>
        </w:rPr>
        <w:t xml:space="preserve"> be </w:t>
      </w:r>
      <w:r w:rsidR="003F452E">
        <w:rPr>
          <w:rFonts w:asciiTheme="majorHAnsi" w:hAnsiTheme="majorHAnsi" w:cstheme="majorHAnsi"/>
          <w:sz w:val="28"/>
          <w:szCs w:val="28"/>
        </w:rPr>
        <w:t xml:space="preserve">thoroughly </w:t>
      </w:r>
      <w:r w:rsidRPr="00327B3A">
        <w:rPr>
          <w:rFonts w:asciiTheme="majorHAnsi" w:hAnsiTheme="majorHAnsi" w:cstheme="majorHAnsi"/>
          <w:sz w:val="28"/>
          <w:szCs w:val="28"/>
        </w:rPr>
        <w:t xml:space="preserve">analysed. As discussed earlier, most governments </w:t>
      </w:r>
      <w:r w:rsidR="00A96630" w:rsidRPr="00327B3A">
        <w:rPr>
          <w:rFonts w:asciiTheme="majorHAnsi" w:hAnsiTheme="majorHAnsi" w:cstheme="majorHAnsi"/>
          <w:sz w:val="28"/>
          <w:szCs w:val="28"/>
        </w:rPr>
        <w:t xml:space="preserve">in SSA </w:t>
      </w:r>
      <w:r w:rsidRPr="00327B3A">
        <w:rPr>
          <w:rFonts w:asciiTheme="majorHAnsi" w:hAnsiTheme="majorHAnsi" w:cstheme="majorHAnsi"/>
          <w:sz w:val="28"/>
          <w:szCs w:val="28"/>
        </w:rPr>
        <w:t>have ado</w:t>
      </w:r>
      <w:r w:rsidR="00A96630" w:rsidRPr="00327B3A">
        <w:rPr>
          <w:rFonts w:asciiTheme="majorHAnsi" w:hAnsiTheme="majorHAnsi" w:cstheme="majorHAnsi"/>
          <w:sz w:val="28"/>
          <w:szCs w:val="28"/>
        </w:rPr>
        <w:t>pted neo-</w:t>
      </w:r>
      <w:r w:rsidRPr="00327B3A">
        <w:rPr>
          <w:rFonts w:asciiTheme="majorHAnsi" w:hAnsiTheme="majorHAnsi" w:cstheme="majorHAnsi"/>
          <w:sz w:val="28"/>
          <w:szCs w:val="28"/>
        </w:rPr>
        <w:t>liberal, capitalist development strategies</w:t>
      </w:r>
      <w:r w:rsidR="00DC02BA" w:rsidRPr="00327B3A">
        <w:rPr>
          <w:rFonts w:asciiTheme="majorHAnsi" w:hAnsiTheme="majorHAnsi" w:cstheme="majorHAnsi"/>
          <w:sz w:val="28"/>
          <w:szCs w:val="28"/>
        </w:rPr>
        <w:t xml:space="preserve">, </w:t>
      </w:r>
      <w:r w:rsidR="00180B99" w:rsidRPr="00327B3A">
        <w:rPr>
          <w:rFonts w:asciiTheme="majorHAnsi" w:hAnsiTheme="majorHAnsi" w:cstheme="majorHAnsi"/>
          <w:sz w:val="28"/>
          <w:szCs w:val="28"/>
        </w:rPr>
        <w:t>the success of which is dependent o</w:t>
      </w:r>
      <w:r w:rsidR="003B77C7" w:rsidRPr="00327B3A">
        <w:rPr>
          <w:rFonts w:asciiTheme="majorHAnsi" w:hAnsiTheme="majorHAnsi" w:cstheme="majorHAnsi"/>
          <w:sz w:val="28"/>
          <w:szCs w:val="28"/>
        </w:rPr>
        <w:t>n</w:t>
      </w:r>
      <w:r w:rsidR="00180B99" w:rsidRPr="00327B3A">
        <w:rPr>
          <w:rFonts w:asciiTheme="majorHAnsi" w:hAnsiTheme="majorHAnsi" w:cstheme="majorHAnsi"/>
          <w:sz w:val="28"/>
          <w:szCs w:val="28"/>
        </w:rPr>
        <w:t xml:space="preserve"> </w:t>
      </w:r>
      <w:r w:rsidR="003B77C7" w:rsidRPr="00327B3A">
        <w:rPr>
          <w:rFonts w:asciiTheme="majorHAnsi" w:hAnsiTheme="majorHAnsi" w:cstheme="majorHAnsi"/>
          <w:sz w:val="28"/>
          <w:szCs w:val="28"/>
        </w:rPr>
        <w:t xml:space="preserve">the </w:t>
      </w:r>
      <w:r w:rsidR="00180B99" w:rsidRPr="00327B3A">
        <w:rPr>
          <w:rFonts w:asciiTheme="majorHAnsi" w:hAnsiTheme="majorHAnsi" w:cstheme="majorHAnsi"/>
          <w:sz w:val="28"/>
          <w:szCs w:val="28"/>
        </w:rPr>
        <w:t>nurturing of an ‘enabling environment’</w:t>
      </w:r>
      <w:r w:rsidR="003B77C7" w:rsidRPr="00327B3A">
        <w:rPr>
          <w:rFonts w:asciiTheme="majorHAnsi" w:hAnsiTheme="majorHAnsi" w:cstheme="majorHAnsi"/>
          <w:sz w:val="28"/>
          <w:szCs w:val="28"/>
        </w:rPr>
        <w:t xml:space="preserve"> for private sector development</w:t>
      </w:r>
      <w:r w:rsidRPr="00327B3A">
        <w:rPr>
          <w:rFonts w:asciiTheme="majorHAnsi" w:hAnsiTheme="majorHAnsi" w:cstheme="majorHAnsi"/>
          <w:sz w:val="28"/>
          <w:szCs w:val="28"/>
        </w:rPr>
        <w:t>.</w:t>
      </w:r>
      <w:r w:rsidR="00180B99" w:rsidRPr="00327B3A">
        <w:rPr>
          <w:rFonts w:asciiTheme="majorHAnsi" w:hAnsiTheme="majorHAnsi" w:cstheme="majorHAnsi"/>
          <w:sz w:val="28"/>
          <w:szCs w:val="28"/>
        </w:rPr>
        <w:t xml:space="preserve"> </w:t>
      </w:r>
    </w:p>
    <w:p w:rsidR="00982B24" w:rsidRPr="00327B3A" w:rsidRDefault="003B77C7" w:rsidP="00167777">
      <w:pPr>
        <w:jc w:val="both"/>
        <w:rPr>
          <w:rFonts w:asciiTheme="majorHAnsi" w:hAnsiTheme="majorHAnsi" w:cstheme="majorHAnsi"/>
          <w:sz w:val="28"/>
          <w:szCs w:val="28"/>
        </w:rPr>
      </w:pPr>
      <w:r w:rsidRPr="00327B3A">
        <w:rPr>
          <w:rFonts w:asciiTheme="majorHAnsi" w:hAnsiTheme="majorHAnsi" w:cstheme="majorHAnsi"/>
          <w:sz w:val="28"/>
          <w:szCs w:val="28"/>
        </w:rPr>
        <w:t>A</w:t>
      </w:r>
      <w:r w:rsidR="00180B99" w:rsidRPr="00327B3A">
        <w:rPr>
          <w:rFonts w:asciiTheme="majorHAnsi" w:hAnsiTheme="majorHAnsi" w:cstheme="majorHAnsi"/>
          <w:sz w:val="28"/>
          <w:szCs w:val="28"/>
        </w:rPr>
        <w:t xml:space="preserve"> coherent, carefully prioritised and properly resourced </w:t>
      </w:r>
      <w:r w:rsidR="008F13A9" w:rsidRPr="00327B3A">
        <w:rPr>
          <w:rFonts w:asciiTheme="majorHAnsi" w:hAnsiTheme="majorHAnsi" w:cstheme="majorHAnsi"/>
          <w:sz w:val="28"/>
          <w:szCs w:val="28"/>
        </w:rPr>
        <w:t xml:space="preserve">national </w:t>
      </w:r>
      <w:r w:rsidR="00180B99" w:rsidRPr="00327B3A">
        <w:rPr>
          <w:rFonts w:asciiTheme="majorHAnsi" w:hAnsiTheme="majorHAnsi" w:cstheme="majorHAnsi"/>
          <w:sz w:val="28"/>
          <w:szCs w:val="28"/>
        </w:rPr>
        <w:t xml:space="preserve">human resources development (HRD) </w:t>
      </w:r>
      <w:r w:rsidR="008F13A9" w:rsidRPr="00327B3A">
        <w:rPr>
          <w:rFonts w:asciiTheme="majorHAnsi" w:hAnsiTheme="majorHAnsi" w:cstheme="majorHAnsi"/>
          <w:sz w:val="28"/>
          <w:szCs w:val="28"/>
        </w:rPr>
        <w:t xml:space="preserve">strategy </w:t>
      </w:r>
      <w:r w:rsidR="00180B99" w:rsidRPr="00327B3A">
        <w:rPr>
          <w:rFonts w:asciiTheme="majorHAnsi" w:hAnsiTheme="majorHAnsi" w:cstheme="majorHAnsi"/>
          <w:sz w:val="28"/>
          <w:szCs w:val="28"/>
        </w:rPr>
        <w:t xml:space="preserve">is a </w:t>
      </w:r>
      <w:r w:rsidR="00A9409C" w:rsidRPr="00327B3A">
        <w:rPr>
          <w:rFonts w:asciiTheme="majorHAnsi" w:hAnsiTheme="majorHAnsi" w:cstheme="majorHAnsi"/>
          <w:sz w:val="28"/>
          <w:szCs w:val="28"/>
        </w:rPr>
        <w:t xml:space="preserve">core </w:t>
      </w:r>
      <w:r w:rsidR="00180B99" w:rsidRPr="00327B3A">
        <w:rPr>
          <w:rFonts w:asciiTheme="majorHAnsi" w:hAnsiTheme="majorHAnsi" w:cstheme="majorHAnsi"/>
          <w:sz w:val="28"/>
          <w:szCs w:val="28"/>
        </w:rPr>
        <w:t>component</w:t>
      </w:r>
      <w:r w:rsidRPr="00327B3A">
        <w:rPr>
          <w:rFonts w:asciiTheme="majorHAnsi" w:hAnsiTheme="majorHAnsi" w:cstheme="majorHAnsi"/>
          <w:sz w:val="28"/>
          <w:szCs w:val="28"/>
        </w:rPr>
        <w:t xml:space="preserve"> of this process</w:t>
      </w:r>
      <w:r w:rsidR="00180B99" w:rsidRPr="00327B3A">
        <w:rPr>
          <w:rFonts w:asciiTheme="majorHAnsi" w:hAnsiTheme="majorHAnsi" w:cstheme="majorHAnsi"/>
          <w:sz w:val="28"/>
          <w:szCs w:val="28"/>
        </w:rPr>
        <w:t>.</w:t>
      </w:r>
      <w:r w:rsidR="003F4DA0" w:rsidRPr="00327B3A">
        <w:rPr>
          <w:rFonts w:asciiTheme="majorHAnsi" w:hAnsiTheme="majorHAnsi" w:cstheme="majorHAnsi"/>
          <w:sz w:val="28"/>
          <w:szCs w:val="28"/>
        </w:rPr>
        <w:t xml:space="preserve"> The poor and, in many countries, declining quality of training for high and middle level management and technical personnel has become a fundamental constraint on the overall economic development in SSA. Too often, quality is sacrificed for quantity as a result of chronic under-resourcing and popular and political pressures to maximise enrolments. </w:t>
      </w:r>
      <w:r w:rsidR="00A8383F" w:rsidRPr="00327B3A">
        <w:rPr>
          <w:rFonts w:asciiTheme="majorHAnsi" w:hAnsiTheme="majorHAnsi" w:cstheme="majorHAnsi"/>
          <w:sz w:val="28"/>
          <w:szCs w:val="28"/>
        </w:rPr>
        <w:t>It is imperative, therefore, that this downward spiral of declining quality and relevance is reversed as quickly as possible.</w:t>
      </w:r>
      <w:r w:rsidR="00295C20" w:rsidRPr="00327B3A">
        <w:rPr>
          <w:rFonts w:asciiTheme="majorHAnsi" w:hAnsiTheme="majorHAnsi" w:cstheme="majorHAnsi"/>
          <w:sz w:val="28"/>
          <w:szCs w:val="28"/>
        </w:rPr>
        <w:t xml:space="preserve"> </w:t>
      </w:r>
    </w:p>
    <w:p w:rsidR="00982B24" w:rsidRPr="00327B3A" w:rsidRDefault="003F4DA0" w:rsidP="00167777">
      <w:pPr>
        <w:jc w:val="both"/>
        <w:rPr>
          <w:rFonts w:asciiTheme="majorHAnsi" w:hAnsiTheme="majorHAnsi" w:cstheme="majorHAnsi"/>
          <w:i/>
          <w:sz w:val="28"/>
          <w:szCs w:val="28"/>
        </w:rPr>
      </w:pPr>
      <w:r w:rsidRPr="00327B3A">
        <w:rPr>
          <w:rFonts w:asciiTheme="majorHAnsi" w:hAnsiTheme="majorHAnsi" w:cstheme="majorHAnsi"/>
          <w:i/>
          <w:sz w:val="28"/>
          <w:szCs w:val="28"/>
        </w:rPr>
        <w:t xml:space="preserve">Nurturing world class entrepreneurial and managerial talent </w:t>
      </w:r>
    </w:p>
    <w:p w:rsidR="00A9409C" w:rsidRPr="00327B3A" w:rsidRDefault="00A96630" w:rsidP="00502ECB">
      <w:pPr>
        <w:jc w:val="both"/>
        <w:rPr>
          <w:rFonts w:asciiTheme="majorHAnsi" w:hAnsiTheme="majorHAnsi" w:cstheme="majorHAnsi"/>
          <w:sz w:val="28"/>
          <w:szCs w:val="28"/>
        </w:rPr>
      </w:pPr>
      <w:r w:rsidRPr="00327B3A">
        <w:rPr>
          <w:rFonts w:asciiTheme="majorHAnsi" w:hAnsiTheme="majorHAnsi" w:cstheme="majorHAnsi"/>
          <w:sz w:val="28"/>
          <w:szCs w:val="28"/>
        </w:rPr>
        <w:t>The current</w:t>
      </w:r>
      <w:r w:rsidR="00A9409C" w:rsidRPr="00327B3A">
        <w:rPr>
          <w:rFonts w:asciiTheme="majorHAnsi" w:hAnsiTheme="majorHAnsi" w:cstheme="majorHAnsi"/>
          <w:sz w:val="28"/>
          <w:szCs w:val="28"/>
        </w:rPr>
        <w:t>,</w:t>
      </w:r>
      <w:r w:rsidRPr="00327B3A">
        <w:rPr>
          <w:rFonts w:asciiTheme="majorHAnsi" w:hAnsiTheme="majorHAnsi" w:cstheme="majorHAnsi"/>
          <w:sz w:val="28"/>
          <w:szCs w:val="28"/>
        </w:rPr>
        <w:t xml:space="preserve"> </w:t>
      </w:r>
      <w:r w:rsidR="00295C20" w:rsidRPr="00327B3A">
        <w:rPr>
          <w:rFonts w:asciiTheme="majorHAnsi" w:hAnsiTheme="majorHAnsi" w:cstheme="majorHAnsi"/>
          <w:sz w:val="28"/>
          <w:szCs w:val="28"/>
        </w:rPr>
        <w:t xml:space="preserve">superordinate HRD priority in SSA </w:t>
      </w:r>
      <w:r w:rsidR="00A9409C" w:rsidRPr="00327B3A">
        <w:rPr>
          <w:rFonts w:asciiTheme="majorHAnsi" w:hAnsiTheme="majorHAnsi" w:cstheme="majorHAnsi"/>
          <w:sz w:val="28"/>
          <w:szCs w:val="28"/>
        </w:rPr>
        <w:t xml:space="preserve">should be </w:t>
      </w:r>
      <w:r w:rsidR="00295C20" w:rsidRPr="00327B3A">
        <w:rPr>
          <w:rFonts w:asciiTheme="majorHAnsi" w:hAnsiTheme="majorHAnsi" w:cstheme="majorHAnsi"/>
          <w:sz w:val="28"/>
          <w:szCs w:val="28"/>
        </w:rPr>
        <w:t xml:space="preserve">to ensure that the </w:t>
      </w:r>
      <w:r w:rsidRPr="00327B3A">
        <w:rPr>
          <w:rFonts w:asciiTheme="majorHAnsi" w:hAnsiTheme="majorHAnsi" w:cstheme="majorHAnsi"/>
          <w:sz w:val="28"/>
          <w:szCs w:val="28"/>
        </w:rPr>
        <w:t>requisite</w:t>
      </w:r>
      <w:r w:rsidR="00295C20" w:rsidRPr="00327B3A">
        <w:rPr>
          <w:rFonts w:asciiTheme="majorHAnsi" w:hAnsiTheme="majorHAnsi" w:cstheme="majorHAnsi"/>
          <w:sz w:val="28"/>
          <w:szCs w:val="28"/>
        </w:rPr>
        <w:t xml:space="preserve"> </w:t>
      </w:r>
      <w:r w:rsidR="003F452E">
        <w:rPr>
          <w:rFonts w:asciiTheme="majorHAnsi" w:hAnsiTheme="majorHAnsi" w:cstheme="majorHAnsi"/>
          <w:sz w:val="28"/>
          <w:szCs w:val="28"/>
        </w:rPr>
        <w:t xml:space="preserve">number of </w:t>
      </w:r>
      <w:r w:rsidR="00295C20" w:rsidRPr="00327B3A">
        <w:rPr>
          <w:rFonts w:asciiTheme="majorHAnsi" w:hAnsiTheme="majorHAnsi" w:cstheme="majorHAnsi"/>
          <w:sz w:val="28"/>
          <w:szCs w:val="28"/>
        </w:rPr>
        <w:t xml:space="preserve">educated and trained individuals are available </w:t>
      </w:r>
      <w:r w:rsidR="003F452E">
        <w:rPr>
          <w:rFonts w:asciiTheme="majorHAnsi" w:hAnsiTheme="majorHAnsi" w:cstheme="majorHAnsi"/>
          <w:sz w:val="28"/>
          <w:szCs w:val="28"/>
        </w:rPr>
        <w:t xml:space="preserve">in order </w:t>
      </w:r>
      <w:r w:rsidR="00295C20" w:rsidRPr="00327B3A">
        <w:rPr>
          <w:rFonts w:asciiTheme="majorHAnsi" w:hAnsiTheme="majorHAnsi" w:cstheme="majorHAnsi"/>
          <w:sz w:val="28"/>
          <w:szCs w:val="28"/>
        </w:rPr>
        <w:t xml:space="preserve">to meet the immediate and short-term </w:t>
      </w:r>
      <w:r w:rsidR="000434D0" w:rsidRPr="00327B3A">
        <w:rPr>
          <w:rFonts w:asciiTheme="majorHAnsi" w:hAnsiTheme="majorHAnsi" w:cstheme="majorHAnsi"/>
          <w:sz w:val="28"/>
          <w:szCs w:val="28"/>
        </w:rPr>
        <w:t xml:space="preserve">occupational and other skill requirements </w:t>
      </w:r>
      <w:r w:rsidR="00295C20" w:rsidRPr="00327B3A">
        <w:rPr>
          <w:rFonts w:asciiTheme="majorHAnsi" w:hAnsiTheme="majorHAnsi" w:cstheme="majorHAnsi"/>
          <w:sz w:val="28"/>
          <w:szCs w:val="28"/>
        </w:rPr>
        <w:t xml:space="preserve">for rapid </w:t>
      </w:r>
      <w:r w:rsidR="000434D0" w:rsidRPr="00327B3A">
        <w:rPr>
          <w:rFonts w:asciiTheme="majorHAnsi" w:hAnsiTheme="majorHAnsi" w:cstheme="majorHAnsi"/>
          <w:sz w:val="28"/>
          <w:szCs w:val="28"/>
        </w:rPr>
        <w:t xml:space="preserve">and sustained </w:t>
      </w:r>
      <w:r w:rsidR="00295C20" w:rsidRPr="00327B3A">
        <w:rPr>
          <w:rFonts w:asciiTheme="majorHAnsi" w:hAnsiTheme="majorHAnsi" w:cstheme="majorHAnsi"/>
          <w:sz w:val="28"/>
          <w:szCs w:val="28"/>
        </w:rPr>
        <w:t xml:space="preserve">economic growth and overall capitalist development. </w:t>
      </w:r>
      <w:r w:rsidR="00982B24" w:rsidRPr="00327B3A">
        <w:rPr>
          <w:rFonts w:asciiTheme="majorHAnsi" w:hAnsiTheme="majorHAnsi" w:cstheme="majorHAnsi"/>
          <w:sz w:val="28"/>
          <w:szCs w:val="28"/>
        </w:rPr>
        <w:t xml:space="preserve">Successful </w:t>
      </w:r>
      <w:r w:rsidR="000434D0" w:rsidRPr="00327B3A">
        <w:rPr>
          <w:rFonts w:asciiTheme="majorHAnsi" w:hAnsiTheme="majorHAnsi" w:cstheme="majorHAnsi"/>
          <w:sz w:val="28"/>
          <w:szCs w:val="28"/>
        </w:rPr>
        <w:t xml:space="preserve">national </w:t>
      </w:r>
      <w:r w:rsidR="00A9409C" w:rsidRPr="00327B3A">
        <w:rPr>
          <w:rFonts w:asciiTheme="majorHAnsi" w:hAnsiTheme="majorHAnsi" w:cstheme="majorHAnsi"/>
          <w:sz w:val="28"/>
          <w:szCs w:val="28"/>
        </w:rPr>
        <w:t>capitalist</w:t>
      </w:r>
      <w:r w:rsidR="000434D0" w:rsidRPr="00327B3A">
        <w:rPr>
          <w:rFonts w:asciiTheme="majorHAnsi" w:hAnsiTheme="majorHAnsi" w:cstheme="majorHAnsi"/>
          <w:sz w:val="28"/>
          <w:szCs w:val="28"/>
        </w:rPr>
        <w:t>/private sector development</w:t>
      </w:r>
      <w:r w:rsidR="00982B24" w:rsidRPr="00327B3A">
        <w:rPr>
          <w:rFonts w:asciiTheme="majorHAnsi" w:hAnsiTheme="majorHAnsi" w:cstheme="majorHAnsi"/>
          <w:sz w:val="28"/>
          <w:szCs w:val="28"/>
        </w:rPr>
        <w:t xml:space="preserve"> </w:t>
      </w:r>
      <w:r w:rsidR="00A9409C" w:rsidRPr="00327B3A">
        <w:rPr>
          <w:rFonts w:asciiTheme="majorHAnsi" w:hAnsiTheme="majorHAnsi" w:cstheme="majorHAnsi"/>
          <w:sz w:val="28"/>
          <w:szCs w:val="28"/>
        </w:rPr>
        <w:t xml:space="preserve">is ultimately dependent on the actions of </w:t>
      </w:r>
      <w:r w:rsidR="00982B24" w:rsidRPr="00327B3A">
        <w:rPr>
          <w:rFonts w:asciiTheme="majorHAnsi" w:hAnsiTheme="majorHAnsi" w:cstheme="majorHAnsi"/>
          <w:sz w:val="28"/>
          <w:szCs w:val="28"/>
        </w:rPr>
        <w:t>a critical mass of world</w:t>
      </w:r>
      <w:r w:rsidR="008F13A9" w:rsidRPr="00327B3A">
        <w:rPr>
          <w:rFonts w:asciiTheme="majorHAnsi" w:hAnsiTheme="majorHAnsi" w:cstheme="majorHAnsi"/>
          <w:sz w:val="28"/>
          <w:szCs w:val="28"/>
        </w:rPr>
        <w:t xml:space="preserve"> class entrepreneurs and </w:t>
      </w:r>
      <w:r w:rsidR="00982B24" w:rsidRPr="00327B3A">
        <w:rPr>
          <w:rFonts w:asciiTheme="majorHAnsi" w:hAnsiTheme="majorHAnsi" w:cstheme="majorHAnsi"/>
          <w:sz w:val="28"/>
          <w:szCs w:val="28"/>
        </w:rPr>
        <w:t xml:space="preserve">corporate managers who can </w:t>
      </w:r>
      <w:r w:rsidR="003F452E">
        <w:rPr>
          <w:rFonts w:asciiTheme="majorHAnsi" w:hAnsiTheme="majorHAnsi" w:cstheme="majorHAnsi"/>
          <w:sz w:val="28"/>
          <w:szCs w:val="28"/>
        </w:rPr>
        <w:t xml:space="preserve">spearhead </w:t>
      </w:r>
      <w:r w:rsidR="00982B24" w:rsidRPr="00327B3A">
        <w:rPr>
          <w:rFonts w:asciiTheme="majorHAnsi" w:hAnsiTheme="majorHAnsi" w:cstheme="majorHAnsi"/>
          <w:sz w:val="28"/>
          <w:szCs w:val="28"/>
        </w:rPr>
        <w:t>the development of strategic ‘catalytic’ industries in the formal sector</w:t>
      </w:r>
      <w:r w:rsidR="008F13A9" w:rsidRPr="00327B3A">
        <w:rPr>
          <w:rFonts w:asciiTheme="majorHAnsi" w:hAnsiTheme="majorHAnsi" w:cstheme="majorHAnsi"/>
          <w:sz w:val="28"/>
          <w:szCs w:val="28"/>
        </w:rPr>
        <w:t xml:space="preserve">. High quality managerial and technical personnel are also essential </w:t>
      </w:r>
      <w:r w:rsidR="00982B24" w:rsidRPr="00327B3A">
        <w:rPr>
          <w:rFonts w:asciiTheme="majorHAnsi" w:hAnsiTheme="majorHAnsi" w:cstheme="majorHAnsi"/>
          <w:sz w:val="28"/>
          <w:szCs w:val="28"/>
        </w:rPr>
        <w:t xml:space="preserve">in </w:t>
      </w:r>
      <w:r w:rsidR="008F13A9" w:rsidRPr="00327B3A">
        <w:rPr>
          <w:rFonts w:asciiTheme="majorHAnsi" w:hAnsiTheme="majorHAnsi" w:cstheme="majorHAnsi"/>
          <w:sz w:val="28"/>
          <w:szCs w:val="28"/>
        </w:rPr>
        <w:t xml:space="preserve">order </w:t>
      </w:r>
      <w:r w:rsidR="003B77C7" w:rsidRPr="00327B3A">
        <w:rPr>
          <w:rFonts w:asciiTheme="majorHAnsi" w:hAnsiTheme="majorHAnsi" w:cstheme="majorHAnsi"/>
          <w:sz w:val="28"/>
          <w:szCs w:val="28"/>
        </w:rPr>
        <w:t xml:space="preserve">to attract substantial, </w:t>
      </w:r>
      <w:r w:rsidR="00982B24" w:rsidRPr="00327B3A">
        <w:rPr>
          <w:rFonts w:asciiTheme="majorHAnsi" w:hAnsiTheme="majorHAnsi" w:cstheme="majorHAnsi"/>
          <w:sz w:val="28"/>
          <w:szCs w:val="28"/>
        </w:rPr>
        <w:t xml:space="preserve">mainly ‘greenfield’ foreign </w:t>
      </w:r>
      <w:r w:rsidR="003B77C7" w:rsidRPr="00327B3A">
        <w:rPr>
          <w:rFonts w:asciiTheme="majorHAnsi" w:hAnsiTheme="majorHAnsi" w:cstheme="majorHAnsi"/>
          <w:sz w:val="28"/>
          <w:szCs w:val="28"/>
        </w:rPr>
        <w:t xml:space="preserve">direct </w:t>
      </w:r>
      <w:r w:rsidR="00982B24" w:rsidRPr="00327B3A">
        <w:rPr>
          <w:rFonts w:asciiTheme="majorHAnsi" w:hAnsiTheme="majorHAnsi" w:cstheme="majorHAnsi"/>
          <w:sz w:val="28"/>
          <w:szCs w:val="28"/>
        </w:rPr>
        <w:t>investment.</w:t>
      </w:r>
      <w:r w:rsidR="00A9409C" w:rsidRPr="00327B3A">
        <w:rPr>
          <w:rFonts w:asciiTheme="majorHAnsi" w:hAnsiTheme="majorHAnsi" w:cstheme="majorHAnsi"/>
          <w:sz w:val="28"/>
          <w:szCs w:val="28"/>
        </w:rPr>
        <w:t xml:space="preserve"> T</w:t>
      </w:r>
      <w:r w:rsidR="000434D0" w:rsidRPr="00327B3A">
        <w:rPr>
          <w:rFonts w:asciiTheme="majorHAnsi" w:hAnsiTheme="majorHAnsi" w:cstheme="majorHAnsi"/>
          <w:sz w:val="28"/>
          <w:szCs w:val="28"/>
        </w:rPr>
        <w:t xml:space="preserve">his </w:t>
      </w:r>
      <w:r w:rsidR="00295C20" w:rsidRPr="00327B3A">
        <w:rPr>
          <w:rFonts w:asciiTheme="majorHAnsi" w:hAnsiTheme="majorHAnsi" w:cstheme="majorHAnsi"/>
          <w:sz w:val="28"/>
          <w:szCs w:val="28"/>
        </w:rPr>
        <w:t xml:space="preserve">national </w:t>
      </w:r>
      <w:r w:rsidR="000434D0" w:rsidRPr="00327B3A">
        <w:rPr>
          <w:rFonts w:asciiTheme="majorHAnsi" w:hAnsiTheme="majorHAnsi" w:cstheme="majorHAnsi"/>
          <w:sz w:val="28"/>
          <w:szCs w:val="28"/>
        </w:rPr>
        <w:t xml:space="preserve">business </w:t>
      </w:r>
      <w:r w:rsidR="00295C20" w:rsidRPr="00327B3A">
        <w:rPr>
          <w:rFonts w:asciiTheme="majorHAnsi" w:hAnsiTheme="majorHAnsi" w:cstheme="majorHAnsi"/>
          <w:sz w:val="28"/>
          <w:szCs w:val="28"/>
        </w:rPr>
        <w:t xml:space="preserve">class is developing </w:t>
      </w:r>
      <w:r w:rsidR="000434D0" w:rsidRPr="00327B3A">
        <w:rPr>
          <w:rFonts w:asciiTheme="majorHAnsi" w:hAnsiTheme="majorHAnsi" w:cstheme="majorHAnsi"/>
          <w:sz w:val="28"/>
          <w:szCs w:val="28"/>
        </w:rPr>
        <w:t xml:space="preserve">quite strongly </w:t>
      </w:r>
      <w:r w:rsidR="00295C20" w:rsidRPr="00327B3A">
        <w:rPr>
          <w:rFonts w:asciiTheme="majorHAnsi" w:hAnsiTheme="majorHAnsi" w:cstheme="majorHAnsi"/>
          <w:sz w:val="28"/>
          <w:szCs w:val="28"/>
        </w:rPr>
        <w:t>in some countries</w:t>
      </w:r>
      <w:r w:rsidR="00A9409C" w:rsidRPr="00327B3A">
        <w:rPr>
          <w:rFonts w:asciiTheme="majorHAnsi" w:hAnsiTheme="majorHAnsi" w:cstheme="majorHAnsi"/>
          <w:sz w:val="28"/>
          <w:szCs w:val="28"/>
        </w:rPr>
        <w:t xml:space="preserve"> in SSA</w:t>
      </w:r>
      <w:r w:rsidR="00295C20" w:rsidRPr="00327B3A">
        <w:rPr>
          <w:rFonts w:asciiTheme="majorHAnsi" w:hAnsiTheme="majorHAnsi" w:cstheme="majorHAnsi"/>
          <w:sz w:val="28"/>
          <w:szCs w:val="28"/>
        </w:rPr>
        <w:t xml:space="preserve"> </w:t>
      </w:r>
      <w:r w:rsidR="000434D0" w:rsidRPr="00327B3A">
        <w:rPr>
          <w:rFonts w:asciiTheme="majorHAnsi" w:hAnsiTheme="majorHAnsi" w:cstheme="majorHAnsi"/>
          <w:sz w:val="28"/>
          <w:szCs w:val="28"/>
        </w:rPr>
        <w:t>(</w:t>
      </w:r>
      <w:r w:rsidR="00295C20" w:rsidRPr="00327B3A">
        <w:rPr>
          <w:rFonts w:asciiTheme="majorHAnsi" w:hAnsiTheme="majorHAnsi" w:cstheme="majorHAnsi"/>
          <w:sz w:val="28"/>
          <w:szCs w:val="28"/>
        </w:rPr>
        <w:t xml:space="preserve">such as </w:t>
      </w:r>
      <w:r w:rsidR="000434D0" w:rsidRPr="00327B3A">
        <w:rPr>
          <w:rFonts w:asciiTheme="majorHAnsi" w:hAnsiTheme="majorHAnsi" w:cstheme="majorHAnsi"/>
          <w:sz w:val="28"/>
          <w:szCs w:val="28"/>
        </w:rPr>
        <w:t>Ghana, Kenya, and Nigeria)</w:t>
      </w:r>
      <w:r w:rsidR="00A9409C" w:rsidRPr="00327B3A">
        <w:rPr>
          <w:rFonts w:asciiTheme="majorHAnsi" w:hAnsiTheme="majorHAnsi" w:cstheme="majorHAnsi"/>
          <w:sz w:val="28"/>
          <w:szCs w:val="28"/>
        </w:rPr>
        <w:t xml:space="preserve">. However, </w:t>
      </w:r>
      <w:r w:rsidR="000434D0" w:rsidRPr="00327B3A">
        <w:rPr>
          <w:rFonts w:asciiTheme="majorHAnsi" w:hAnsiTheme="majorHAnsi" w:cstheme="majorHAnsi"/>
          <w:sz w:val="28"/>
          <w:szCs w:val="28"/>
        </w:rPr>
        <w:t xml:space="preserve">it remains </w:t>
      </w:r>
      <w:r w:rsidR="00A9409C" w:rsidRPr="00327B3A">
        <w:rPr>
          <w:rFonts w:asciiTheme="majorHAnsi" w:hAnsiTheme="majorHAnsi" w:cstheme="majorHAnsi"/>
          <w:sz w:val="28"/>
          <w:szCs w:val="28"/>
        </w:rPr>
        <w:t xml:space="preserve">quite </w:t>
      </w:r>
      <w:r w:rsidR="000434D0" w:rsidRPr="00327B3A">
        <w:rPr>
          <w:rFonts w:asciiTheme="majorHAnsi" w:hAnsiTheme="majorHAnsi" w:cstheme="majorHAnsi"/>
          <w:sz w:val="28"/>
          <w:szCs w:val="28"/>
        </w:rPr>
        <w:t xml:space="preserve">underdeveloped in </w:t>
      </w:r>
      <w:r w:rsidR="00A9409C" w:rsidRPr="00327B3A">
        <w:rPr>
          <w:rFonts w:asciiTheme="majorHAnsi" w:hAnsiTheme="majorHAnsi" w:cstheme="majorHAnsi"/>
          <w:sz w:val="28"/>
          <w:szCs w:val="28"/>
        </w:rPr>
        <w:t>the majority of countries</w:t>
      </w:r>
      <w:r w:rsidR="003F452E">
        <w:rPr>
          <w:rFonts w:asciiTheme="majorHAnsi" w:hAnsiTheme="majorHAnsi" w:cstheme="majorHAnsi"/>
          <w:sz w:val="28"/>
          <w:szCs w:val="28"/>
        </w:rPr>
        <w:t xml:space="preserve"> in SSA</w:t>
      </w:r>
      <w:r w:rsidR="000434D0" w:rsidRPr="00327B3A">
        <w:rPr>
          <w:rFonts w:asciiTheme="majorHAnsi" w:hAnsiTheme="majorHAnsi" w:cstheme="majorHAnsi"/>
          <w:sz w:val="28"/>
          <w:szCs w:val="28"/>
        </w:rPr>
        <w:t xml:space="preserve">. </w:t>
      </w:r>
    </w:p>
    <w:p w:rsidR="007A019D" w:rsidRPr="00327B3A" w:rsidRDefault="000434D0" w:rsidP="00502ECB">
      <w:pPr>
        <w:jc w:val="both"/>
        <w:rPr>
          <w:rFonts w:asciiTheme="majorHAnsi" w:hAnsiTheme="majorHAnsi" w:cstheme="majorHAnsi"/>
          <w:sz w:val="28"/>
          <w:szCs w:val="28"/>
        </w:rPr>
      </w:pPr>
      <w:r w:rsidRPr="00327B3A">
        <w:rPr>
          <w:rFonts w:asciiTheme="majorHAnsi" w:hAnsiTheme="majorHAnsi" w:cstheme="majorHAnsi"/>
          <w:sz w:val="28"/>
          <w:szCs w:val="28"/>
        </w:rPr>
        <w:t xml:space="preserve">Just what role education and training should play in the rapid nurturing of this business elite is far from straightforward. </w:t>
      </w:r>
      <w:r w:rsidR="00130304" w:rsidRPr="00327B3A">
        <w:rPr>
          <w:rFonts w:asciiTheme="majorHAnsi" w:hAnsiTheme="majorHAnsi" w:cstheme="majorHAnsi"/>
          <w:sz w:val="28"/>
          <w:szCs w:val="28"/>
        </w:rPr>
        <w:t xml:space="preserve">However, the carefully targeted provision of world class management and management-related training (in particular finance) </w:t>
      </w:r>
      <w:r w:rsidR="00E7180B" w:rsidRPr="00327B3A">
        <w:rPr>
          <w:rFonts w:asciiTheme="majorHAnsi" w:hAnsiTheme="majorHAnsi" w:cstheme="majorHAnsi"/>
          <w:sz w:val="28"/>
          <w:szCs w:val="28"/>
        </w:rPr>
        <w:t xml:space="preserve">should be </w:t>
      </w:r>
      <w:r w:rsidR="003F452E">
        <w:rPr>
          <w:rFonts w:asciiTheme="majorHAnsi" w:hAnsiTheme="majorHAnsi" w:cstheme="majorHAnsi"/>
          <w:sz w:val="28"/>
          <w:szCs w:val="28"/>
        </w:rPr>
        <w:t xml:space="preserve">a </w:t>
      </w:r>
      <w:r w:rsidR="003B77C7" w:rsidRPr="00327B3A">
        <w:rPr>
          <w:rFonts w:asciiTheme="majorHAnsi" w:hAnsiTheme="majorHAnsi" w:cstheme="majorHAnsi"/>
          <w:sz w:val="28"/>
          <w:szCs w:val="28"/>
        </w:rPr>
        <w:t>top priority</w:t>
      </w:r>
      <w:r w:rsidR="00130304" w:rsidRPr="00327B3A">
        <w:rPr>
          <w:rFonts w:asciiTheme="majorHAnsi" w:hAnsiTheme="majorHAnsi" w:cstheme="majorHAnsi"/>
          <w:sz w:val="28"/>
          <w:szCs w:val="28"/>
        </w:rPr>
        <w:t xml:space="preserve">. Where this training is not immediately </w:t>
      </w:r>
      <w:r w:rsidR="00130304" w:rsidRPr="00327B3A">
        <w:rPr>
          <w:rFonts w:asciiTheme="majorHAnsi" w:hAnsiTheme="majorHAnsi" w:cstheme="majorHAnsi"/>
          <w:sz w:val="28"/>
          <w:szCs w:val="28"/>
        </w:rPr>
        <w:lastRenderedPageBreak/>
        <w:t>available locally (which is likely to be the case in most countries), talented individuals should be sent for training overseas</w:t>
      </w:r>
      <w:r w:rsidR="00130304" w:rsidRPr="00327B3A">
        <w:rPr>
          <w:rStyle w:val="FootnoteReference"/>
          <w:rFonts w:asciiTheme="majorHAnsi" w:hAnsiTheme="majorHAnsi" w:cstheme="majorHAnsi"/>
          <w:sz w:val="28"/>
          <w:szCs w:val="28"/>
        </w:rPr>
        <w:footnoteReference w:id="21"/>
      </w:r>
      <w:r w:rsidR="00130304" w:rsidRPr="00327B3A">
        <w:rPr>
          <w:rFonts w:asciiTheme="majorHAnsi" w:hAnsiTheme="majorHAnsi" w:cstheme="majorHAnsi"/>
          <w:sz w:val="28"/>
          <w:szCs w:val="28"/>
        </w:rPr>
        <w:t xml:space="preserve">. </w:t>
      </w:r>
    </w:p>
    <w:p w:rsidR="003F4DA0" w:rsidRPr="00327B3A" w:rsidRDefault="003F4DA0" w:rsidP="00502ECB">
      <w:pPr>
        <w:jc w:val="both"/>
        <w:rPr>
          <w:rFonts w:asciiTheme="majorHAnsi" w:hAnsiTheme="majorHAnsi" w:cstheme="majorHAnsi"/>
          <w:i/>
          <w:sz w:val="28"/>
          <w:szCs w:val="28"/>
        </w:rPr>
      </w:pPr>
      <w:r w:rsidRPr="00327B3A">
        <w:rPr>
          <w:rFonts w:asciiTheme="majorHAnsi" w:hAnsiTheme="majorHAnsi" w:cstheme="majorHAnsi"/>
          <w:i/>
          <w:sz w:val="28"/>
          <w:szCs w:val="28"/>
        </w:rPr>
        <w:t xml:space="preserve">High and middle level managerial and technical personnel </w:t>
      </w:r>
    </w:p>
    <w:p w:rsidR="004D5B4F" w:rsidRPr="00327B3A" w:rsidRDefault="00130304" w:rsidP="004D5B4F">
      <w:pPr>
        <w:jc w:val="both"/>
        <w:rPr>
          <w:rFonts w:asciiTheme="majorHAnsi" w:hAnsiTheme="majorHAnsi" w:cstheme="majorHAnsi"/>
          <w:sz w:val="28"/>
          <w:szCs w:val="28"/>
        </w:rPr>
      </w:pPr>
      <w:r w:rsidRPr="00327B3A">
        <w:rPr>
          <w:rFonts w:asciiTheme="majorHAnsi" w:hAnsiTheme="majorHAnsi" w:cstheme="majorHAnsi"/>
          <w:sz w:val="28"/>
          <w:szCs w:val="28"/>
        </w:rPr>
        <w:t>I</w:t>
      </w:r>
      <w:r w:rsidR="00502ECB" w:rsidRPr="00327B3A">
        <w:rPr>
          <w:rFonts w:asciiTheme="majorHAnsi" w:hAnsiTheme="majorHAnsi" w:cstheme="majorHAnsi"/>
          <w:sz w:val="28"/>
          <w:szCs w:val="28"/>
        </w:rPr>
        <w:t>n addition to this</w:t>
      </w:r>
      <w:r w:rsidRPr="00327B3A">
        <w:rPr>
          <w:rFonts w:asciiTheme="majorHAnsi" w:hAnsiTheme="majorHAnsi" w:cstheme="majorHAnsi"/>
          <w:sz w:val="28"/>
          <w:szCs w:val="28"/>
        </w:rPr>
        <w:t xml:space="preserve"> national cadre of top entrepreneur</w:t>
      </w:r>
      <w:r w:rsidR="00DB1D00" w:rsidRPr="00327B3A">
        <w:rPr>
          <w:rFonts w:asciiTheme="majorHAnsi" w:hAnsiTheme="majorHAnsi" w:cstheme="majorHAnsi"/>
          <w:sz w:val="28"/>
          <w:szCs w:val="28"/>
        </w:rPr>
        <w:t>s and senior managers, other essential</w:t>
      </w:r>
      <w:r w:rsidRPr="00327B3A">
        <w:rPr>
          <w:rFonts w:asciiTheme="majorHAnsi" w:hAnsiTheme="majorHAnsi" w:cstheme="majorHAnsi"/>
          <w:sz w:val="28"/>
          <w:szCs w:val="28"/>
        </w:rPr>
        <w:t xml:space="preserve"> managerial and technical personnel need to be trained, again to world class standards.</w:t>
      </w:r>
      <w:r w:rsidR="00502ECB" w:rsidRPr="00327B3A">
        <w:rPr>
          <w:rFonts w:asciiTheme="majorHAnsi" w:hAnsiTheme="majorHAnsi" w:cstheme="majorHAnsi"/>
          <w:sz w:val="28"/>
          <w:szCs w:val="28"/>
        </w:rPr>
        <w:t xml:space="preserve"> These personnel are </w:t>
      </w:r>
      <w:r w:rsidR="008F1EB6" w:rsidRPr="00327B3A">
        <w:rPr>
          <w:rFonts w:asciiTheme="majorHAnsi" w:hAnsiTheme="majorHAnsi" w:cstheme="majorHAnsi"/>
          <w:sz w:val="28"/>
          <w:szCs w:val="28"/>
        </w:rPr>
        <w:t xml:space="preserve">essential </w:t>
      </w:r>
      <w:r w:rsidR="00502ECB" w:rsidRPr="00327B3A">
        <w:rPr>
          <w:rFonts w:asciiTheme="majorHAnsi" w:hAnsiTheme="majorHAnsi" w:cstheme="majorHAnsi"/>
          <w:sz w:val="28"/>
          <w:szCs w:val="28"/>
        </w:rPr>
        <w:t xml:space="preserve">not just for private sector development but also </w:t>
      </w:r>
      <w:r w:rsidR="003F452E">
        <w:rPr>
          <w:rFonts w:asciiTheme="majorHAnsi" w:hAnsiTheme="majorHAnsi" w:cstheme="majorHAnsi"/>
          <w:sz w:val="28"/>
          <w:szCs w:val="28"/>
        </w:rPr>
        <w:t xml:space="preserve">in order </w:t>
      </w:r>
      <w:r w:rsidR="00502ECB" w:rsidRPr="00327B3A">
        <w:rPr>
          <w:rFonts w:asciiTheme="majorHAnsi" w:hAnsiTheme="majorHAnsi" w:cstheme="majorHAnsi"/>
          <w:sz w:val="28"/>
          <w:szCs w:val="28"/>
        </w:rPr>
        <w:t xml:space="preserve">to improve significantly the quality of public services right across the board.  </w:t>
      </w:r>
      <w:r w:rsidR="004D5B4F" w:rsidRPr="00327B3A">
        <w:rPr>
          <w:rFonts w:asciiTheme="majorHAnsi" w:hAnsiTheme="majorHAnsi" w:cstheme="majorHAnsi"/>
          <w:sz w:val="28"/>
          <w:szCs w:val="28"/>
        </w:rPr>
        <w:t xml:space="preserve">National capacity to provide the required world class training for this </w:t>
      </w:r>
      <w:r w:rsidR="003F4DA0" w:rsidRPr="00327B3A">
        <w:rPr>
          <w:rFonts w:asciiTheme="majorHAnsi" w:hAnsiTheme="majorHAnsi" w:cstheme="majorHAnsi"/>
          <w:sz w:val="28"/>
          <w:szCs w:val="28"/>
        </w:rPr>
        <w:t xml:space="preserve">group of personnel </w:t>
      </w:r>
      <w:r w:rsidR="00F86B3E" w:rsidRPr="00327B3A">
        <w:rPr>
          <w:rFonts w:asciiTheme="majorHAnsi" w:hAnsiTheme="majorHAnsi" w:cstheme="majorHAnsi"/>
          <w:sz w:val="28"/>
          <w:szCs w:val="28"/>
        </w:rPr>
        <w:t>should b</w:t>
      </w:r>
      <w:r w:rsidR="004D5B4F" w:rsidRPr="00327B3A">
        <w:rPr>
          <w:rFonts w:asciiTheme="majorHAnsi" w:hAnsiTheme="majorHAnsi" w:cstheme="majorHAnsi"/>
          <w:sz w:val="28"/>
          <w:szCs w:val="28"/>
        </w:rPr>
        <w:t xml:space="preserve">e developed as a matter top priority. Very high levels of external assistance </w:t>
      </w:r>
      <w:r w:rsidR="007A019D" w:rsidRPr="00327B3A">
        <w:rPr>
          <w:rFonts w:asciiTheme="majorHAnsi" w:hAnsiTheme="majorHAnsi" w:cstheme="majorHAnsi"/>
          <w:sz w:val="28"/>
          <w:szCs w:val="28"/>
        </w:rPr>
        <w:t xml:space="preserve">will be </w:t>
      </w:r>
      <w:r w:rsidR="003F452E">
        <w:rPr>
          <w:rFonts w:asciiTheme="majorHAnsi" w:hAnsiTheme="majorHAnsi" w:cstheme="majorHAnsi"/>
          <w:sz w:val="28"/>
          <w:szCs w:val="28"/>
        </w:rPr>
        <w:t xml:space="preserve">almost certainly be needed in most countries. </w:t>
      </w:r>
      <w:r w:rsidR="007A019D" w:rsidRPr="00327B3A">
        <w:rPr>
          <w:rFonts w:asciiTheme="majorHAnsi" w:hAnsiTheme="majorHAnsi" w:cstheme="majorHAnsi"/>
          <w:sz w:val="28"/>
          <w:szCs w:val="28"/>
        </w:rPr>
        <w:t>Regional provision is the only viable option for small and even medium sized countries especially for more specialis</w:t>
      </w:r>
      <w:r w:rsidR="00F86B3E" w:rsidRPr="00327B3A">
        <w:rPr>
          <w:rFonts w:asciiTheme="majorHAnsi" w:hAnsiTheme="majorHAnsi" w:cstheme="majorHAnsi"/>
          <w:sz w:val="28"/>
          <w:szCs w:val="28"/>
        </w:rPr>
        <w:t xml:space="preserve">t occupations and skills. </w:t>
      </w:r>
      <w:r w:rsidR="004D5B4F" w:rsidRPr="00327B3A">
        <w:rPr>
          <w:rFonts w:asciiTheme="majorHAnsi" w:hAnsiTheme="majorHAnsi" w:cstheme="majorHAnsi"/>
          <w:sz w:val="28"/>
          <w:szCs w:val="28"/>
        </w:rPr>
        <w:t xml:space="preserve"> </w:t>
      </w:r>
    </w:p>
    <w:p w:rsidR="00D67E19" w:rsidRPr="00327B3A" w:rsidRDefault="00DB1D00" w:rsidP="007A019D">
      <w:pPr>
        <w:jc w:val="both"/>
        <w:rPr>
          <w:rFonts w:asciiTheme="majorHAnsi" w:hAnsiTheme="majorHAnsi" w:cstheme="majorHAnsi"/>
          <w:sz w:val="28"/>
          <w:szCs w:val="28"/>
        </w:rPr>
      </w:pPr>
      <w:r w:rsidRPr="00327B3A">
        <w:rPr>
          <w:rFonts w:asciiTheme="majorHAnsi" w:hAnsiTheme="majorHAnsi" w:cstheme="majorHAnsi"/>
          <w:sz w:val="28"/>
          <w:szCs w:val="28"/>
        </w:rPr>
        <w:t>S</w:t>
      </w:r>
      <w:r w:rsidR="009F2179" w:rsidRPr="00327B3A">
        <w:rPr>
          <w:rFonts w:asciiTheme="majorHAnsi" w:hAnsiTheme="majorHAnsi" w:cstheme="majorHAnsi"/>
          <w:sz w:val="28"/>
          <w:szCs w:val="28"/>
        </w:rPr>
        <w:t>uccessfully implementing this proposed HRD strategy</w:t>
      </w:r>
      <w:r w:rsidRPr="00327B3A">
        <w:rPr>
          <w:rFonts w:asciiTheme="majorHAnsi" w:hAnsiTheme="majorHAnsi" w:cstheme="majorHAnsi"/>
          <w:sz w:val="28"/>
          <w:szCs w:val="28"/>
        </w:rPr>
        <w:t xml:space="preserve"> requires the </w:t>
      </w:r>
      <w:r w:rsidR="007A019D" w:rsidRPr="00327B3A">
        <w:rPr>
          <w:rFonts w:asciiTheme="majorHAnsi" w:hAnsiTheme="majorHAnsi" w:cstheme="majorHAnsi"/>
          <w:sz w:val="28"/>
          <w:szCs w:val="28"/>
        </w:rPr>
        <w:t xml:space="preserve">ruthless prioritising of </w:t>
      </w:r>
      <w:r w:rsidR="00F86B3E" w:rsidRPr="00327B3A">
        <w:rPr>
          <w:rFonts w:asciiTheme="majorHAnsi" w:hAnsiTheme="majorHAnsi" w:cstheme="majorHAnsi"/>
          <w:sz w:val="28"/>
          <w:szCs w:val="28"/>
        </w:rPr>
        <w:t xml:space="preserve">the </w:t>
      </w:r>
      <w:r w:rsidR="009F2179" w:rsidRPr="00327B3A">
        <w:rPr>
          <w:rFonts w:asciiTheme="majorHAnsi" w:hAnsiTheme="majorHAnsi" w:cstheme="majorHAnsi"/>
          <w:sz w:val="28"/>
          <w:szCs w:val="28"/>
        </w:rPr>
        <w:t>education and training needs of</w:t>
      </w:r>
      <w:r w:rsidR="007A019D" w:rsidRPr="00327B3A">
        <w:rPr>
          <w:rFonts w:asciiTheme="majorHAnsi" w:hAnsiTheme="majorHAnsi" w:cstheme="majorHAnsi"/>
          <w:sz w:val="28"/>
          <w:szCs w:val="28"/>
        </w:rPr>
        <w:t xml:space="preserve"> the key growth sectors. </w:t>
      </w:r>
      <w:r w:rsidR="009F2179" w:rsidRPr="00327B3A">
        <w:rPr>
          <w:rFonts w:asciiTheme="majorHAnsi" w:hAnsiTheme="majorHAnsi" w:cstheme="majorHAnsi"/>
          <w:sz w:val="28"/>
          <w:szCs w:val="28"/>
        </w:rPr>
        <w:t xml:space="preserve">In most countries, training provision for these key sectors remains seriously inadequate as is evidenced by </w:t>
      </w:r>
      <w:r w:rsidR="00F86B3E" w:rsidRPr="00327B3A">
        <w:rPr>
          <w:rFonts w:asciiTheme="majorHAnsi" w:hAnsiTheme="majorHAnsi" w:cstheme="majorHAnsi"/>
          <w:sz w:val="28"/>
          <w:szCs w:val="28"/>
        </w:rPr>
        <w:t xml:space="preserve">the </w:t>
      </w:r>
      <w:r w:rsidR="009F2179" w:rsidRPr="00327B3A">
        <w:rPr>
          <w:rFonts w:asciiTheme="majorHAnsi" w:hAnsiTheme="majorHAnsi" w:cstheme="majorHAnsi"/>
          <w:sz w:val="28"/>
          <w:szCs w:val="28"/>
        </w:rPr>
        <w:t>continued heavy dependence on expatriate workers</w:t>
      </w:r>
      <w:r w:rsidR="009F2179" w:rsidRPr="00327B3A">
        <w:rPr>
          <w:rStyle w:val="FootnoteReference"/>
          <w:rFonts w:asciiTheme="majorHAnsi" w:hAnsiTheme="majorHAnsi" w:cstheme="majorHAnsi"/>
          <w:sz w:val="28"/>
          <w:szCs w:val="28"/>
        </w:rPr>
        <w:footnoteReference w:id="22"/>
      </w:r>
      <w:r w:rsidR="009F2179" w:rsidRPr="00327B3A">
        <w:rPr>
          <w:rFonts w:asciiTheme="majorHAnsi" w:hAnsiTheme="majorHAnsi" w:cstheme="majorHAnsi"/>
          <w:sz w:val="28"/>
          <w:szCs w:val="28"/>
        </w:rPr>
        <w:t xml:space="preserve">. Unlike in the past, there </w:t>
      </w:r>
      <w:r w:rsidR="008F1EB6" w:rsidRPr="00327B3A">
        <w:rPr>
          <w:rFonts w:asciiTheme="majorHAnsi" w:hAnsiTheme="majorHAnsi" w:cstheme="majorHAnsi"/>
          <w:sz w:val="28"/>
          <w:szCs w:val="28"/>
        </w:rPr>
        <w:t xml:space="preserve">should be </w:t>
      </w:r>
      <w:r w:rsidR="009F2179" w:rsidRPr="00327B3A">
        <w:rPr>
          <w:rFonts w:asciiTheme="majorHAnsi" w:hAnsiTheme="majorHAnsi" w:cstheme="majorHAnsi"/>
          <w:sz w:val="28"/>
          <w:szCs w:val="28"/>
        </w:rPr>
        <w:t>n</w:t>
      </w:r>
      <w:r w:rsidR="007A019D" w:rsidRPr="00327B3A">
        <w:rPr>
          <w:rFonts w:asciiTheme="majorHAnsi" w:hAnsiTheme="majorHAnsi" w:cstheme="majorHAnsi"/>
          <w:sz w:val="28"/>
          <w:szCs w:val="28"/>
        </w:rPr>
        <w:t xml:space="preserve">o compromising on quality and </w:t>
      </w:r>
      <w:r w:rsidR="00F86B3E" w:rsidRPr="00327B3A">
        <w:rPr>
          <w:rFonts w:asciiTheme="majorHAnsi" w:hAnsiTheme="majorHAnsi" w:cstheme="majorHAnsi"/>
          <w:sz w:val="28"/>
          <w:szCs w:val="28"/>
        </w:rPr>
        <w:t xml:space="preserve">training </w:t>
      </w:r>
      <w:r w:rsidR="007A019D" w:rsidRPr="00327B3A">
        <w:rPr>
          <w:rFonts w:asciiTheme="majorHAnsi" w:hAnsiTheme="majorHAnsi" w:cstheme="majorHAnsi"/>
          <w:sz w:val="28"/>
          <w:szCs w:val="28"/>
        </w:rPr>
        <w:t xml:space="preserve">outputs </w:t>
      </w:r>
      <w:r w:rsidR="009F2179" w:rsidRPr="00327B3A">
        <w:rPr>
          <w:rFonts w:asciiTheme="majorHAnsi" w:hAnsiTheme="majorHAnsi" w:cstheme="majorHAnsi"/>
          <w:sz w:val="28"/>
          <w:szCs w:val="28"/>
        </w:rPr>
        <w:t xml:space="preserve">must be </w:t>
      </w:r>
      <w:r w:rsidR="007A019D" w:rsidRPr="00327B3A">
        <w:rPr>
          <w:rFonts w:asciiTheme="majorHAnsi" w:hAnsiTheme="majorHAnsi" w:cstheme="majorHAnsi"/>
          <w:sz w:val="28"/>
          <w:szCs w:val="28"/>
        </w:rPr>
        <w:t xml:space="preserve">strictly related to </w:t>
      </w:r>
      <w:r w:rsidR="00F86B3E" w:rsidRPr="00327B3A">
        <w:rPr>
          <w:rFonts w:asciiTheme="majorHAnsi" w:hAnsiTheme="majorHAnsi" w:cstheme="majorHAnsi"/>
          <w:sz w:val="28"/>
          <w:szCs w:val="28"/>
        </w:rPr>
        <w:t xml:space="preserve">the human resource </w:t>
      </w:r>
      <w:r w:rsidR="007A019D" w:rsidRPr="00327B3A">
        <w:rPr>
          <w:rFonts w:asciiTheme="majorHAnsi" w:hAnsiTheme="majorHAnsi" w:cstheme="majorHAnsi"/>
          <w:sz w:val="28"/>
          <w:szCs w:val="28"/>
        </w:rPr>
        <w:t xml:space="preserve">requirements in each </w:t>
      </w:r>
      <w:r w:rsidR="00F86B3E" w:rsidRPr="00327B3A">
        <w:rPr>
          <w:rFonts w:asciiTheme="majorHAnsi" w:hAnsiTheme="majorHAnsi" w:cstheme="majorHAnsi"/>
          <w:sz w:val="28"/>
          <w:szCs w:val="28"/>
        </w:rPr>
        <w:t>industry/</w:t>
      </w:r>
      <w:r w:rsidR="007A019D" w:rsidRPr="00327B3A">
        <w:rPr>
          <w:rFonts w:asciiTheme="majorHAnsi" w:hAnsiTheme="majorHAnsi" w:cstheme="majorHAnsi"/>
          <w:sz w:val="28"/>
          <w:szCs w:val="28"/>
        </w:rPr>
        <w:t>sector.</w:t>
      </w:r>
    </w:p>
    <w:p w:rsidR="00D67E19" w:rsidRPr="00327B3A" w:rsidRDefault="00D67E19" w:rsidP="007A019D">
      <w:pPr>
        <w:jc w:val="both"/>
        <w:rPr>
          <w:rFonts w:asciiTheme="majorHAnsi" w:hAnsiTheme="majorHAnsi" w:cstheme="majorHAnsi"/>
          <w:i/>
          <w:sz w:val="28"/>
          <w:szCs w:val="28"/>
        </w:rPr>
      </w:pPr>
      <w:r w:rsidRPr="00327B3A">
        <w:rPr>
          <w:rFonts w:asciiTheme="majorHAnsi" w:hAnsiTheme="majorHAnsi" w:cstheme="majorHAnsi"/>
          <w:i/>
          <w:sz w:val="28"/>
          <w:szCs w:val="28"/>
        </w:rPr>
        <w:t>Post-secondary education and training</w:t>
      </w:r>
    </w:p>
    <w:p w:rsidR="00453749" w:rsidRPr="00327B3A" w:rsidRDefault="00F86B3E" w:rsidP="007A019D">
      <w:pPr>
        <w:jc w:val="both"/>
        <w:rPr>
          <w:rFonts w:asciiTheme="majorHAnsi" w:hAnsiTheme="majorHAnsi" w:cstheme="majorHAnsi"/>
          <w:sz w:val="28"/>
          <w:szCs w:val="28"/>
        </w:rPr>
      </w:pPr>
      <w:r w:rsidRPr="00327B3A">
        <w:rPr>
          <w:rFonts w:asciiTheme="majorHAnsi" w:hAnsiTheme="majorHAnsi" w:cstheme="majorHAnsi"/>
          <w:sz w:val="28"/>
          <w:szCs w:val="28"/>
        </w:rPr>
        <w:t xml:space="preserve">In order to meet </w:t>
      </w:r>
      <w:r w:rsidR="00894D0C" w:rsidRPr="00327B3A">
        <w:rPr>
          <w:rFonts w:asciiTheme="majorHAnsi" w:hAnsiTheme="majorHAnsi" w:cstheme="majorHAnsi"/>
          <w:sz w:val="28"/>
          <w:szCs w:val="28"/>
        </w:rPr>
        <w:t xml:space="preserve">the overall </w:t>
      </w:r>
      <w:r w:rsidR="00D67E19" w:rsidRPr="00327B3A">
        <w:rPr>
          <w:rFonts w:asciiTheme="majorHAnsi" w:hAnsiTheme="majorHAnsi" w:cstheme="majorHAnsi"/>
          <w:sz w:val="28"/>
          <w:szCs w:val="28"/>
        </w:rPr>
        <w:t xml:space="preserve">goals </w:t>
      </w:r>
      <w:r w:rsidRPr="00327B3A">
        <w:rPr>
          <w:rFonts w:asciiTheme="majorHAnsi" w:hAnsiTheme="majorHAnsi" w:cstheme="majorHAnsi"/>
          <w:sz w:val="28"/>
          <w:szCs w:val="28"/>
        </w:rPr>
        <w:t xml:space="preserve">and objectives </w:t>
      </w:r>
      <w:r w:rsidR="00D67E19" w:rsidRPr="00327B3A">
        <w:rPr>
          <w:rFonts w:asciiTheme="majorHAnsi" w:hAnsiTheme="majorHAnsi" w:cstheme="majorHAnsi"/>
          <w:sz w:val="28"/>
          <w:szCs w:val="28"/>
        </w:rPr>
        <w:t xml:space="preserve">of this </w:t>
      </w:r>
      <w:r w:rsidRPr="00327B3A">
        <w:rPr>
          <w:rFonts w:asciiTheme="majorHAnsi" w:hAnsiTheme="majorHAnsi" w:cstheme="majorHAnsi"/>
          <w:sz w:val="28"/>
          <w:szCs w:val="28"/>
        </w:rPr>
        <w:t xml:space="preserve">high-skill national </w:t>
      </w:r>
      <w:r w:rsidR="00D67E19" w:rsidRPr="00327B3A">
        <w:rPr>
          <w:rFonts w:asciiTheme="majorHAnsi" w:hAnsiTheme="majorHAnsi" w:cstheme="majorHAnsi"/>
          <w:sz w:val="28"/>
          <w:szCs w:val="28"/>
        </w:rPr>
        <w:t xml:space="preserve">HRD strategy, the strengthening of post-secondary education and training should be the immediate </w:t>
      </w:r>
      <w:r w:rsidR="00894D0C" w:rsidRPr="00327B3A">
        <w:rPr>
          <w:rFonts w:asciiTheme="majorHAnsi" w:hAnsiTheme="majorHAnsi" w:cstheme="majorHAnsi"/>
          <w:sz w:val="28"/>
          <w:szCs w:val="28"/>
        </w:rPr>
        <w:t xml:space="preserve">top </w:t>
      </w:r>
      <w:r w:rsidR="00D67E19" w:rsidRPr="00327B3A">
        <w:rPr>
          <w:rFonts w:asciiTheme="majorHAnsi" w:hAnsiTheme="majorHAnsi" w:cstheme="majorHAnsi"/>
          <w:sz w:val="28"/>
          <w:szCs w:val="28"/>
        </w:rPr>
        <w:t xml:space="preserve">priority for </w:t>
      </w:r>
      <w:r w:rsidR="00EA1F95" w:rsidRPr="00327B3A">
        <w:rPr>
          <w:rFonts w:asciiTheme="majorHAnsi" w:hAnsiTheme="majorHAnsi" w:cstheme="majorHAnsi"/>
          <w:sz w:val="28"/>
          <w:szCs w:val="28"/>
        </w:rPr>
        <w:t xml:space="preserve">most countries </w:t>
      </w:r>
      <w:r w:rsidR="00D67E19" w:rsidRPr="00327B3A">
        <w:rPr>
          <w:rFonts w:asciiTheme="majorHAnsi" w:hAnsiTheme="majorHAnsi" w:cstheme="majorHAnsi"/>
          <w:sz w:val="28"/>
          <w:szCs w:val="28"/>
        </w:rPr>
        <w:t xml:space="preserve">in SSA. </w:t>
      </w:r>
      <w:r w:rsidR="00DB1D00" w:rsidRPr="00327B3A">
        <w:rPr>
          <w:rFonts w:asciiTheme="majorHAnsi" w:hAnsiTheme="majorHAnsi" w:cstheme="majorHAnsi"/>
          <w:sz w:val="28"/>
          <w:szCs w:val="28"/>
        </w:rPr>
        <w:t>Clearly, g</w:t>
      </w:r>
      <w:r w:rsidR="00D67E19" w:rsidRPr="00327B3A">
        <w:rPr>
          <w:rFonts w:asciiTheme="majorHAnsi" w:hAnsiTheme="majorHAnsi" w:cstheme="majorHAnsi"/>
          <w:sz w:val="28"/>
          <w:szCs w:val="28"/>
        </w:rPr>
        <w:t xml:space="preserve">iven the importance that is </w:t>
      </w:r>
      <w:r w:rsidR="00DB1D00" w:rsidRPr="00327B3A">
        <w:rPr>
          <w:rFonts w:asciiTheme="majorHAnsi" w:hAnsiTheme="majorHAnsi" w:cstheme="majorHAnsi"/>
          <w:sz w:val="28"/>
          <w:szCs w:val="28"/>
        </w:rPr>
        <w:t xml:space="preserve">currently </w:t>
      </w:r>
      <w:r w:rsidR="00D67E19" w:rsidRPr="00327B3A">
        <w:rPr>
          <w:rFonts w:asciiTheme="majorHAnsi" w:hAnsiTheme="majorHAnsi" w:cstheme="majorHAnsi"/>
          <w:sz w:val="28"/>
          <w:szCs w:val="28"/>
        </w:rPr>
        <w:t xml:space="preserve">attached to increasing </w:t>
      </w:r>
      <w:r w:rsidR="008F1EB6" w:rsidRPr="00327B3A">
        <w:rPr>
          <w:rFonts w:asciiTheme="majorHAnsi" w:hAnsiTheme="majorHAnsi" w:cstheme="majorHAnsi"/>
          <w:sz w:val="28"/>
          <w:szCs w:val="28"/>
        </w:rPr>
        <w:t xml:space="preserve">the inclusivity of </w:t>
      </w:r>
      <w:r w:rsidR="00D67E19" w:rsidRPr="00327B3A">
        <w:rPr>
          <w:rFonts w:asciiTheme="majorHAnsi" w:hAnsiTheme="majorHAnsi" w:cstheme="majorHAnsi"/>
          <w:sz w:val="28"/>
          <w:szCs w:val="28"/>
        </w:rPr>
        <w:t xml:space="preserve">education </w:t>
      </w:r>
      <w:r w:rsidRPr="00327B3A">
        <w:rPr>
          <w:rFonts w:asciiTheme="majorHAnsi" w:hAnsiTheme="majorHAnsi" w:cstheme="majorHAnsi"/>
          <w:sz w:val="28"/>
          <w:szCs w:val="28"/>
        </w:rPr>
        <w:t xml:space="preserve">and training </w:t>
      </w:r>
      <w:r w:rsidR="008F1EB6" w:rsidRPr="00327B3A">
        <w:rPr>
          <w:rFonts w:asciiTheme="majorHAnsi" w:hAnsiTheme="majorHAnsi" w:cstheme="majorHAnsi"/>
          <w:sz w:val="28"/>
          <w:szCs w:val="28"/>
        </w:rPr>
        <w:t>provision</w:t>
      </w:r>
      <w:r w:rsidR="00D67E19"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(especially </w:t>
      </w:r>
      <w:r w:rsidR="00D67E19" w:rsidRPr="00327B3A">
        <w:rPr>
          <w:rFonts w:asciiTheme="majorHAnsi" w:hAnsiTheme="majorHAnsi" w:cstheme="majorHAnsi"/>
          <w:sz w:val="28"/>
          <w:szCs w:val="28"/>
        </w:rPr>
        <w:t>with the widespread adoption of UPE and USE strategies</w:t>
      </w:r>
      <w:r w:rsidRPr="00327B3A">
        <w:rPr>
          <w:rFonts w:asciiTheme="majorHAnsi" w:hAnsiTheme="majorHAnsi" w:cstheme="majorHAnsi"/>
          <w:sz w:val="28"/>
          <w:szCs w:val="28"/>
        </w:rPr>
        <w:t>)</w:t>
      </w:r>
      <w:r w:rsidR="00EA1F95" w:rsidRPr="00327B3A">
        <w:rPr>
          <w:rFonts w:asciiTheme="majorHAnsi" w:hAnsiTheme="majorHAnsi" w:cstheme="majorHAnsi"/>
          <w:sz w:val="28"/>
          <w:szCs w:val="28"/>
        </w:rPr>
        <w:t xml:space="preserve">, this </w:t>
      </w:r>
      <w:r w:rsidR="008F1EB6" w:rsidRPr="00327B3A">
        <w:rPr>
          <w:rFonts w:asciiTheme="majorHAnsi" w:hAnsiTheme="majorHAnsi" w:cstheme="majorHAnsi"/>
          <w:sz w:val="28"/>
          <w:szCs w:val="28"/>
        </w:rPr>
        <w:t xml:space="preserve">will be widely </w:t>
      </w:r>
      <w:r w:rsidR="00EA1F95" w:rsidRPr="00327B3A">
        <w:rPr>
          <w:rFonts w:asciiTheme="majorHAnsi" w:hAnsiTheme="majorHAnsi" w:cstheme="majorHAnsi"/>
          <w:sz w:val="28"/>
          <w:szCs w:val="28"/>
        </w:rPr>
        <w:t xml:space="preserve">challenged </w:t>
      </w:r>
      <w:r w:rsidR="008F1EB6" w:rsidRPr="00327B3A">
        <w:rPr>
          <w:rFonts w:asciiTheme="majorHAnsi" w:hAnsiTheme="majorHAnsi" w:cstheme="majorHAnsi"/>
          <w:sz w:val="28"/>
          <w:szCs w:val="28"/>
        </w:rPr>
        <w:t xml:space="preserve">as </w:t>
      </w:r>
      <w:r w:rsidR="00D67E19" w:rsidRPr="00327B3A">
        <w:rPr>
          <w:rFonts w:asciiTheme="majorHAnsi" w:hAnsiTheme="majorHAnsi" w:cstheme="majorHAnsi"/>
          <w:sz w:val="28"/>
          <w:szCs w:val="28"/>
        </w:rPr>
        <w:t xml:space="preserve">a </w:t>
      </w:r>
      <w:r w:rsidR="008F1EB6" w:rsidRPr="00327B3A">
        <w:rPr>
          <w:rFonts w:asciiTheme="majorHAnsi" w:hAnsiTheme="majorHAnsi" w:cstheme="majorHAnsi"/>
          <w:sz w:val="28"/>
          <w:szCs w:val="28"/>
        </w:rPr>
        <w:t xml:space="preserve">seriously </w:t>
      </w:r>
      <w:r w:rsidR="00D67E19" w:rsidRPr="00327B3A">
        <w:rPr>
          <w:rFonts w:asciiTheme="majorHAnsi" w:hAnsiTheme="majorHAnsi" w:cstheme="majorHAnsi"/>
          <w:sz w:val="28"/>
          <w:szCs w:val="28"/>
        </w:rPr>
        <w:t xml:space="preserve">contentious and unpalatable </w:t>
      </w:r>
      <w:r w:rsidR="008F1EB6" w:rsidRPr="00327B3A">
        <w:rPr>
          <w:rFonts w:asciiTheme="majorHAnsi" w:hAnsiTheme="majorHAnsi" w:cstheme="majorHAnsi"/>
          <w:sz w:val="28"/>
          <w:szCs w:val="28"/>
        </w:rPr>
        <w:t>option</w:t>
      </w:r>
      <w:r w:rsidR="00D67E19" w:rsidRPr="00327B3A">
        <w:rPr>
          <w:rFonts w:asciiTheme="majorHAnsi" w:hAnsiTheme="majorHAnsi" w:cstheme="majorHAnsi"/>
          <w:sz w:val="28"/>
          <w:szCs w:val="28"/>
        </w:rPr>
        <w:t xml:space="preserve">. </w:t>
      </w:r>
      <w:r w:rsidR="00894D0C" w:rsidRPr="00327B3A">
        <w:rPr>
          <w:rFonts w:asciiTheme="majorHAnsi" w:hAnsiTheme="majorHAnsi" w:cstheme="majorHAnsi"/>
          <w:sz w:val="28"/>
          <w:szCs w:val="28"/>
        </w:rPr>
        <w:t>However, i</w:t>
      </w:r>
      <w:r w:rsidR="00D67E19" w:rsidRPr="00327B3A">
        <w:rPr>
          <w:rFonts w:asciiTheme="majorHAnsi" w:hAnsiTheme="majorHAnsi" w:cstheme="majorHAnsi"/>
          <w:sz w:val="28"/>
          <w:szCs w:val="28"/>
        </w:rPr>
        <w:t xml:space="preserve">t offers the only </w:t>
      </w:r>
      <w:r w:rsidR="008F1EB6" w:rsidRPr="00327B3A">
        <w:rPr>
          <w:rFonts w:asciiTheme="majorHAnsi" w:hAnsiTheme="majorHAnsi" w:cstheme="majorHAnsi"/>
          <w:sz w:val="28"/>
          <w:szCs w:val="28"/>
        </w:rPr>
        <w:t xml:space="preserve">realistic way </w:t>
      </w:r>
      <w:r w:rsidR="00D67E19" w:rsidRPr="00327B3A">
        <w:rPr>
          <w:rFonts w:asciiTheme="majorHAnsi" w:hAnsiTheme="majorHAnsi" w:cstheme="majorHAnsi"/>
          <w:sz w:val="28"/>
          <w:szCs w:val="28"/>
        </w:rPr>
        <w:t xml:space="preserve">of developing the high-quality, world class skills </w:t>
      </w:r>
      <w:r w:rsidR="008F1EB6" w:rsidRPr="00327B3A">
        <w:rPr>
          <w:rFonts w:asciiTheme="majorHAnsi" w:hAnsiTheme="majorHAnsi" w:cstheme="majorHAnsi"/>
          <w:sz w:val="28"/>
          <w:szCs w:val="28"/>
        </w:rPr>
        <w:t xml:space="preserve">that are indispensable </w:t>
      </w:r>
      <w:r w:rsidR="00D67E19" w:rsidRPr="00327B3A">
        <w:rPr>
          <w:rFonts w:asciiTheme="majorHAnsi" w:hAnsiTheme="majorHAnsi" w:cstheme="majorHAnsi"/>
          <w:sz w:val="28"/>
          <w:szCs w:val="28"/>
        </w:rPr>
        <w:t xml:space="preserve">for </w:t>
      </w:r>
      <w:r w:rsidRPr="00327B3A">
        <w:rPr>
          <w:rFonts w:asciiTheme="majorHAnsi" w:hAnsiTheme="majorHAnsi" w:cstheme="majorHAnsi"/>
          <w:sz w:val="28"/>
          <w:szCs w:val="28"/>
        </w:rPr>
        <w:t xml:space="preserve">successful </w:t>
      </w:r>
      <w:r w:rsidR="00D67E19" w:rsidRPr="00327B3A">
        <w:rPr>
          <w:rFonts w:asciiTheme="majorHAnsi" w:hAnsiTheme="majorHAnsi" w:cstheme="majorHAnsi"/>
          <w:sz w:val="28"/>
          <w:szCs w:val="28"/>
        </w:rPr>
        <w:t>capitalist economic transformation</w:t>
      </w:r>
      <w:r w:rsidR="00DB1D00" w:rsidRPr="00327B3A">
        <w:rPr>
          <w:rFonts w:asciiTheme="majorHAnsi" w:hAnsiTheme="majorHAnsi" w:cstheme="majorHAnsi"/>
          <w:sz w:val="28"/>
          <w:szCs w:val="28"/>
        </w:rPr>
        <w:t xml:space="preserve"> and</w:t>
      </w:r>
      <w:r w:rsidR="004106EE" w:rsidRPr="00327B3A">
        <w:rPr>
          <w:rFonts w:asciiTheme="majorHAnsi" w:hAnsiTheme="majorHAnsi" w:cstheme="majorHAnsi"/>
          <w:sz w:val="28"/>
          <w:szCs w:val="28"/>
        </w:rPr>
        <w:t>, especially in the short-term,</w:t>
      </w:r>
      <w:r w:rsidR="00DB1D00" w:rsidRPr="00327B3A">
        <w:rPr>
          <w:rFonts w:asciiTheme="majorHAnsi" w:hAnsiTheme="majorHAnsi" w:cstheme="majorHAnsi"/>
          <w:sz w:val="28"/>
          <w:szCs w:val="28"/>
        </w:rPr>
        <w:t xml:space="preserve"> </w:t>
      </w:r>
      <w:r w:rsidR="008F1EB6" w:rsidRPr="00327B3A">
        <w:rPr>
          <w:rFonts w:asciiTheme="majorHAnsi" w:hAnsiTheme="majorHAnsi" w:cstheme="majorHAnsi"/>
          <w:sz w:val="28"/>
          <w:szCs w:val="28"/>
        </w:rPr>
        <w:t xml:space="preserve">for generating </w:t>
      </w:r>
      <w:r w:rsidR="00DB1D00" w:rsidRPr="00327B3A">
        <w:rPr>
          <w:rFonts w:asciiTheme="majorHAnsi" w:hAnsiTheme="majorHAnsi" w:cstheme="majorHAnsi"/>
          <w:sz w:val="28"/>
          <w:szCs w:val="28"/>
        </w:rPr>
        <w:t xml:space="preserve">the </w:t>
      </w:r>
      <w:r w:rsidR="00DB1D00" w:rsidRPr="00327B3A">
        <w:rPr>
          <w:rFonts w:asciiTheme="majorHAnsi" w:hAnsiTheme="majorHAnsi" w:cstheme="majorHAnsi"/>
          <w:sz w:val="28"/>
          <w:szCs w:val="28"/>
        </w:rPr>
        <w:lastRenderedPageBreak/>
        <w:t>ver</w:t>
      </w:r>
      <w:r w:rsidR="004106EE" w:rsidRPr="00327B3A">
        <w:rPr>
          <w:rFonts w:asciiTheme="majorHAnsi" w:hAnsiTheme="majorHAnsi" w:cstheme="majorHAnsi"/>
          <w:sz w:val="28"/>
          <w:szCs w:val="28"/>
        </w:rPr>
        <w:t xml:space="preserve">y high rates of economic growth </w:t>
      </w:r>
      <w:r w:rsidR="003F452E">
        <w:rPr>
          <w:rFonts w:asciiTheme="majorHAnsi" w:hAnsiTheme="majorHAnsi" w:cstheme="majorHAnsi"/>
          <w:sz w:val="28"/>
          <w:szCs w:val="28"/>
        </w:rPr>
        <w:t xml:space="preserve">which is </w:t>
      </w:r>
      <w:r w:rsidR="00E56F75" w:rsidRPr="00327B3A">
        <w:rPr>
          <w:rFonts w:asciiTheme="majorHAnsi" w:hAnsiTheme="majorHAnsi" w:cstheme="majorHAnsi"/>
          <w:sz w:val="28"/>
          <w:szCs w:val="28"/>
        </w:rPr>
        <w:t xml:space="preserve">the only effective solution to redressing </w:t>
      </w:r>
      <w:r w:rsidR="004106EE" w:rsidRPr="00327B3A">
        <w:rPr>
          <w:rFonts w:asciiTheme="majorHAnsi" w:hAnsiTheme="majorHAnsi" w:cstheme="majorHAnsi"/>
          <w:sz w:val="28"/>
          <w:szCs w:val="28"/>
        </w:rPr>
        <w:t>the mounting development crisis in SSA</w:t>
      </w:r>
      <w:r w:rsidRPr="00327B3A">
        <w:rPr>
          <w:rFonts w:asciiTheme="majorHAnsi" w:hAnsiTheme="majorHAnsi" w:cstheme="majorHAnsi"/>
          <w:sz w:val="28"/>
          <w:szCs w:val="28"/>
        </w:rPr>
        <w:t>.</w:t>
      </w:r>
      <w:r w:rsidR="00D67E19" w:rsidRPr="00327B3A">
        <w:rPr>
          <w:rFonts w:asciiTheme="majorHAnsi" w:hAnsiTheme="majorHAnsi" w:cstheme="majorHAnsi"/>
          <w:sz w:val="28"/>
          <w:szCs w:val="28"/>
        </w:rPr>
        <w:t xml:space="preserve"> </w:t>
      </w:r>
    </w:p>
    <w:p w:rsidR="004106EE" w:rsidRPr="00327B3A" w:rsidRDefault="00453749" w:rsidP="00453749">
      <w:pPr>
        <w:jc w:val="both"/>
        <w:rPr>
          <w:rFonts w:asciiTheme="majorHAnsi" w:hAnsiTheme="majorHAnsi" w:cstheme="majorHAnsi"/>
          <w:sz w:val="28"/>
          <w:szCs w:val="28"/>
        </w:rPr>
      </w:pPr>
      <w:r w:rsidRPr="00327B3A">
        <w:rPr>
          <w:rFonts w:asciiTheme="majorHAnsi" w:hAnsiTheme="majorHAnsi" w:cstheme="majorHAnsi"/>
          <w:sz w:val="28"/>
          <w:szCs w:val="28"/>
        </w:rPr>
        <w:t>A few countries in SSA, most notably Ethiopia</w:t>
      </w:r>
      <w:r w:rsidR="003F452E">
        <w:rPr>
          <w:rFonts w:asciiTheme="majorHAnsi" w:hAnsiTheme="majorHAnsi" w:cstheme="majorHAnsi"/>
          <w:sz w:val="28"/>
          <w:szCs w:val="28"/>
        </w:rPr>
        <w:t>,</w:t>
      </w:r>
      <w:r w:rsidRPr="00327B3A">
        <w:rPr>
          <w:rFonts w:asciiTheme="majorHAnsi" w:hAnsiTheme="majorHAnsi" w:cstheme="majorHAnsi"/>
          <w:sz w:val="28"/>
          <w:szCs w:val="28"/>
        </w:rPr>
        <w:t xml:space="preserve"> have adopted high-skills, human</w:t>
      </w:r>
      <w:r w:rsidR="003F452E">
        <w:rPr>
          <w:rFonts w:asciiTheme="majorHAnsi" w:hAnsiTheme="majorHAnsi" w:cstheme="majorHAnsi"/>
          <w:sz w:val="28"/>
          <w:szCs w:val="28"/>
        </w:rPr>
        <w:t xml:space="preserve"> resources-</w:t>
      </w:r>
      <w:r w:rsidRPr="00327B3A">
        <w:rPr>
          <w:rFonts w:asciiTheme="majorHAnsi" w:hAnsiTheme="majorHAnsi" w:cstheme="majorHAnsi"/>
          <w:sz w:val="28"/>
          <w:szCs w:val="28"/>
        </w:rPr>
        <w:t xml:space="preserve">led development </w:t>
      </w:r>
      <w:r w:rsidR="005B27E3" w:rsidRPr="00327B3A">
        <w:rPr>
          <w:rFonts w:asciiTheme="majorHAnsi" w:hAnsiTheme="majorHAnsi" w:cstheme="majorHAnsi"/>
          <w:sz w:val="28"/>
          <w:szCs w:val="28"/>
        </w:rPr>
        <w:t>strategies</w:t>
      </w:r>
      <w:r w:rsidRPr="00327B3A">
        <w:rPr>
          <w:rFonts w:asciiTheme="majorHAnsi" w:hAnsiTheme="majorHAnsi" w:cstheme="majorHAnsi"/>
          <w:sz w:val="28"/>
          <w:szCs w:val="28"/>
        </w:rPr>
        <w:t>. However, th</w:t>
      </w:r>
      <w:r w:rsidR="00DB1D00" w:rsidRPr="00327B3A">
        <w:rPr>
          <w:rFonts w:asciiTheme="majorHAnsi" w:hAnsiTheme="majorHAnsi" w:cstheme="majorHAnsi"/>
          <w:sz w:val="28"/>
          <w:szCs w:val="28"/>
        </w:rPr>
        <w:t xml:space="preserve">ese have </w:t>
      </w:r>
      <w:r w:rsidRPr="00327B3A">
        <w:rPr>
          <w:rFonts w:asciiTheme="majorHAnsi" w:hAnsiTheme="majorHAnsi" w:cstheme="majorHAnsi"/>
          <w:sz w:val="28"/>
          <w:szCs w:val="28"/>
        </w:rPr>
        <w:t xml:space="preserve">been undermined by too rapid expansion of </w:t>
      </w:r>
      <w:r w:rsidR="009D1CEB">
        <w:rPr>
          <w:rFonts w:asciiTheme="majorHAnsi" w:hAnsiTheme="majorHAnsi" w:cstheme="majorHAnsi"/>
          <w:sz w:val="28"/>
          <w:szCs w:val="28"/>
        </w:rPr>
        <w:t xml:space="preserve">higher education enrolments. </w:t>
      </w:r>
      <w:r w:rsidR="00894D0C" w:rsidRPr="00327B3A">
        <w:rPr>
          <w:rFonts w:asciiTheme="majorHAnsi" w:hAnsiTheme="majorHAnsi" w:cstheme="majorHAnsi"/>
          <w:sz w:val="28"/>
          <w:szCs w:val="28"/>
        </w:rPr>
        <w:t xml:space="preserve">Tackling the low and generally declining quality of education and training provided by universities and other post-secondary institutions </w:t>
      </w:r>
      <w:r w:rsidR="00DB1D00" w:rsidRPr="00327B3A">
        <w:rPr>
          <w:rFonts w:asciiTheme="majorHAnsi" w:hAnsiTheme="majorHAnsi" w:cstheme="majorHAnsi"/>
          <w:sz w:val="28"/>
          <w:szCs w:val="28"/>
        </w:rPr>
        <w:t xml:space="preserve">in SSA </w:t>
      </w:r>
      <w:r w:rsidR="00894D0C" w:rsidRPr="00327B3A">
        <w:rPr>
          <w:rFonts w:asciiTheme="majorHAnsi" w:hAnsiTheme="majorHAnsi" w:cstheme="majorHAnsi"/>
          <w:sz w:val="28"/>
          <w:szCs w:val="28"/>
        </w:rPr>
        <w:t xml:space="preserve">will be </w:t>
      </w:r>
      <w:r w:rsidRPr="00327B3A">
        <w:rPr>
          <w:rFonts w:asciiTheme="majorHAnsi" w:hAnsiTheme="majorHAnsi" w:cstheme="majorHAnsi"/>
          <w:sz w:val="28"/>
          <w:szCs w:val="28"/>
        </w:rPr>
        <w:t xml:space="preserve">very </w:t>
      </w:r>
      <w:r w:rsidR="005B27E3" w:rsidRPr="00327B3A">
        <w:rPr>
          <w:rFonts w:asciiTheme="majorHAnsi" w:hAnsiTheme="majorHAnsi" w:cstheme="majorHAnsi"/>
          <w:sz w:val="28"/>
          <w:szCs w:val="28"/>
        </w:rPr>
        <w:t xml:space="preserve">challenging </w:t>
      </w:r>
      <w:r w:rsidR="00894D0C" w:rsidRPr="00327B3A">
        <w:rPr>
          <w:rFonts w:asciiTheme="majorHAnsi" w:hAnsiTheme="majorHAnsi" w:cstheme="majorHAnsi"/>
          <w:sz w:val="28"/>
          <w:szCs w:val="28"/>
        </w:rPr>
        <w:t>in the short</w:t>
      </w:r>
      <w:r w:rsidR="009D1CEB">
        <w:rPr>
          <w:rFonts w:asciiTheme="majorHAnsi" w:hAnsiTheme="majorHAnsi" w:cstheme="majorHAnsi"/>
          <w:sz w:val="28"/>
          <w:szCs w:val="28"/>
        </w:rPr>
        <w:t xml:space="preserve"> term especially given the </w:t>
      </w:r>
      <w:r w:rsidR="00894D0C" w:rsidRPr="00327B3A">
        <w:rPr>
          <w:rFonts w:asciiTheme="majorHAnsi" w:hAnsiTheme="majorHAnsi" w:cstheme="majorHAnsi"/>
          <w:sz w:val="28"/>
          <w:szCs w:val="28"/>
        </w:rPr>
        <w:t xml:space="preserve">weak qualification profiles of lecturers and the paucity of high quality, specialist post-graduate </w:t>
      </w:r>
      <w:r w:rsidRPr="00327B3A">
        <w:rPr>
          <w:rFonts w:asciiTheme="majorHAnsi" w:hAnsiTheme="majorHAnsi" w:cstheme="majorHAnsi"/>
          <w:sz w:val="28"/>
          <w:szCs w:val="28"/>
        </w:rPr>
        <w:t xml:space="preserve">training in </w:t>
      </w:r>
      <w:r w:rsidR="009D1CEB">
        <w:rPr>
          <w:rFonts w:asciiTheme="majorHAnsi" w:hAnsiTheme="majorHAnsi" w:cstheme="majorHAnsi"/>
          <w:sz w:val="28"/>
          <w:szCs w:val="28"/>
        </w:rPr>
        <w:t xml:space="preserve">most </w:t>
      </w:r>
      <w:r w:rsidRPr="00327B3A">
        <w:rPr>
          <w:rFonts w:asciiTheme="majorHAnsi" w:hAnsiTheme="majorHAnsi" w:cstheme="majorHAnsi"/>
          <w:sz w:val="28"/>
          <w:szCs w:val="28"/>
        </w:rPr>
        <w:t>priority areas.</w:t>
      </w:r>
      <w:r w:rsidR="005B27E3" w:rsidRPr="00327B3A">
        <w:rPr>
          <w:rFonts w:asciiTheme="majorHAnsi" w:hAnsiTheme="majorHAnsi" w:cstheme="majorHAnsi"/>
          <w:sz w:val="28"/>
          <w:szCs w:val="28"/>
        </w:rPr>
        <w:t xml:space="preserve"> </w:t>
      </w:r>
    </w:p>
    <w:p w:rsidR="00453749" w:rsidRPr="00327B3A" w:rsidRDefault="005B27E3" w:rsidP="00453749">
      <w:pPr>
        <w:jc w:val="both"/>
        <w:rPr>
          <w:rFonts w:asciiTheme="majorHAnsi" w:hAnsiTheme="majorHAnsi" w:cstheme="majorHAnsi"/>
          <w:sz w:val="28"/>
          <w:szCs w:val="28"/>
        </w:rPr>
      </w:pPr>
      <w:r w:rsidRPr="00327B3A">
        <w:rPr>
          <w:rFonts w:asciiTheme="majorHAnsi" w:hAnsiTheme="majorHAnsi" w:cstheme="majorHAnsi"/>
          <w:sz w:val="28"/>
          <w:szCs w:val="28"/>
        </w:rPr>
        <w:t>National and external resources should be carefully targeted at the top priority, generic occupational areas, an</w:t>
      </w:r>
      <w:r w:rsidR="00DB1D00" w:rsidRPr="00327B3A">
        <w:rPr>
          <w:rFonts w:asciiTheme="majorHAnsi" w:hAnsiTheme="majorHAnsi" w:cstheme="majorHAnsi"/>
          <w:sz w:val="28"/>
          <w:szCs w:val="28"/>
        </w:rPr>
        <w:t>d</w:t>
      </w:r>
      <w:r w:rsidRPr="00327B3A">
        <w:rPr>
          <w:rFonts w:asciiTheme="majorHAnsi" w:hAnsiTheme="majorHAnsi" w:cstheme="majorHAnsi"/>
          <w:sz w:val="28"/>
          <w:szCs w:val="28"/>
        </w:rPr>
        <w:t xml:space="preserve"> in particular management/</w:t>
      </w:r>
      <w:r w:rsidR="00826A6D" w:rsidRPr="00327B3A">
        <w:rPr>
          <w:rFonts w:asciiTheme="majorHAnsi" w:hAnsiTheme="majorHAnsi" w:cstheme="majorHAnsi"/>
          <w:sz w:val="28"/>
          <w:szCs w:val="28"/>
        </w:rPr>
        <w:t xml:space="preserve"> </w:t>
      </w:r>
      <w:r w:rsidRPr="00327B3A">
        <w:rPr>
          <w:rFonts w:asciiTheme="majorHAnsi" w:hAnsiTheme="majorHAnsi" w:cstheme="majorHAnsi"/>
          <w:sz w:val="28"/>
          <w:szCs w:val="28"/>
        </w:rPr>
        <w:t xml:space="preserve">entrepreneurship and the more specific skills requirements of the high priority growth sectors (construction, mining, tourism, financial services, export-oriented agri-business etc.). Establishing </w:t>
      </w:r>
      <w:r w:rsidR="00826A6D" w:rsidRPr="00327B3A">
        <w:rPr>
          <w:rFonts w:asciiTheme="majorHAnsi" w:hAnsiTheme="majorHAnsi" w:cstheme="majorHAnsi"/>
          <w:sz w:val="28"/>
          <w:szCs w:val="28"/>
        </w:rPr>
        <w:t xml:space="preserve">high-intensity </w:t>
      </w:r>
      <w:r w:rsidRPr="00327B3A">
        <w:rPr>
          <w:rFonts w:asciiTheme="majorHAnsi" w:hAnsiTheme="majorHAnsi" w:cstheme="majorHAnsi"/>
          <w:sz w:val="28"/>
          <w:szCs w:val="28"/>
        </w:rPr>
        <w:t xml:space="preserve">capacity-building partnerships with world class universities and other specialist training institutions with high levels of </w:t>
      </w:r>
      <w:r w:rsidR="00826A6D" w:rsidRPr="00327B3A">
        <w:rPr>
          <w:rFonts w:asciiTheme="majorHAnsi" w:hAnsiTheme="majorHAnsi" w:cstheme="majorHAnsi"/>
          <w:sz w:val="28"/>
          <w:szCs w:val="28"/>
        </w:rPr>
        <w:t xml:space="preserve">direct </w:t>
      </w:r>
      <w:r w:rsidRPr="00327B3A">
        <w:rPr>
          <w:rFonts w:asciiTheme="majorHAnsi" w:hAnsiTheme="majorHAnsi" w:cstheme="majorHAnsi"/>
          <w:sz w:val="28"/>
          <w:szCs w:val="28"/>
        </w:rPr>
        <w:t xml:space="preserve">teaching support will be </w:t>
      </w:r>
      <w:r w:rsidR="00826A6D" w:rsidRPr="00327B3A">
        <w:rPr>
          <w:rFonts w:asciiTheme="majorHAnsi" w:hAnsiTheme="majorHAnsi" w:cstheme="majorHAnsi"/>
          <w:sz w:val="28"/>
          <w:szCs w:val="28"/>
        </w:rPr>
        <w:t>essential</w:t>
      </w:r>
      <w:r w:rsidRPr="00327B3A">
        <w:rPr>
          <w:rFonts w:asciiTheme="majorHAnsi" w:hAnsiTheme="majorHAnsi" w:cstheme="majorHAnsi"/>
          <w:sz w:val="28"/>
          <w:szCs w:val="28"/>
        </w:rPr>
        <w:t xml:space="preserve">.    </w:t>
      </w:r>
      <w:r w:rsidR="00453749" w:rsidRPr="00327B3A">
        <w:rPr>
          <w:rFonts w:asciiTheme="majorHAnsi" w:hAnsiTheme="majorHAnsi" w:cstheme="majorHAnsi"/>
          <w:sz w:val="28"/>
          <w:szCs w:val="28"/>
        </w:rPr>
        <w:t xml:space="preserve"> </w:t>
      </w:r>
      <w:r w:rsidR="00894D0C" w:rsidRPr="00327B3A">
        <w:rPr>
          <w:rFonts w:asciiTheme="majorHAnsi" w:hAnsiTheme="majorHAnsi" w:cstheme="majorHAnsi"/>
          <w:sz w:val="28"/>
          <w:szCs w:val="28"/>
        </w:rPr>
        <w:t xml:space="preserve"> </w:t>
      </w:r>
    </w:p>
    <w:p w:rsidR="00976501" w:rsidRPr="00327B3A" w:rsidRDefault="00453749" w:rsidP="00976501">
      <w:pPr>
        <w:jc w:val="both"/>
        <w:rPr>
          <w:rFonts w:asciiTheme="majorHAnsi" w:hAnsiTheme="majorHAnsi" w:cstheme="majorHAnsi"/>
          <w:sz w:val="28"/>
          <w:szCs w:val="28"/>
        </w:rPr>
      </w:pPr>
      <w:r w:rsidRPr="00327B3A">
        <w:rPr>
          <w:rFonts w:asciiTheme="majorHAnsi" w:hAnsiTheme="majorHAnsi" w:cstheme="majorHAnsi"/>
          <w:sz w:val="28"/>
          <w:szCs w:val="28"/>
        </w:rPr>
        <w:t xml:space="preserve">The </w:t>
      </w:r>
      <w:r w:rsidR="00976501" w:rsidRPr="00327B3A">
        <w:rPr>
          <w:rFonts w:asciiTheme="majorHAnsi" w:hAnsiTheme="majorHAnsi" w:cstheme="majorHAnsi"/>
          <w:sz w:val="28"/>
          <w:szCs w:val="28"/>
        </w:rPr>
        <w:t xml:space="preserve">expansion </w:t>
      </w:r>
      <w:r w:rsidRPr="00327B3A">
        <w:rPr>
          <w:rFonts w:asciiTheme="majorHAnsi" w:hAnsiTheme="majorHAnsi" w:cstheme="majorHAnsi"/>
          <w:sz w:val="28"/>
          <w:szCs w:val="28"/>
        </w:rPr>
        <w:t>of</w:t>
      </w:r>
      <w:r w:rsidR="00976501" w:rsidRPr="00327B3A">
        <w:rPr>
          <w:rFonts w:asciiTheme="majorHAnsi" w:hAnsiTheme="majorHAnsi" w:cstheme="majorHAnsi"/>
          <w:sz w:val="28"/>
          <w:szCs w:val="28"/>
        </w:rPr>
        <w:t xml:space="preserve"> secondary education </w:t>
      </w:r>
      <w:r w:rsidR="004106EE" w:rsidRPr="00327B3A">
        <w:rPr>
          <w:rFonts w:asciiTheme="majorHAnsi" w:hAnsiTheme="majorHAnsi" w:cstheme="majorHAnsi"/>
          <w:sz w:val="28"/>
          <w:szCs w:val="28"/>
        </w:rPr>
        <w:t xml:space="preserve">in each country in SSA </w:t>
      </w:r>
      <w:r w:rsidR="009D1CEB">
        <w:rPr>
          <w:rFonts w:asciiTheme="majorHAnsi" w:hAnsiTheme="majorHAnsi" w:cstheme="majorHAnsi"/>
          <w:sz w:val="28"/>
          <w:szCs w:val="28"/>
        </w:rPr>
        <w:t>should b</w:t>
      </w:r>
      <w:r w:rsidR="00976501" w:rsidRPr="00327B3A">
        <w:rPr>
          <w:rFonts w:asciiTheme="majorHAnsi" w:hAnsiTheme="majorHAnsi" w:cstheme="majorHAnsi"/>
          <w:sz w:val="28"/>
          <w:szCs w:val="28"/>
        </w:rPr>
        <w:t>e directly supportive of the</w:t>
      </w:r>
      <w:r w:rsidR="004106EE" w:rsidRPr="00327B3A">
        <w:rPr>
          <w:rFonts w:asciiTheme="majorHAnsi" w:hAnsiTheme="majorHAnsi" w:cstheme="majorHAnsi"/>
          <w:sz w:val="28"/>
          <w:szCs w:val="28"/>
        </w:rPr>
        <w:t>se</w:t>
      </w:r>
      <w:r w:rsidR="00976501" w:rsidRPr="00327B3A">
        <w:rPr>
          <w:rFonts w:asciiTheme="majorHAnsi" w:hAnsiTheme="majorHAnsi" w:cstheme="majorHAnsi"/>
          <w:sz w:val="28"/>
          <w:szCs w:val="28"/>
        </w:rPr>
        <w:t xml:space="preserve"> </w:t>
      </w:r>
      <w:r w:rsidR="004106EE" w:rsidRPr="00327B3A">
        <w:rPr>
          <w:rFonts w:asciiTheme="majorHAnsi" w:hAnsiTheme="majorHAnsi" w:cstheme="majorHAnsi"/>
          <w:sz w:val="28"/>
          <w:szCs w:val="28"/>
        </w:rPr>
        <w:t xml:space="preserve">top priority </w:t>
      </w:r>
      <w:r w:rsidR="00976501" w:rsidRPr="00327B3A">
        <w:rPr>
          <w:rFonts w:asciiTheme="majorHAnsi" w:hAnsiTheme="majorHAnsi" w:cstheme="majorHAnsi"/>
          <w:sz w:val="28"/>
          <w:szCs w:val="28"/>
        </w:rPr>
        <w:t xml:space="preserve">national HRD goals. </w:t>
      </w:r>
      <w:r w:rsidR="009D1CEB">
        <w:rPr>
          <w:rFonts w:asciiTheme="majorHAnsi" w:hAnsiTheme="majorHAnsi" w:cstheme="majorHAnsi"/>
          <w:sz w:val="28"/>
          <w:szCs w:val="28"/>
        </w:rPr>
        <w:t>I</w:t>
      </w:r>
      <w:r w:rsidR="00894D0C" w:rsidRPr="00327B3A">
        <w:rPr>
          <w:rFonts w:asciiTheme="majorHAnsi" w:hAnsiTheme="majorHAnsi" w:cstheme="majorHAnsi"/>
          <w:sz w:val="28"/>
          <w:szCs w:val="28"/>
        </w:rPr>
        <w:t>ncreas</w:t>
      </w:r>
      <w:r w:rsidR="009D1CEB">
        <w:rPr>
          <w:rFonts w:asciiTheme="majorHAnsi" w:hAnsiTheme="majorHAnsi" w:cstheme="majorHAnsi"/>
          <w:sz w:val="28"/>
          <w:szCs w:val="28"/>
        </w:rPr>
        <w:t>ing</w:t>
      </w:r>
      <w:r w:rsidR="00894D0C" w:rsidRPr="00327B3A">
        <w:rPr>
          <w:rFonts w:asciiTheme="majorHAnsi" w:hAnsiTheme="majorHAnsi" w:cstheme="majorHAnsi"/>
          <w:sz w:val="28"/>
          <w:szCs w:val="28"/>
        </w:rPr>
        <w:t xml:space="preserve"> </w:t>
      </w:r>
      <w:r w:rsidR="00976501" w:rsidRPr="00327B3A">
        <w:rPr>
          <w:rFonts w:asciiTheme="majorHAnsi" w:hAnsiTheme="majorHAnsi" w:cstheme="majorHAnsi"/>
          <w:sz w:val="28"/>
          <w:szCs w:val="28"/>
        </w:rPr>
        <w:t xml:space="preserve">secondary enrolments beyond this should be avoided </w:t>
      </w:r>
      <w:r w:rsidR="009D1CEB">
        <w:rPr>
          <w:rFonts w:asciiTheme="majorHAnsi" w:hAnsiTheme="majorHAnsi" w:cstheme="majorHAnsi"/>
          <w:sz w:val="28"/>
          <w:szCs w:val="28"/>
        </w:rPr>
        <w:t xml:space="preserve">because </w:t>
      </w:r>
      <w:r w:rsidR="00976501" w:rsidRPr="00327B3A">
        <w:rPr>
          <w:rFonts w:asciiTheme="majorHAnsi" w:hAnsiTheme="majorHAnsi" w:cstheme="majorHAnsi"/>
          <w:sz w:val="28"/>
          <w:szCs w:val="28"/>
        </w:rPr>
        <w:t xml:space="preserve">it will lead to the diversion of very scarce public resources away from other priority areas both </w:t>
      </w:r>
      <w:r w:rsidR="00826A6D" w:rsidRPr="00327B3A">
        <w:rPr>
          <w:rFonts w:asciiTheme="majorHAnsi" w:hAnsiTheme="majorHAnsi" w:cstheme="majorHAnsi"/>
          <w:sz w:val="28"/>
          <w:szCs w:val="28"/>
        </w:rPr>
        <w:t xml:space="preserve">with regard to </w:t>
      </w:r>
      <w:r w:rsidR="00976501" w:rsidRPr="00327B3A">
        <w:rPr>
          <w:rFonts w:asciiTheme="majorHAnsi" w:hAnsiTheme="majorHAnsi" w:cstheme="majorHAnsi"/>
          <w:sz w:val="28"/>
          <w:szCs w:val="28"/>
        </w:rPr>
        <w:t xml:space="preserve">human resources </w:t>
      </w:r>
      <w:r w:rsidR="00826A6D" w:rsidRPr="00327B3A">
        <w:rPr>
          <w:rFonts w:asciiTheme="majorHAnsi" w:hAnsiTheme="majorHAnsi" w:cstheme="majorHAnsi"/>
          <w:sz w:val="28"/>
          <w:szCs w:val="28"/>
        </w:rPr>
        <w:t xml:space="preserve">development </w:t>
      </w:r>
      <w:r w:rsidR="00976501" w:rsidRPr="00327B3A">
        <w:rPr>
          <w:rFonts w:asciiTheme="majorHAnsi" w:hAnsiTheme="majorHAnsi" w:cstheme="majorHAnsi"/>
          <w:sz w:val="28"/>
          <w:szCs w:val="28"/>
        </w:rPr>
        <w:t>and other</w:t>
      </w:r>
      <w:r w:rsidR="00826A6D" w:rsidRPr="00327B3A">
        <w:rPr>
          <w:rFonts w:asciiTheme="majorHAnsi" w:hAnsiTheme="majorHAnsi" w:cstheme="majorHAnsi"/>
          <w:sz w:val="28"/>
          <w:szCs w:val="28"/>
        </w:rPr>
        <w:t xml:space="preserve"> ‘enabling’ investments</w:t>
      </w:r>
      <w:r w:rsidR="00976501" w:rsidRPr="00327B3A">
        <w:rPr>
          <w:rFonts w:asciiTheme="majorHAnsi" w:hAnsiTheme="majorHAnsi" w:cstheme="majorHAnsi"/>
          <w:sz w:val="28"/>
          <w:szCs w:val="28"/>
        </w:rPr>
        <w:t>. The SDG4 target of attaining USE by 2030 is, therefore, wholly unrealistic for most countries in SSA and</w:t>
      </w:r>
      <w:r w:rsidR="009D1CEB">
        <w:rPr>
          <w:rFonts w:asciiTheme="majorHAnsi" w:hAnsiTheme="majorHAnsi" w:cstheme="majorHAnsi"/>
          <w:sz w:val="28"/>
          <w:szCs w:val="28"/>
        </w:rPr>
        <w:t>,</w:t>
      </w:r>
      <w:r w:rsidR="00976501" w:rsidRPr="00327B3A">
        <w:rPr>
          <w:rFonts w:asciiTheme="majorHAnsi" w:hAnsiTheme="majorHAnsi" w:cstheme="majorHAnsi"/>
          <w:sz w:val="28"/>
          <w:szCs w:val="28"/>
        </w:rPr>
        <w:t xml:space="preserve"> if pursued too energetically</w:t>
      </w:r>
      <w:r w:rsidR="009D1CEB">
        <w:rPr>
          <w:rFonts w:asciiTheme="majorHAnsi" w:hAnsiTheme="majorHAnsi" w:cstheme="majorHAnsi"/>
          <w:sz w:val="28"/>
          <w:szCs w:val="28"/>
        </w:rPr>
        <w:t>,</w:t>
      </w:r>
      <w:r w:rsidR="00976501" w:rsidRPr="00327B3A">
        <w:rPr>
          <w:rFonts w:asciiTheme="majorHAnsi" w:hAnsiTheme="majorHAnsi" w:cstheme="majorHAnsi"/>
          <w:sz w:val="28"/>
          <w:szCs w:val="28"/>
        </w:rPr>
        <w:t xml:space="preserve"> is likely to have quite serious adverse consequences for economic growth and overall national development.   </w:t>
      </w:r>
    </w:p>
    <w:p w:rsidR="004D5B4F" w:rsidRPr="00327B3A" w:rsidRDefault="004D5B4F" w:rsidP="00502ECB">
      <w:pPr>
        <w:jc w:val="both"/>
        <w:rPr>
          <w:rFonts w:asciiTheme="majorHAnsi" w:hAnsiTheme="majorHAnsi" w:cstheme="majorHAnsi"/>
          <w:i/>
          <w:sz w:val="28"/>
          <w:szCs w:val="28"/>
        </w:rPr>
      </w:pPr>
      <w:r w:rsidRPr="00327B3A">
        <w:rPr>
          <w:rFonts w:asciiTheme="majorHAnsi" w:hAnsiTheme="majorHAnsi" w:cstheme="majorHAnsi"/>
          <w:i/>
          <w:sz w:val="28"/>
          <w:szCs w:val="28"/>
        </w:rPr>
        <w:t>The concept of preparation</w:t>
      </w:r>
    </w:p>
    <w:p w:rsidR="00467220" w:rsidRPr="00327B3A" w:rsidRDefault="00295BE4" w:rsidP="003B77C7">
      <w:pPr>
        <w:jc w:val="both"/>
        <w:rPr>
          <w:rFonts w:asciiTheme="majorHAnsi" w:hAnsiTheme="majorHAnsi" w:cstheme="majorHAnsi"/>
          <w:sz w:val="28"/>
          <w:szCs w:val="28"/>
        </w:rPr>
      </w:pPr>
      <w:r w:rsidRPr="00327B3A">
        <w:rPr>
          <w:rFonts w:asciiTheme="majorHAnsi" w:hAnsiTheme="majorHAnsi" w:cstheme="majorHAnsi"/>
          <w:sz w:val="28"/>
          <w:szCs w:val="28"/>
        </w:rPr>
        <w:t>T</w:t>
      </w:r>
      <w:r w:rsidR="003B77C7" w:rsidRPr="00327B3A">
        <w:rPr>
          <w:rFonts w:asciiTheme="majorHAnsi" w:hAnsiTheme="majorHAnsi" w:cstheme="majorHAnsi"/>
          <w:sz w:val="28"/>
          <w:szCs w:val="28"/>
        </w:rPr>
        <w:t xml:space="preserve">his </w:t>
      </w:r>
      <w:r w:rsidR="005B27E3" w:rsidRPr="00327B3A">
        <w:rPr>
          <w:rFonts w:asciiTheme="majorHAnsi" w:hAnsiTheme="majorHAnsi" w:cstheme="majorHAnsi"/>
          <w:sz w:val="28"/>
          <w:szCs w:val="28"/>
        </w:rPr>
        <w:t xml:space="preserve">high-skills, human resource-led HRD </w:t>
      </w:r>
      <w:r w:rsidR="00467220" w:rsidRPr="00327B3A">
        <w:rPr>
          <w:rFonts w:asciiTheme="majorHAnsi" w:hAnsiTheme="majorHAnsi" w:cstheme="majorHAnsi"/>
          <w:sz w:val="28"/>
          <w:szCs w:val="28"/>
        </w:rPr>
        <w:t xml:space="preserve">strategy </w:t>
      </w:r>
      <w:r w:rsidRPr="00327B3A">
        <w:rPr>
          <w:rFonts w:asciiTheme="majorHAnsi" w:hAnsiTheme="majorHAnsi" w:cstheme="majorHAnsi"/>
          <w:sz w:val="28"/>
          <w:szCs w:val="28"/>
        </w:rPr>
        <w:t xml:space="preserve">is in many ways similar to </w:t>
      </w:r>
      <w:r w:rsidR="009D1CEB">
        <w:rPr>
          <w:rFonts w:asciiTheme="majorHAnsi" w:hAnsiTheme="majorHAnsi" w:cstheme="majorHAnsi"/>
          <w:sz w:val="28"/>
          <w:szCs w:val="28"/>
        </w:rPr>
        <w:t xml:space="preserve">the </w:t>
      </w:r>
      <w:r w:rsidR="004D5B4F" w:rsidRPr="00327B3A">
        <w:rPr>
          <w:rFonts w:asciiTheme="majorHAnsi" w:hAnsiTheme="majorHAnsi" w:cstheme="majorHAnsi"/>
          <w:sz w:val="28"/>
          <w:szCs w:val="28"/>
        </w:rPr>
        <w:t>t</w:t>
      </w:r>
      <w:r w:rsidRPr="00327B3A">
        <w:rPr>
          <w:rFonts w:asciiTheme="majorHAnsi" w:hAnsiTheme="majorHAnsi" w:cstheme="majorHAnsi"/>
          <w:sz w:val="28"/>
          <w:szCs w:val="28"/>
        </w:rPr>
        <w:t xml:space="preserve">raditional </w:t>
      </w:r>
      <w:r w:rsidR="00467220" w:rsidRPr="00327B3A">
        <w:rPr>
          <w:rFonts w:asciiTheme="majorHAnsi" w:hAnsiTheme="majorHAnsi" w:cstheme="majorHAnsi"/>
          <w:sz w:val="28"/>
          <w:szCs w:val="28"/>
        </w:rPr>
        <w:t xml:space="preserve">national </w:t>
      </w:r>
      <w:r w:rsidR="004D5B4F" w:rsidRPr="00327B3A">
        <w:rPr>
          <w:rFonts w:asciiTheme="majorHAnsi" w:hAnsiTheme="majorHAnsi" w:cstheme="majorHAnsi"/>
          <w:sz w:val="28"/>
          <w:szCs w:val="28"/>
        </w:rPr>
        <w:t>‘</w:t>
      </w:r>
      <w:r w:rsidRPr="00327B3A">
        <w:rPr>
          <w:rFonts w:asciiTheme="majorHAnsi" w:hAnsiTheme="majorHAnsi" w:cstheme="majorHAnsi"/>
          <w:sz w:val="28"/>
          <w:szCs w:val="28"/>
        </w:rPr>
        <w:t>manpower planning</w:t>
      </w:r>
      <w:r w:rsidR="004D5B4F" w:rsidRPr="00327B3A">
        <w:rPr>
          <w:rFonts w:asciiTheme="majorHAnsi" w:hAnsiTheme="majorHAnsi" w:cstheme="majorHAnsi"/>
          <w:sz w:val="28"/>
          <w:szCs w:val="28"/>
        </w:rPr>
        <w:t>’</w:t>
      </w:r>
      <w:r w:rsidRPr="00327B3A">
        <w:rPr>
          <w:rFonts w:asciiTheme="majorHAnsi" w:hAnsiTheme="majorHAnsi" w:cstheme="majorHAnsi"/>
          <w:sz w:val="28"/>
          <w:szCs w:val="28"/>
        </w:rPr>
        <w:t xml:space="preserve"> </w:t>
      </w:r>
      <w:r w:rsidR="00467220" w:rsidRPr="00327B3A">
        <w:rPr>
          <w:rFonts w:asciiTheme="majorHAnsi" w:hAnsiTheme="majorHAnsi" w:cstheme="majorHAnsi"/>
          <w:sz w:val="28"/>
          <w:szCs w:val="28"/>
        </w:rPr>
        <w:t xml:space="preserve">approach </w:t>
      </w:r>
      <w:r w:rsidR="001504E4" w:rsidRPr="00327B3A">
        <w:rPr>
          <w:rFonts w:asciiTheme="majorHAnsi" w:hAnsiTheme="majorHAnsi" w:cstheme="majorHAnsi"/>
          <w:sz w:val="28"/>
          <w:szCs w:val="28"/>
        </w:rPr>
        <w:t xml:space="preserve">which was prevalent </w:t>
      </w:r>
      <w:r w:rsidR="00467220" w:rsidRPr="00327B3A">
        <w:rPr>
          <w:rFonts w:asciiTheme="majorHAnsi" w:hAnsiTheme="majorHAnsi" w:cstheme="majorHAnsi"/>
          <w:sz w:val="28"/>
          <w:szCs w:val="28"/>
        </w:rPr>
        <w:t xml:space="preserve">in SSA </w:t>
      </w:r>
      <w:r w:rsidR="001504E4" w:rsidRPr="00327B3A">
        <w:rPr>
          <w:rFonts w:asciiTheme="majorHAnsi" w:hAnsiTheme="majorHAnsi" w:cstheme="majorHAnsi"/>
          <w:sz w:val="28"/>
          <w:szCs w:val="28"/>
        </w:rPr>
        <w:t>during the 1960s and 1970s. A</w:t>
      </w:r>
      <w:r w:rsidRPr="00327B3A">
        <w:rPr>
          <w:rFonts w:asciiTheme="majorHAnsi" w:hAnsiTheme="majorHAnsi" w:cstheme="majorHAnsi"/>
          <w:sz w:val="28"/>
          <w:szCs w:val="28"/>
        </w:rPr>
        <w:t xml:space="preserve">s such, </w:t>
      </w:r>
      <w:r w:rsidR="001504E4" w:rsidRPr="00327B3A">
        <w:rPr>
          <w:rFonts w:asciiTheme="majorHAnsi" w:hAnsiTheme="majorHAnsi" w:cstheme="majorHAnsi"/>
          <w:sz w:val="28"/>
          <w:szCs w:val="28"/>
        </w:rPr>
        <w:t xml:space="preserve">it is open to </w:t>
      </w:r>
      <w:r w:rsidR="00152881" w:rsidRPr="00327B3A">
        <w:rPr>
          <w:rFonts w:asciiTheme="majorHAnsi" w:hAnsiTheme="majorHAnsi" w:cstheme="majorHAnsi"/>
          <w:sz w:val="28"/>
          <w:szCs w:val="28"/>
        </w:rPr>
        <w:t>criticis</w:t>
      </w:r>
      <w:r w:rsidR="001504E4" w:rsidRPr="00327B3A">
        <w:rPr>
          <w:rFonts w:asciiTheme="majorHAnsi" w:hAnsiTheme="majorHAnsi" w:cstheme="majorHAnsi"/>
          <w:sz w:val="28"/>
          <w:szCs w:val="28"/>
        </w:rPr>
        <w:t xml:space="preserve">m </w:t>
      </w:r>
      <w:r w:rsidR="00467220" w:rsidRPr="00327B3A">
        <w:rPr>
          <w:rFonts w:asciiTheme="majorHAnsi" w:hAnsiTheme="majorHAnsi" w:cstheme="majorHAnsi"/>
          <w:sz w:val="28"/>
          <w:szCs w:val="28"/>
        </w:rPr>
        <w:t xml:space="preserve">for being </w:t>
      </w:r>
      <w:r w:rsidRPr="00327B3A">
        <w:rPr>
          <w:rFonts w:asciiTheme="majorHAnsi" w:hAnsiTheme="majorHAnsi" w:cstheme="majorHAnsi"/>
          <w:sz w:val="28"/>
          <w:szCs w:val="28"/>
        </w:rPr>
        <w:t>outdated</w:t>
      </w:r>
      <w:r w:rsidR="00467220" w:rsidRPr="00327B3A">
        <w:rPr>
          <w:rFonts w:asciiTheme="majorHAnsi" w:hAnsiTheme="majorHAnsi" w:cstheme="majorHAnsi"/>
          <w:sz w:val="28"/>
          <w:szCs w:val="28"/>
        </w:rPr>
        <w:t xml:space="preserve"> and largely discredited</w:t>
      </w:r>
      <w:r w:rsidRPr="00327B3A">
        <w:rPr>
          <w:rFonts w:asciiTheme="majorHAnsi" w:hAnsiTheme="majorHAnsi" w:cstheme="majorHAnsi"/>
          <w:sz w:val="28"/>
          <w:szCs w:val="28"/>
        </w:rPr>
        <w:t xml:space="preserve">. </w:t>
      </w:r>
    </w:p>
    <w:p w:rsidR="00826A6D" w:rsidRPr="00327B3A" w:rsidRDefault="003B77C7" w:rsidP="003B77C7">
      <w:pPr>
        <w:jc w:val="both"/>
        <w:rPr>
          <w:rFonts w:asciiTheme="majorHAnsi" w:hAnsiTheme="majorHAnsi" w:cstheme="majorHAnsi"/>
          <w:sz w:val="28"/>
          <w:szCs w:val="28"/>
        </w:rPr>
      </w:pPr>
      <w:r w:rsidRPr="00327B3A">
        <w:rPr>
          <w:rFonts w:asciiTheme="majorHAnsi" w:hAnsiTheme="majorHAnsi" w:cstheme="majorHAnsi"/>
          <w:sz w:val="28"/>
          <w:szCs w:val="28"/>
        </w:rPr>
        <w:t xml:space="preserve">Modernisation theory and </w:t>
      </w:r>
      <w:r w:rsidR="00295BE4" w:rsidRPr="00327B3A">
        <w:rPr>
          <w:rFonts w:asciiTheme="majorHAnsi" w:hAnsiTheme="majorHAnsi" w:cstheme="majorHAnsi"/>
          <w:sz w:val="28"/>
          <w:szCs w:val="28"/>
        </w:rPr>
        <w:t xml:space="preserve">the </w:t>
      </w:r>
      <w:r w:rsidRPr="00327B3A">
        <w:rPr>
          <w:rFonts w:asciiTheme="majorHAnsi" w:hAnsiTheme="majorHAnsi" w:cstheme="majorHAnsi"/>
          <w:sz w:val="28"/>
          <w:szCs w:val="28"/>
        </w:rPr>
        <w:t xml:space="preserve">related concept of preparation </w:t>
      </w:r>
      <w:r w:rsidR="00295BE4" w:rsidRPr="00327B3A">
        <w:rPr>
          <w:rFonts w:asciiTheme="majorHAnsi" w:hAnsiTheme="majorHAnsi" w:cstheme="majorHAnsi"/>
          <w:sz w:val="28"/>
          <w:szCs w:val="28"/>
        </w:rPr>
        <w:t xml:space="preserve">underpinned </w:t>
      </w:r>
      <w:r w:rsidR="009D1CEB">
        <w:rPr>
          <w:rFonts w:asciiTheme="majorHAnsi" w:hAnsiTheme="majorHAnsi" w:cstheme="majorHAnsi"/>
          <w:sz w:val="28"/>
          <w:szCs w:val="28"/>
        </w:rPr>
        <w:t xml:space="preserve">national </w:t>
      </w:r>
      <w:r w:rsidR="00295BE4" w:rsidRPr="00327B3A">
        <w:rPr>
          <w:rFonts w:asciiTheme="majorHAnsi" w:hAnsiTheme="majorHAnsi" w:cstheme="majorHAnsi"/>
          <w:sz w:val="28"/>
          <w:szCs w:val="28"/>
        </w:rPr>
        <w:t>HRD strategies (of which manpower planning was an integral component) in the late colonial period which</w:t>
      </w:r>
      <w:r w:rsidR="00152881" w:rsidRPr="00327B3A">
        <w:rPr>
          <w:rFonts w:asciiTheme="majorHAnsi" w:hAnsiTheme="majorHAnsi" w:cstheme="majorHAnsi"/>
          <w:sz w:val="28"/>
          <w:szCs w:val="28"/>
        </w:rPr>
        <w:t xml:space="preserve"> were based on the identification of </w:t>
      </w:r>
      <w:r w:rsidR="00295BE4" w:rsidRPr="00327B3A">
        <w:rPr>
          <w:rFonts w:asciiTheme="majorHAnsi" w:hAnsiTheme="majorHAnsi" w:cstheme="majorHAnsi"/>
          <w:sz w:val="28"/>
          <w:szCs w:val="28"/>
        </w:rPr>
        <w:t xml:space="preserve">key occupational </w:t>
      </w:r>
      <w:r w:rsidR="003275EF" w:rsidRPr="00327B3A">
        <w:rPr>
          <w:rFonts w:asciiTheme="majorHAnsi" w:hAnsiTheme="majorHAnsi" w:cstheme="majorHAnsi"/>
          <w:sz w:val="28"/>
          <w:szCs w:val="28"/>
        </w:rPr>
        <w:t xml:space="preserve">training </w:t>
      </w:r>
      <w:r w:rsidR="009D1CEB">
        <w:rPr>
          <w:rFonts w:asciiTheme="majorHAnsi" w:hAnsiTheme="majorHAnsi" w:cstheme="majorHAnsi"/>
          <w:sz w:val="28"/>
          <w:szCs w:val="28"/>
        </w:rPr>
        <w:t xml:space="preserve">needs </w:t>
      </w:r>
      <w:r w:rsidR="003275EF" w:rsidRPr="00327B3A">
        <w:rPr>
          <w:rFonts w:asciiTheme="majorHAnsi" w:hAnsiTheme="majorHAnsi" w:cstheme="majorHAnsi"/>
          <w:sz w:val="28"/>
          <w:szCs w:val="28"/>
        </w:rPr>
        <w:t xml:space="preserve">which had to be met for the successful transfer of </w:t>
      </w:r>
      <w:r w:rsidR="00152881" w:rsidRPr="00327B3A">
        <w:rPr>
          <w:rFonts w:asciiTheme="majorHAnsi" w:hAnsiTheme="majorHAnsi" w:cstheme="majorHAnsi"/>
          <w:sz w:val="28"/>
          <w:szCs w:val="28"/>
        </w:rPr>
        <w:t xml:space="preserve">political </w:t>
      </w:r>
      <w:r w:rsidR="003275EF" w:rsidRPr="00327B3A">
        <w:rPr>
          <w:rFonts w:asciiTheme="majorHAnsi" w:hAnsiTheme="majorHAnsi" w:cstheme="majorHAnsi"/>
          <w:sz w:val="28"/>
          <w:szCs w:val="28"/>
        </w:rPr>
        <w:t>power to new</w:t>
      </w:r>
      <w:r w:rsidR="00152881" w:rsidRPr="00327B3A">
        <w:rPr>
          <w:rFonts w:asciiTheme="majorHAnsi" w:hAnsiTheme="majorHAnsi" w:cstheme="majorHAnsi"/>
          <w:sz w:val="28"/>
          <w:szCs w:val="28"/>
        </w:rPr>
        <w:t>ly</w:t>
      </w:r>
      <w:r w:rsidR="003275EF" w:rsidRPr="00327B3A">
        <w:rPr>
          <w:rFonts w:asciiTheme="majorHAnsi" w:hAnsiTheme="majorHAnsi" w:cstheme="majorHAnsi"/>
          <w:sz w:val="28"/>
          <w:szCs w:val="28"/>
        </w:rPr>
        <w:t xml:space="preserve"> independent governments and, more widely, </w:t>
      </w:r>
      <w:r w:rsidR="00152881" w:rsidRPr="00327B3A">
        <w:rPr>
          <w:rFonts w:asciiTheme="majorHAnsi" w:hAnsiTheme="majorHAnsi" w:cstheme="majorHAnsi"/>
          <w:sz w:val="28"/>
          <w:szCs w:val="28"/>
        </w:rPr>
        <w:t xml:space="preserve">the </w:t>
      </w:r>
      <w:r w:rsidR="003275EF" w:rsidRPr="00327B3A">
        <w:rPr>
          <w:rFonts w:asciiTheme="majorHAnsi" w:hAnsiTheme="majorHAnsi" w:cstheme="majorHAnsi"/>
          <w:sz w:val="28"/>
          <w:szCs w:val="28"/>
        </w:rPr>
        <w:t>development</w:t>
      </w:r>
      <w:r w:rsidR="00152881" w:rsidRPr="00327B3A">
        <w:rPr>
          <w:rFonts w:asciiTheme="majorHAnsi" w:hAnsiTheme="majorHAnsi" w:cstheme="majorHAnsi"/>
          <w:sz w:val="28"/>
          <w:szCs w:val="28"/>
        </w:rPr>
        <w:t xml:space="preserve"> of capitalist economies</w:t>
      </w:r>
      <w:r w:rsidR="003275EF" w:rsidRPr="00327B3A">
        <w:rPr>
          <w:rFonts w:asciiTheme="majorHAnsi" w:hAnsiTheme="majorHAnsi" w:cstheme="majorHAnsi"/>
          <w:sz w:val="28"/>
          <w:szCs w:val="28"/>
        </w:rPr>
        <w:t xml:space="preserve">. </w:t>
      </w:r>
      <w:r w:rsidR="004106EE" w:rsidRPr="00327B3A">
        <w:rPr>
          <w:rFonts w:asciiTheme="majorHAnsi" w:hAnsiTheme="majorHAnsi" w:cstheme="majorHAnsi"/>
          <w:sz w:val="28"/>
          <w:szCs w:val="28"/>
        </w:rPr>
        <w:t>T</w:t>
      </w:r>
      <w:r w:rsidR="00152881" w:rsidRPr="00327B3A">
        <w:rPr>
          <w:rFonts w:asciiTheme="majorHAnsi" w:hAnsiTheme="majorHAnsi" w:cstheme="majorHAnsi"/>
          <w:sz w:val="28"/>
          <w:szCs w:val="28"/>
        </w:rPr>
        <w:t xml:space="preserve">he widespread </w:t>
      </w:r>
      <w:r w:rsidR="003275EF" w:rsidRPr="00327B3A">
        <w:rPr>
          <w:rFonts w:asciiTheme="majorHAnsi" w:hAnsiTheme="majorHAnsi" w:cstheme="majorHAnsi"/>
          <w:sz w:val="28"/>
          <w:szCs w:val="28"/>
        </w:rPr>
        <w:t>failure of this late colonial-</w:t>
      </w:r>
      <w:r w:rsidR="003275EF" w:rsidRPr="00327B3A">
        <w:rPr>
          <w:rFonts w:asciiTheme="majorHAnsi" w:hAnsiTheme="majorHAnsi" w:cstheme="majorHAnsi"/>
          <w:sz w:val="28"/>
          <w:szCs w:val="28"/>
        </w:rPr>
        <w:lastRenderedPageBreak/>
        <w:t xml:space="preserve">early independence HRD strategy was not because it was itself fundamentally misconceived but rather </w:t>
      </w:r>
      <w:r w:rsidR="00467220" w:rsidRPr="00327B3A">
        <w:rPr>
          <w:rFonts w:asciiTheme="majorHAnsi" w:hAnsiTheme="majorHAnsi" w:cstheme="majorHAnsi"/>
          <w:sz w:val="28"/>
          <w:szCs w:val="28"/>
        </w:rPr>
        <w:t xml:space="preserve">that </w:t>
      </w:r>
      <w:r w:rsidR="003275EF" w:rsidRPr="00327B3A">
        <w:rPr>
          <w:rFonts w:asciiTheme="majorHAnsi" w:hAnsiTheme="majorHAnsi" w:cstheme="majorHAnsi"/>
          <w:sz w:val="28"/>
          <w:szCs w:val="28"/>
        </w:rPr>
        <w:t xml:space="preserve">the other key prerequisites for rapid economic growth did not exist </w:t>
      </w:r>
      <w:r w:rsidR="00467220" w:rsidRPr="00327B3A">
        <w:rPr>
          <w:rFonts w:asciiTheme="majorHAnsi" w:hAnsiTheme="majorHAnsi" w:cstheme="majorHAnsi"/>
          <w:sz w:val="28"/>
          <w:szCs w:val="28"/>
        </w:rPr>
        <w:t xml:space="preserve">and, </w:t>
      </w:r>
      <w:r w:rsidR="003275EF" w:rsidRPr="00327B3A">
        <w:rPr>
          <w:rFonts w:asciiTheme="majorHAnsi" w:hAnsiTheme="majorHAnsi" w:cstheme="majorHAnsi"/>
          <w:sz w:val="28"/>
          <w:szCs w:val="28"/>
        </w:rPr>
        <w:t>in particular</w:t>
      </w:r>
      <w:r w:rsidR="00467220" w:rsidRPr="00327B3A">
        <w:rPr>
          <w:rFonts w:asciiTheme="majorHAnsi" w:hAnsiTheme="majorHAnsi" w:cstheme="majorHAnsi"/>
          <w:sz w:val="28"/>
          <w:szCs w:val="28"/>
        </w:rPr>
        <w:t>,</w:t>
      </w:r>
      <w:r w:rsidR="003275EF" w:rsidRPr="00327B3A">
        <w:rPr>
          <w:rFonts w:asciiTheme="majorHAnsi" w:hAnsiTheme="majorHAnsi" w:cstheme="majorHAnsi"/>
          <w:sz w:val="28"/>
          <w:szCs w:val="28"/>
        </w:rPr>
        <w:t xml:space="preserve"> appropriate economic policies and good </w:t>
      </w:r>
      <w:r w:rsidRPr="00327B3A">
        <w:rPr>
          <w:rFonts w:asciiTheme="majorHAnsi" w:hAnsiTheme="majorHAnsi" w:cstheme="majorHAnsi"/>
          <w:sz w:val="28"/>
          <w:szCs w:val="28"/>
        </w:rPr>
        <w:t>governance at all levels.</w:t>
      </w:r>
      <w:r w:rsidR="00152881" w:rsidRPr="00327B3A">
        <w:rPr>
          <w:rFonts w:asciiTheme="majorHAnsi" w:hAnsiTheme="majorHAnsi" w:cstheme="majorHAnsi"/>
          <w:sz w:val="28"/>
          <w:szCs w:val="28"/>
        </w:rPr>
        <w:t xml:space="preserve"> </w:t>
      </w:r>
    </w:p>
    <w:p w:rsidR="003B77C7" w:rsidRPr="00327B3A" w:rsidRDefault="00152881" w:rsidP="003B77C7">
      <w:pPr>
        <w:jc w:val="both"/>
        <w:rPr>
          <w:rFonts w:asciiTheme="majorHAnsi" w:hAnsiTheme="majorHAnsi" w:cstheme="majorHAnsi"/>
          <w:sz w:val="28"/>
          <w:szCs w:val="28"/>
        </w:rPr>
      </w:pPr>
      <w:r w:rsidRPr="00327B3A">
        <w:rPr>
          <w:rFonts w:asciiTheme="majorHAnsi" w:hAnsiTheme="majorHAnsi" w:cstheme="majorHAnsi"/>
          <w:sz w:val="28"/>
          <w:szCs w:val="28"/>
        </w:rPr>
        <w:t>As the experience of the late industrialising countries has clearly demonstrated, the co</w:t>
      </w:r>
      <w:r w:rsidR="009D1CEB">
        <w:rPr>
          <w:rFonts w:asciiTheme="majorHAnsi" w:hAnsiTheme="majorHAnsi" w:cstheme="majorHAnsi"/>
          <w:sz w:val="28"/>
          <w:szCs w:val="28"/>
        </w:rPr>
        <w:t xml:space="preserve">ncepts of preparation and human </w:t>
      </w:r>
      <w:r w:rsidRPr="00327B3A">
        <w:rPr>
          <w:rFonts w:asciiTheme="majorHAnsi" w:hAnsiTheme="majorHAnsi" w:cstheme="majorHAnsi"/>
          <w:sz w:val="28"/>
          <w:szCs w:val="28"/>
        </w:rPr>
        <w:t>resource</w:t>
      </w:r>
      <w:r w:rsidR="00467220" w:rsidRPr="00327B3A">
        <w:rPr>
          <w:rFonts w:asciiTheme="majorHAnsi" w:hAnsiTheme="majorHAnsi" w:cstheme="majorHAnsi"/>
          <w:sz w:val="28"/>
          <w:szCs w:val="28"/>
        </w:rPr>
        <w:t>s</w:t>
      </w:r>
      <w:r w:rsidR="009D1CEB">
        <w:rPr>
          <w:rFonts w:asciiTheme="majorHAnsi" w:hAnsiTheme="majorHAnsi" w:cstheme="majorHAnsi"/>
          <w:sz w:val="28"/>
          <w:szCs w:val="28"/>
        </w:rPr>
        <w:t>-</w:t>
      </w:r>
      <w:r w:rsidRPr="00327B3A">
        <w:rPr>
          <w:rFonts w:asciiTheme="majorHAnsi" w:hAnsiTheme="majorHAnsi" w:cstheme="majorHAnsi"/>
          <w:sz w:val="28"/>
          <w:szCs w:val="28"/>
        </w:rPr>
        <w:t>led development</w:t>
      </w:r>
      <w:r w:rsidR="003B77C7" w:rsidRPr="00327B3A">
        <w:rPr>
          <w:rFonts w:asciiTheme="majorHAnsi" w:hAnsiTheme="majorHAnsi" w:cstheme="majorHAnsi"/>
          <w:sz w:val="28"/>
          <w:szCs w:val="28"/>
        </w:rPr>
        <w:t xml:space="preserve"> </w:t>
      </w:r>
      <w:r w:rsidRPr="00327B3A">
        <w:rPr>
          <w:rFonts w:asciiTheme="majorHAnsi" w:hAnsiTheme="majorHAnsi" w:cstheme="majorHAnsi"/>
          <w:sz w:val="28"/>
          <w:szCs w:val="28"/>
        </w:rPr>
        <w:t>are fundamentally sound and are highly relevant in the current developme</w:t>
      </w:r>
      <w:r w:rsidR="009D1CEB">
        <w:rPr>
          <w:rFonts w:asciiTheme="majorHAnsi" w:hAnsiTheme="majorHAnsi" w:cstheme="majorHAnsi"/>
          <w:sz w:val="28"/>
          <w:szCs w:val="28"/>
        </w:rPr>
        <w:t>nt context in SSA</w:t>
      </w:r>
      <w:r w:rsidRPr="00327B3A">
        <w:rPr>
          <w:rFonts w:asciiTheme="majorHAnsi" w:hAnsiTheme="majorHAnsi" w:cstheme="majorHAnsi"/>
          <w:sz w:val="28"/>
          <w:szCs w:val="28"/>
        </w:rPr>
        <w:t>.</w:t>
      </w:r>
      <w:r w:rsidR="002B350C" w:rsidRPr="00327B3A">
        <w:rPr>
          <w:rFonts w:asciiTheme="majorHAnsi" w:hAnsiTheme="majorHAnsi" w:cstheme="majorHAnsi"/>
          <w:sz w:val="28"/>
          <w:szCs w:val="28"/>
        </w:rPr>
        <w:t xml:space="preserve"> A new, updated concept of preparation </w:t>
      </w:r>
      <w:r w:rsidR="00826A6D" w:rsidRPr="00327B3A">
        <w:rPr>
          <w:rFonts w:asciiTheme="majorHAnsi" w:hAnsiTheme="majorHAnsi" w:cstheme="majorHAnsi"/>
          <w:sz w:val="28"/>
          <w:szCs w:val="28"/>
        </w:rPr>
        <w:t>should, therefore,</w:t>
      </w:r>
      <w:r w:rsidR="002B350C" w:rsidRPr="00327B3A">
        <w:rPr>
          <w:rFonts w:asciiTheme="majorHAnsi" w:hAnsiTheme="majorHAnsi" w:cstheme="majorHAnsi"/>
          <w:sz w:val="28"/>
          <w:szCs w:val="28"/>
        </w:rPr>
        <w:t xml:space="preserve"> </w:t>
      </w:r>
      <w:r w:rsidR="00826A6D" w:rsidRPr="00327B3A">
        <w:rPr>
          <w:rFonts w:asciiTheme="majorHAnsi" w:hAnsiTheme="majorHAnsi" w:cstheme="majorHAnsi"/>
          <w:sz w:val="28"/>
          <w:szCs w:val="28"/>
        </w:rPr>
        <w:t xml:space="preserve">be operationalised </w:t>
      </w:r>
      <w:r w:rsidR="002B350C" w:rsidRPr="00327B3A">
        <w:rPr>
          <w:rFonts w:asciiTheme="majorHAnsi" w:hAnsiTheme="majorHAnsi" w:cstheme="majorHAnsi"/>
          <w:sz w:val="28"/>
          <w:szCs w:val="28"/>
        </w:rPr>
        <w:t xml:space="preserve">in order to address the current HRD priorities for </w:t>
      </w:r>
      <w:r w:rsidR="009D1CEB">
        <w:rPr>
          <w:rFonts w:asciiTheme="majorHAnsi" w:hAnsiTheme="majorHAnsi" w:cstheme="majorHAnsi"/>
          <w:sz w:val="28"/>
          <w:szCs w:val="28"/>
        </w:rPr>
        <w:t xml:space="preserve">sustained </w:t>
      </w:r>
      <w:r w:rsidR="00826A6D" w:rsidRPr="00327B3A">
        <w:rPr>
          <w:rFonts w:asciiTheme="majorHAnsi" w:hAnsiTheme="majorHAnsi" w:cstheme="majorHAnsi"/>
          <w:sz w:val="28"/>
          <w:szCs w:val="28"/>
        </w:rPr>
        <w:t xml:space="preserve">and </w:t>
      </w:r>
      <w:r w:rsidR="002B350C" w:rsidRPr="00327B3A">
        <w:rPr>
          <w:rFonts w:asciiTheme="majorHAnsi" w:hAnsiTheme="majorHAnsi" w:cstheme="majorHAnsi"/>
          <w:sz w:val="28"/>
          <w:szCs w:val="28"/>
        </w:rPr>
        <w:t xml:space="preserve">rapid </w:t>
      </w:r>
      <w:r w:rsidR="009D1CEB">
        <w:rPr>
          <w:rFonts w:asciiTheme="majorHAnsi" w:hAnsiTheme="majorHAnsi" w:cstheme="majorHAnsi"/>
          <w:sz w:val="28"/>
          <w:szCs w:val="28"/>
        </w:rPr>
        <w:t>(</w:t>
      </w:r>
      <w:r w:rsidR="002B350C" w:rsidRPr="00327B3A">
        <w:rPr>
          <w:rFonts w:asciiTheme="majorHAnsi" w:hAnsiTheme="majorHAnsi" w:cstheme="majorHAnsi"/>
          <w:sz w:val="28"/>
          <w:szCs w:val="28"/>
        </w:rPr>
        <w:t>capitalist</w:t>
      </w:r>
      <w:r w:rsidR="009D1CEB">
        <w:rPr>
          <w:rFonts w:asciiTheme="majorHAnsi" w:hAnsiTheme="majorHAnsi" w:cstheme="majorHAnsi"/>
          <w:sz w:val="28"/>
          <w:szCs w:val="28"/>
        </w:rPr>
        <w:t>)</w:t>
      </w:r>
      <w:r w:rsidR="00826A6D" w:rsidRPr="00327B3A">
        <w:rPr>
          <w:rFonts w:asciiTheme="majorHAnsi" w:hAnsiTheme="majorHAnsi" w:cstheme="majorHAnsi"/>
          <w:sz w:val="28"/>
          <w:szCs w:val="28"/>
        </w:rPr>
        <w:t xml:space="preserve"> </w:t>
      </w:r>
      <w:r w:rsidR="001D4CE1" w:rsidRPr="00327B3A">
        <w:rPr>
          <w:rFonts w:asciiTheme="majorHAnsi" w:hAnsiTheme="majorHAnsi" w:cstheme="majorHAnsi"/>
          <w:sz w:val="28"/>
          <w:szCs w:val="28"/>
        </w:rPr>
        <w:t>economic development in SSA.</w:t>
      </w:r>
      <w:r w:rsidRPr="00327B3A">
        <w:rPr>
          <w:rFonts w:asciiTheme="majorHAnsi" w:hAnsiTheme="majorHAnsi" w:cstheme="majorHAnsi"/>
          <w:sz w:val="28"/>
          <w:szCs w:val="28"/>
        </w:rPr>
        <w:t xml:space="preserve">  </w:t>
      </w:r>
      <w:r w:rsidR="003B77C7" w:rsidRPr="00327B3A">
        <w:rPr>
          <w:rFonts w:asciiTheme="majorHAnsi" w:hAnsiTheme="majorHAnsi" w:cstheme="majorHAnsi"/>
          <w:sz w:val="28"/>
          <w:szCs w:val="28"/>
        </w:rPr>
        <w:t xml:space="preserve">  </w:t>
      </w:r>
    </w:p>
    <w:p w:rsidR="002629B3" w:rsidRPr="00327B3A" w:rsidRDefault="002629B3" w:rsidP="002629B3">
      <w:pPr>
        <w:tabs>
          <w:tab w:val="left" w:pos="1068"/>
        </w:tabs>
        <w:jc w:val="both"/>
        <w:rPr>
          <w:rFonts w:asciiTheme="majorHAnsi" w:hAnsiTheme="majorHAnsi" w:cstheme="majorHAnsi"/>
          <w:sz w:val="28"/>
          <w:szCs w:val="28"/>
        </w:rPr>
      </w:pPr>
      <w:r w:rsidRPr="00327B3A">
        <w:rPr>
          <w:rFonts w:asciiTheme="majorHAnsi" w:hAnsiTheme="majorHAnsi" w:cstheme="majorHAnsi"/>
          <w:sz w:val="28"/>
          <w:szCs w:val="28"/>
        </w:rPr>
        <w:t>A good number of governments in SSA have adopted ‘national visions’ to become successful industrial or semi-industrial countries over the next 20-30 years. While the current nature of the global economy has changed dramatic</w:t>
      </w:r>
      <w:r w:rsidR="00467220" w:rsidRPr="00327B3A">
        <w:rPr>
          <w:rFonts w:asciiTheme="majorHAnsi" w:hAnsiTheme="majorHAnsi" w:cstheme="majorHAnsi"/>
          <w:sz w:val="28"/>
          <w:szCs w:val="28"/>
        </w:rPr>
        <w:t xml:space="preserve">ally since the 1950s, other </w:t>
      </w:r>
      <w:r w:rsidRPr="00327B3A">
        <w:rPr>
          <w:rFonts w:asciiTheme="majorHAnsi" w:hAnsiTheme="majorHAnsi" w:cstheme="majorHAnsi"/>
          <w:sz w:val="28"/>
          <w:szCs w:val="28"/>
        </w:rPr>
        <w:t>important lessons</w:t>
      </w:r>
      <w:r w:rsidR="00467220" w:rsidRPr="00327B3A">
        <w:rPr>
          <w:rFonts w:asciiTheme="majorHAnsi" w:hAnsiTheme="majorHAnsi" w:cstheme="majorHAnsi"/>
          <w:sz w:val="28"/>
          <w:szCs w:val="28"/>
        </w:rPr>
        <w:t xml:space="preserve"> can be drawn</w:t>
      </w:r>
      <w:r w:rsidRPr="00327B3A">
        <w:rPr>
          <w:rFonts w:asciiTheme="majorHAnsi" w:hAnsiTheme="majorHAnsi" w:cstheme="majorHAnsi"/>
          <w:sz w:val="28"/>
          <w:szCs w:val="28"/>
        </w:rPr>
        <w:t xml:space="preserve">, therefore, from the late industrialising economies of South East Asia and elsewhere.   </w:t>
      </w:r>
    </w:p>
    <w:p w:rsidR="00EA45CF" w:rsidRPr="00327B3A" w:rsidRDefault="002B350C" w:rsidP="00E7180B">
      <w:pPr>
        <w:jc w:val="both"/>
        <w:rPr>
          <w:rFonts w:asciiTheme="majorHAnsi" w:hAnsiTheme="majorHAnsi" w:cstheme="majorHAnsi"/>
          <w:sz w:val="28"/>
          <w:szCs w:val="28"/>
        </w:rPr>
      </w:pPr>
      <w:r w:rsidRPr="00327B3A">
        <w:rPr>
          <w:rFonts w:asciiTheme="majorHAnsi" w:hAnsiTheme="majorHAnsi" w:cstheme="majorHAnsi"/>
          <w:sz w:val="28"/>
          <w:szCs w:val="28"/>
        </w:rPr>
        <w:t xml:space="preserve">The main objective of </w:t>
      </w:r>
      <w:r w:rsidR="00467220" w:rsidRPr="00327B3A">
        <w:rPr>
          <w:rFonts w:asciiTheme="majorHAnsi" w:hAnsiTheme="majorHAnsi" w:cstheme="majorHAnsi"/>
          <w:sz w:val="28"/>
          <w:szCs w:val="28"/>
        </w:rPr>
        <w:t xml:space="preserve">early </w:t>
      </w:r>
      <w:r w:rsidRPr="00327B3A">
        <w:rPr>
          <w:rFonts w:asciiTheme="majorHAnsi" w:hAnsiTheme="majorHAnsi" w:cstheme="majorHAnsi"/>
          <w:sz w:val="28"/>
          <w:szCs w:val="28"/>
        </w:rPr>
        <w:t>industrial policy in the LICS was to identify and then promote single-mindedly the development of strategic sectors which</w:t>
      </w:r>
      <w:r w:rsidR="00467220" w:rsidRPr="00327B3A">
        <w:rPr>
          <w:rFonts w:asciiTheme="majorHAnsi" w:hAnsiTheme="majorHAnsi" w:cstheme="majorHAnsi"/>
          <w:sz w:val="28"/>
          <w:szCs w:val="28"/>
        </w:rPr>
        <w:t xml:space="preserve"> over time </w:t>
      </w:r>
      <w:r w:rsidRPr="00327B3A">
        <w:rPr>
          <w:rFonts w:asciiTheme="majorHAnsi" w:hAnsiTheme="majorHAnsi" w:cstheme="majorHAnsi"/>
          <w:sz w:val="28"/>
          <w:szCs w:val="28"/>
        </w:rPr>
        <w:t xml:space="preserve">increasingly required </w:t>
      </w:r>
      <w:r w:rsidR="009D1CEB">
        <w:rPr>
          <w:rFonts w:asciiTheme="majorHAnsi" w:hAnsiTheme="majorHAnsi" w:cstheme="majorHAnsi"/>
          <w:sz w:val="28"/>
          <w:szCs w:val="28"/>
        </w:rPr>
        <w:t xml:space="preserve">sizeable </w:t>
      </w:r>
      <w:r w:rsidRPr="00327B3A">
        <w:rPr>
          <w:rFonts w:asciiTheme="majorHAnsi" w:hAnsiTheme="majorHAnsi" w:cstheme="majorHAnsi"/>
          <w:sz w:val="28"/>
          <w:szCs w:val="28"/>
        </w:rPr>
        <w:t xml:space="preserve">investments in new technologies in order to </w:t>
      </w:r>
      <w:r w:rsidR="00467220" w:rsidRPr="00327B3A">
        <w:rPr>
          <w:rFonts w:asciiTheme="majorHAnsi" w:hAnsiTheme="majorHAnsi" w:cstheme="majorHAnsi"/>
          <w:sz w:val="28"/>
          <w:szCs w:val="28"/>
        </w:rPr>
        <w:t xml:space="preserve">maintain </w:t>
      </w:r>
      <w:r w:rsidRPr="00327B3A">
        <w:rPr>
          <w:rFonts w:asciiTheme="majorHAnsi" w:hAnsiTheme="majorHAnsi" w:cstheme="majorHAnsi"/>
          <w:sz w:val="28"/>
          <w:szCs w:val="28"/>
        </w:rPr>
        <w:t xml:space="preserve">international competitiveness. The timely provision of the necessary skilled personnel has been </w:t>
      </w:r>
      <w:r w:rsidR="00467220" w:rsidRPr="00327B3A">
        <w:rPr>
          <w:rFonts w:asciiTheme="majorHAnsi" w:hAnsiTheme="majorHAnsi" w:cstheme="majorHAnsi"/>
          <w:sz w:val="28"/>
          <w:szCs w:val="28"/>
        </w:rPr>
        <w:t xml:space="preserve">a </w:t>
      </w:r>
      <w:r w:rsidRPr="00327B3A">
        <w:rPr>
          <w:rFonts w:asciiTheme="majorHAnsi" w:hAnsiTheme="majorHAnsi" w:cstheme="majorHAnsi"/>
          <w:sz w:val="28"/>
          <w:szCs w:val="28"/>
        </w:rPr>
        <w:t>critically important aspect of th</w:t>
      </w:r>
      <w:r w:rsidR="00467220" w:rsidRPr="00327B3A">
        <w:rPr>
          <w:rFonts w:asciiTheme="majorHAnsi" w:hAnsiTheme="majorHAnsi" w:cstheme="majorHAnsi"/>
          <w:sz w:val="28"/>
          <w:szCs w:val="28"/>
        </w:rPr>
        <w:t>is state-</w:t>
      </w:r>
      <w:r w:rsidRPr="00327B3A">
        <w:rPr>
          <w:rFonts w:asciiTheme="majorHAnsi" w:hAnsiTheme="majorHAnsi" w:cstheme="majorHAnsi"/>
          <w:sz w:val="28"/>
          <w:szCs w:val="28"/>
        </w:rPr>
        <w:t xml:space="preserve">directed </w:t>
      </w:r>
      <w:r w:rsidR="00467220" w:rsidRPr="00327B3A">
        <w:rPr>
          <w:rFonts w:asciiTheme="majorHAnsi" w:hAnsiTheme="majorHAnsi" w:cstheme="majorHAnsi"/>
          <w:sz w:val="28"/>
          <w:szCs w:val="28"/>
        </w:rPr>
        <w:t xml:space="preserve">development </w:t>
      </w:r>
      <w:r w:rsidRPr="00327B3A">
        <w:rPr>
          <w:rFonts w:asciiTheme="majorHAnsi" w:hAnsiTheme="majorHAnsi" w:cstheme="majorHAnsi"/>
          <w:sz w:val="28"/>
          <w:szCs w:val="28"/>
        </w:rPr>
        <w:t xml:space="preserve">process. The state had to take the initiative in satisfying these human resource requirements for the simple reason that the effective demands for these personnel did not yet exist. This was human resource planning in the truest sense (Bennell, 1993:59). </w:t>
      </w:r>
      <w:r w:rsidRPr="00327B3A">
        <w:rPr>
          <w:rStyle w:val="FootnoteReference"/>
          <w:rFonts w:asciiTheme="majorHAnsi" w:hAnsiTheme="majorHAnsi" w:cstheme="majorHAnsi"/>
          <w:sz w:val="28"/>
          <w:szCs w:val="28"/>
        </w:rPr>
        <w:footnoteReference w:id="23"/>
      </w:r>
      <w:r w:rsidRPr="00327B3A">
        <w:rPr>
          <w:rFonts w:asciiTheme="majorHAnsi" w:hAnsiTheme="majorHAnsi" w:cstheme="majorHAnsi"/>
          <w:sz w:val="28"/>
          <w:szCs w:val="28"/>
        </w:rPr>
        <w:t xml:space="preserve"> </w:t>
      </w:r>
    </w:p>
    <w:p w:rsidR="00E7180B" w:rsidRPr="00327B3A" w:rsidRDefault="00452F37" w:rsidP="00E7180B">
      <w:pPr>
        <w:jc w:val="both"/>
        <w:rPr>
          <w:rFonts w:asciiTheme="majorHAnsi" w:hAnsiTheme="majorHAnsi" w:cstheme="majorHAnsi"/>
          <w:sz w:val="28"/>
          <w:szCs w:val="28"/>
        </w:rPr>
      </w:pPr>
      <w:r w:rsidRPr="00327B3A">
        <w:rPr>
          <w:rFonts w:asciiTheme="majorHAnsi" w:hAnsiTheme="majorHAnsi" w:cstheme="majorHAnsi"/>
          <w:sz w:val="28"/>
          <w:szCs w:val="28"/>
        </w:rPr>
        <w:t>The L</w:t>
      </w:r>
      <w:r w:rsidR="002B350C" w:rsidRPr="00327B3A">
        <w:rPr>
          <w:rFonts w:asciiTheme="majorHAnsi" w:hAnsiTheme="majorHAnsi" w:cstheme="majorHAnsi"/>
          <w:sz w:val="28"/>
          <w:szCs w:val="28"/>
        </w:rPr>
        <w:t xml:space="preserve">ICs were also able to focus on HRD for economic growth without facing strong political and social pressures to expand rapidly public schooling systems. </w:t>
      </w:r>
      <w:r w:rsidR="001504E4" w:rsidRPr="00327B3A">
        <w:rPr>
          <w:rFonts w:asciiTheme="majorHAnsi" w:hAnsiTheme="majorHAnsi" w:cstheme="majorHAnsi"/>
          <w:sz w:val="28"/>
          <w:szCs w:val="28"/>
        </w:rPr>
        <w:t xml:space="preserve">As with the mature industrial economies in Europe and America, educational development remained largely symbiotically, in-step with and thus </w:t>
      </w:r>
      <w:r w:rsidRPr="00327B3A">
        <w:rPr>
          <w:rFonts w:asciiTheme="majorHAnsi" w:hAnsiTheme="majorHAnsi" w:cstheme="majorHAnsi"/>
          <w:sz w:val="28"/>
          <w:szCs w:val="28"/>
        </w:rPr>
        <w:t xml:space="preserve">directly </w:t>
      </w:r>
      <w:r w:rsidR="001504E4" w:rsidRPr="00327B3A">
        <w:rPr>
          <w:rFonts w:asciiTheme="majorHAnsi" w:hAnsiTheme="majorHAnsi" w:cstheme="majorHAnsi"/>
          <w:sz w:val="28"/>
          <w:szCs w:val="28"/>
        </w:rPr>
        <w:t xml:space="preserve">supportive of </w:t>
      </w:r>
      <w:r w:rsidRPr="00327B3A">
        <w:rPr>
          <w:rFonts w:asciiTheme="majorHAnsi" w:hAnsiTheme="majorHAnsi" w:cstheme="majorHAnsi"/>
          <w:sz w:val="28"/>
          <w:szCs w:val="28"/>
        </w:rPr>
        <w:t xml:space="preserve">national </w:t>
      </w:r>
      <w:r w:rsidR="001504E4" w:rsidRPr="00327B3A">
        <w:rPr>
          <w:rFonts w:asciiTheme="majorHAnsi" w:hAnsiTheme="majorHAnsi" w:cstheme="majorHAnsi"/>
          <w:sz w:val="28"/>
          <w:szCs w:val="28"/>
        </w:rPr>
        <w:t xml:space="preserve">economic transformation. By contrast, this relationship is, </w:t>
      </w:r>
      <w:r w:rsidR="001504E4" w:rsidRPr="00327B3A">
        <w:rPr>
          <w:rFonts w:asciiTheme="majorHAnsi" w:hAnsiTheme="majorHAnsi" w:cstheme="majorHAnsi"/>
          <w:sz w:val="28"/>
          <w:szCs w:val="28"/>
        </w:rPr>
        <w:lastRenderedPageBreak/>
        <w:t xml:space="preserve">from a strictly economic perspective, increasingly </w:t>
      </w:r>
      <w:r w:rsidR="00E7180B" w:rsidRPr="00327B3A">
        <w:rPr>
          <w:rFonts w:asciiTheme="majorHAnsi" w:hAnsiTheme="majorHAnsi" w:cstheme="majorHAnsi"/>
          <w:sz w:val="28"/>
          <w:szCs w:val="28"/>
        </w:rPr>
        <w:t xml:space="preserve">dysfunctional </w:t>
      </w:r>
      <w:r w:rsidR="001504E4" w:rsidRPr="00327B3A">
        <w:rPr>
          <w:rFonts w:asciiTheme="majorHAnsi" w:hAnsiTheme="majorHAnsi" w:cstheme="majorHAnsi"/>
          <w:sz w:val="28"/>
          <w:szCs w:val="28"/>
        </w:rPr>
        <w:t xml:space="preserve">in most of SSA with educational development outpacing economic development. </w:t>
      </w:r>
    </w:p>
    <w:p w:rsidR="00295C20" w:rsidRPr="00327B3A" w:rsidRDefault="009F2179" w:rsidP="00577F32">
      <w:pPr>
        <w:jc w:val="both"/>
        <w:rPr>
          <w:rFonts w:asciiTheme="majorHAnsi" w:hAnsiTheme="majorHAnsi" w:cstheme="majorHAnsi"/>
          <w:i/>
          <w:sz w:val="28"/>
          <w:szCs w:val="28"/>
        </w:rPr>
      </w:pPr>
      <w:r w:rsidRPr="00327B3A">
        <w:rPr>
          <w:rFonts w:asciiTheme="majorHAnsi" w:hAnsiTheme="majorHAnsi" w:cstheme="majorHAnsi"/>
          <w:i/>
          <w:sz w:val="28"/>
          <w:szCs w:val="28"/>
        </w:rPr>
        <w:t>The potential pitfalls of p</w:t>
      </w:r>
      <w:r w:rsidR="005773C9" w:rsidRPr="00327B3A">
        <w:rPr>
          <w:rFonts w:asciiTheme="majorHAnsi" w:hAnsiTheme="majorHAnsi" w:cstheme="majorHAnsi"/>
          <w:i/>
          <w:sz w:val="28"/>
          <w:szCs w:val="28"/>
        </w:rPr>
        <w:t>rioritising USE</w:t>
      </w:r>
    </w:p>
    <w:p w:rsidR="00E7180B" w:rsidRPr="00327B3A" w:rsidRDefault="00180B99" w:rsidP="00295C20">
      <w:pPr>
        <w:jc w:val="both"/>
        <w:rPr>
          <w:rFonts w:asciiTheme="majorHAnsi" w:hAnsiTheme="majorHAnsi" w:cstheme="majorHAnsi"/>
          <w:sz w:val="28"/>
          <w:szCs w:val="28"/>
        </w:rPr>
      </w:pPr>
      <w:r w:rsidRPr="00327B3A">
        <w:rPr>
          <w:rFonts w:asciiTheme="majorHAnsi" w:hAnsiTheme="majorHAnsi" w:cstheme="majorHAnsi"/>
          <w:sz w:val="28"/>
          <w:szCs w:val="28"/>
        </w:rPr>
        <w:t xml:space="preserve">The consequences of uncritically adopting </w:t>
      </w:r>
      <w:r w:rsidR="005773C9" w:rsidRPr="00327B3A">
        <w:rPr>
          <w:rFonts w:asciiTheme="majorHAnsi" w:hAnsiTheme="majorHAnsi" w:cstheme="majorHAnsi"/>
          <w:sz w:val="28"/>
          <w:szCs w:val="28"/>
        </w:rPr>
        <w:t xml:space="preserve">the </w:t>
      </w:r>
      <w:r w:rsidR="00452F37" w:rsidRPr="00327B3A">
        <w:rPr>
          <w:rFonts w:asciiTheme="majorHAnsi" w:hAnsiTheme="majorHAnsi" w:cstheme="majorHAnsi"/>
          <w:sz w:val="28"/>
          <w:szCs w:val="28"/>
        </w:rPr>
        <w:t xml:space="preserve">overall </w:t>
      </w:r>
      <w:r w:rsidRPr="00327B3A">
        <w:rPr>
          <w:rFonts w:asciiTheme="majorHAnsi" w:hAnsiTheme="majorHAnsi" w:cstheme="majorHAnsi"/>
          <w:sz w:val="28"/>
          <w:szCs w:val="28"/>
        </w:rPr>
        <w:t xml:space="preserve">goal of </w:t>
      </w:r>
      <w:r w:rsidR="005773C9" w:rsidRPr="00327B3A">
        <w:rPr>
          <w:rFonts w:asciiTheme="majorHAnsi" w:hAnsiTheme="majorHAnsi" w:cstheme="majorHAnsi"/>
          <w:sz w:val="28"/>
          <w:szCs w:val="28"/>
        </w:rPr>
        <w:t xml:space="preserve">rapid implementation of USE </w:t>
      </w:r>
      <w:r w:rsidR="00E7180B" w:rsidRPr="00327B3A">
        <w:rPr>
          <w:rFonts w:asciiTheme="majorHAnsi" w:hAnsiTheme="majorHAnsi" w:cstheme="majorHAnsi"/>
          <w:sz w:val="28"/>
          <w:szCs w:val="28"/>
        </w:rPr>
        <w:t xml:space="preserve">in SSA are </w:t>
      </w:r>
      <w:r w:rsidR="00295C20" w:rsidRPr="00327B3A">
        <w:rPr>
          <w:rFonts w:asciiTheme="majorHAnsi" w:hAnsiTheme="majorHAnsi" w:cstheme="majorHAnsi"/>
          <w:sz w:val="28"/>
          <w:szCs w:val="28"/>
        </w:rPr>
        <w:t xml:space="preserve">potentially very serious. Firstly, as noted above, </w:t>
      </w:r>
      <w:r w:rsidR="008717D2" w:rsidRPr="00327B3A">
        <w:rPr>
          <w:rFonts w:asciiTheme="majorHAnsi" w:hAnsiTheme="majorHAnsi" w:cstheme="majorHAnsi"/>
          <w:sz w:val="28"/>
          <w:szCs w:val="28"/>
        </w:rPr>
        <w:t xml:space="preserve">national </w:t>
      </w:r>
      <w:r w:rsidR="00295C20" w:rsidRPr="00327B3A">
        <w:rPr>
          <w:rFonts w:asciiTheme="majorHAnsi" w:hAnsiTheme="majorHAnsi" w:cstheme="majorHAnsi"/>
          <w:sz w:val="28"/>
          <w:szCs w:val="28"/>
        </w:rPr>
        <w:t xml:space="preserve">secondary education </w:t>
      </w:r>
      <w:r w:rsidR="008717D2" w:rsidRPr="00327B3A">
        <w:rPr>
          <w:rFonts w:asciiTheme="majorHAnsi" w:hAnsiTheme="majorHAnsi" w:cstheme="majorHAnsi"/>
          <w:sz w:val="28"/>
          <w:szCs w:val="28"/>
        </w:rPr>
        <w:t xml:space="preserve">goals and objectives </w:t>
      </w:r>
      <w:r w:rsidR="00295C20" w:rsidRPr="00327B3A">
        <w:rPr>
          <w:rFonts w:asciiTheme="majorHAnsi" w:hAnsiTheme="majorHAnsi" w:cstheme="majorHAnsi"/>
          <w:sz w:val="28"/>
          <w:szCs w:val="28"/>
        </w:rPr>
        <w:t xml:space="preserve">must </w:t>
      </w:r>
      <w:r w:rsidR="009A5E0D" w:rsidRPr="00327B3A">
        <w:rPr>
          <w:rFonts w:asciiTheme="majorHAnsi" w:hAnsiTheme="majorHAnsi" w:cstheme="majorHAnsi"/>
          <w:sz w:val="28"/>
          <w:szCs w:val="28"/>
        </w:rPr>
        <w:t xml:space="preserve">be </w:t>
      </w:r>
      <w:r w:rsidR="00295C20" w:rsidRPr="00327B3A">
        <w:rPr>
          <w:rFonts w:asciiTheme="majorHAnsi" w:hAnsiTheme="majorHAnsi" w:cstheme="majorHAnsi"/>
          <w:sz w:val="28"/>
          <w:szCs w:val="28"/>
        </w:rPr>
        <w:t xml:space="preserve">firmly located </w:t>
      </w:r>
      <w:r w:rsidR="009A5E0D" w:rsidRPr="00327B3A">
        <w:rPr>
          <w:rFonts w:asciiTheme="majorHAnsi" w:hAnsiTheme="majorHAnsi" w:cstheme="majorHAnsi"/>
          <w:sz w:val="28"/>
          <w:szCs w:val="28"/>
        </w:rPr>
        <w:t>wit</w:t>
      </w:r>
      <w:r w:rsidR="00A77EF8" w:rsidRPr="00327B3A">
        <w:rPr>
          <w:rFonts w:asciiTheme="majorHAnsi" w:hAnsiTheme="majorHAnsi" w:cstheme="majorHAnsi"/>
          <w:sz w:val="28"/>
          <w:szCs w:val="28"/>
        </w:rPr>
        <w:t>hin the wider framework of well-</w:t>
      </w:r>
      <w:r w:rsidR="009A5E0D" w:rsidRPr="00327B3A">
        <w:rPr>
          <w:rFonts w:asciiTheme="majorHAnsi" w:hAnsiTheme="majorHAnsi" w:cstheme="majorHAnsi"/>
          <w:sz w:val="28"/>
          <w:szCs w:val="28"/>
        </w:rPr>
        <w:t xml:space="preserve">developed human resource development strategies. Since these will differ markedly from country to another, </w:t>
      </w:r>
      <w:r w:rsidR="00452F37" w:rsidRPr="00327B3A">
        <w:rPr>
          <w:rFonts w:asciiTheme="majorHAnsi" w:hAnsiTheme="majorHAnsi" w:cstheme="majorHAnsi"/>
          <w:sz w:val="28"/>
          <w:szCs w:val="28"/>
        </w:rPr>
        <w:t xml:space="preserve">the adoption of </w:t>
      </w:r>
      <w:r w:rsidR="009A5E0D" w:rsidRPr="00327B3A">
        <w:rPr>
          <w:rFonts w:asciiTheme="majorHAnsi" w:hAnsiTheme="majorHAnsi" w:cstheme="majorHAnsi"/>
          <w:sz w:val="28"/>
          <w:szCs w:val="28"/>
        </w:rPr>
        <w:t>a universal policy pres</w:t>
      </w:r>
      <w:r w:rsidR="00A77EF8" w:rsidRPr="00327B3A">
        <w:rPr>
          <w:rFonts w:asciiTheme="majorHAnsi" w:hAnsiTheme="majorHAnsi" w:cstheme="majorHAnsi"/>
          <w:sz w:val="28"/>
          <w:szCs w:val="28"/>
        </w:rPr>
        <w:t xml:space="preserve">cription </w:t>
      </w:r>
      <w:r w:rsidR="009A5E0D" w:rsidRPr="00327B3A">
        <w:rPr>
          <w:rFonts w:asciiTheme="majorHAnsi" w:hAnsiTheme="majorHAnsi" w:cstheme="majorHAnsi"/>
          <w:sz w:val="28"/>
          <w:szCs w:val="28"/>
        </w:rPr>
        <w:t xml:space="preserve">for the </w:t>
      </w:r>
      <w:r w:rsidR="00A77EF8" w:rsidRPr="00327B3A">
        <w:rPr>
          <w:rFonts w:asciiTheme="majorHAnsi" w:hAnsiTheme="majorHAnsi" w:cstheme="majorHAnsi"/>
          <w:sz w:val="28"/>
          <w:szCs w:val="28"/>
        </w:rPr>
        <w:t xml:space="preserve">rapid expansion of </w:t>
      </w:r>
      <w:r w:rsidR="00295C20" w:rsidRPr="00327B3A">
        <w:rPr>
          <w:rFonts w:asciiTheme="majorHAnsi" w:hAnsiTheme="majorHAnsi" w:cstheme="majorHAnsi"/>
          <w:sz w:val="28"/>
          <w:szCs w:val="28"/>
        </w:rPr>
        <w:t>secondary education across SSA as a whole i</w:t>
      </w:r>
      <w:r w:rsidR="00A77EF8" w:rsidRPr="00327B3A">
        <w:rPr>
          <w:rFonts w:asciiTheme="majorHAnsi" w:hAnsiTheme="majorHAnsi" w:cstheme="majorHAnsi"/>
          <w:sz w:val="28"/>
          <w:szCs w:val="28"/>
        </w:rPr>
        <w:t xml:space="preserve">s </w:t>
      </w:r>
      <w:r w:rsidR="00295C20" w:rsidRPr="00327B3A">
        <w:rPr>
          <w:rFonts w:asciiTheme="majorHAnsi" w:hAnsiTheme="majorHAnsi" w:cstheme="majorHAnsi"/>
          <w:sz w:val="28"/>
          <w:szCs w:val="28"/>
        </w:rPr>
        <w:t>ill conceived</w:t>
      </w:r>
      <w:r w:rsidR="00452F37" w:rsidRPr="00327B3A">
        <w:rPr>
          <w:rFonts w:asciiTheme="majorHAnsi" w:hAnsiTheme="majorHAnsi" w:cstheme="majorHAnsi"/>
          <w:sz w:val="28"/>
          <w:szCs w:val="28"/>
        </w:rPr>
        <w:t xml:space="preserve"> </w:t>
      </w:r>
      <w:r w:rsidR="00A77EF8" w:rsidRPr="00327B3A">
        <w:rPr>
          <w:rFonts w:asciiTheme="majorHAnsi" w:hAnsiTheme="majorHAnsi" w:cstheme="majorHAnsi"/>
          <w:sz w:val="28"/>
          <w:szCs w:val="28"/>
        </w:rPr>
        <w:t xml:space="preserve">and </w:t>
      </w:r>
      <w:r w:rsidR="00295C20" w:rsidRPr="00327B3A">
        <w:rPr>
          <w:rFonts w:asciiTheme="majorHAnsi" w:hAnsiTheme="majorHAnsi" w:cstheme="majorHAnsi"/>
          <w:sz w:val="28"/>
          <w:szCs w:val="28"/>
        </w:rPr>
        <w:t xml:space="preserve">likely to be </w:t>
      </w:r>
      <w:r w:rsidR="00A77EF8" w:rsidRPr="00327B3A">
        <w:rPr>
          <w:rFonts w:asciiTheme="majorHAnsi" w:hAnsiTheme="majorHAnsi" w:cstheme="majorHAnsi"/>
          <w:sz w:val="28"/>
          <w:szCs w:val="28"/>
        </w:rPr>
        <w:t xml:space="preserve">counterproductive. </w:t>
      </w:r>
    </w:p>
    <w:p w:rsidR="002629B3" w:rsidRPr="00327B3A" w:rsidRDefault="00E7180B" w:rsidP="00295C20">
      <w:pPr>
        <w:jc w:val="both"/>
        <w:rPr>
          <w:rFonts w:asciiTheme="majorHAnsi" w:hAnsiTheme="majorHAnsi" w:cstheme="majorHAnsi"/>
          <w:sz w:val="28"/>
          <w:szCs w:val="28"/>
        </w:rPr>
      </w:pPr>
      <w:r w:rsidRPr="00327B3A">
        <w:rPr>
          <w:rFonts w:asciiTheme="majorHAnsi" w:hAnsiTheme="majorHAnsi" w:cstheme="majorHAnsi"/>
          <w:sz w:val="28"/>
          <w:szCs w:val="28"/>
        </w:rPr>
        <w:t>And s</w:t>
      </w:r>
      <w:r w:rsidR="001504E4" w:rsidRPr="00327B3A">
        <w:rPr>
          <w:rFonts w:asciiTheme="majorHAnsi" w:hAnsiTheme="majorHAnsi" w:cstheme="majorHAnsi"/>
          <w:sz w:val="28"/>
          <w:szCs w:val="28"/>
        </w:rPr>
        <w:t xml:space="preserve">econdly, it </w:t>
      </w:r>
      <w:r w:rsidR="00452F37" w:rsidRPr="00327B3A">
        <w:rPr>
          <w:rFonts w:asciiTheme="majorHAnsi" w:hAnsiTheme="majorHAnsi" w:cstheme="majorHAnsi"/>
          <w:sz w:val="28"/>
          <w:szCs w:val="28"/>
        </w:rPr>
        <w:t xml:space="preserve">is </w:t>
      </w:r>
      <w:r w:rsidR="005773C9" w:rsidRPr="00327B3A">
        <w:rPr>
          <w:rFonts w:asciiTheme="majorHAnsi" w:hAnsiTheme="majorHAnsi" w:cstheme="majorHAnsi"/>
          <w:sz w:val="28"/>
          <w:szCs w:val="28"/>
        </w:rPr>
        <w:t xml:space="preserve">likely </w:t>
      </w:r>
      <w:r w:rsidR="00452F37" w:rsidRPr="00327B3A">
        <w:rPr>
          <w:rFonts w:asciiTheme="majorHAnsi" w:hAnsiTheme="majorHAnsi" w:cstheme="majorHAnsi"/>
          <w:sz w:val="28"/>
          <w:szCs w:val="28"/>
        </w:rPr>
        <w:t xml:space="preserve">to </w:t>
      </w:r>
      <w:r w:rsidR="005773C9" w:rsidRPr="00327B3A">
        <w:rPr>
          <w:rFonts w:asciiTheme="majorHAnsi" w:hAnsiTheme="majorHAnsi" w:cstheme="majorHAnsi"/>
          <w:sz w:val="28"/>
          <w:szCs w:val="28"/>
        </w:rPr>
        <w:t>adversely affect the implementation of the national HRD strategy outlined above.</w:t>
      </w:r>
      <w:r w:rsidR="00732673" w:rsidRPr="00327B3A">
        <w:rPr>
          <w:rFonts w:asciiTheme="majorHAnsi" w:hAnsiTheme="majorHAnsi" w:cstheme="majorHAnsi"/>
          <w:sz w:val="28"/>
          <w:szCs w:val="28"/>
        </w:rPr>
        <w:t xml:space="preserve"> </w:t>
      </w:r>
      <w:r w:rsidR="00EA45CF" w:rsidRPr="00327B3A">
        <w:rPr>
          <w:rFonts w:asciiTheme="majorHAnsi" w:hAnsiTheme="majorHAnsi" w:cstheme="majorHAnsi"/>
          <w:sz w:val="28"/>
          <w:szCs w:val="28"/>
        </w:rPr>
        <w:t>In particular, b</w:t>
      </w:r>
      <w:r w:rsidR="00732673" w:rsidRPr="00327B3A">
        <w:rPr>
          <w:rFonts w:asciiTheme="majorHAnsi" w:hAnsiTheme="majorHAnsi" w:cstheme="majorHAnsi"/>
          <w:sz w:val="28"/>
          <w:szCs w:val="28"/>
        </w:rPr>
        <w:t xml:space="preserve">ecause the </w:t>
      </w:r>
      <w:r w:rsidR="00BF1F5E" w:rsidRPr="00327B3A">
        <w:rPr>
          <w:rFonts w:asciiTheme="majorHAnsi" w:hAnsiTheme="majorHAnsi" w:cstheme="majorHAnsi"/>
          <w:sz w:val="28"/>
          <w:szCs w:val="28"/>
        </w:rPr>
        <w:t>MasterCard</w:t>
      </w:r>
      <w:r w:rsidR="00732673" w:rsidRPr="00327B3A">
        <w:rPr>
          <w:rFonts w:asciiTheme="majorHAnsi" w:hAnsiTheme="majorHAnsi" w:cstheme="majorHAnsi"/>
          <w:sz w:val="28"/>
          <w:szCs w:val="28"/>
        </w:rPr>
        <w:t xml:space="preserve"> Report treats secondary education in isolation </w:t>
      </w:r>
      <w:r w:rsidR="00EA45CF" w:rsidRPr="00327B3A">
        <w:rPr>
          <w:rFonts w:asciiTheme="majorHAnsi" w:hAnsiTheme="majorHAnsi" w:cstheme="majorHAnsi"/>
          <w:sz w:val="28"/>
          <w:szCs w:val="28"/>
        </w:rPr>
        <w:t xml:space="preserve">from the </w:t>
      </w:r>
      <w:r w:rsidR="00732673" w:rsidRPr="00327B3A">
        <w:rPr>
          <w:rFonts w:asciiTheme="majorHAnsi" w:hAnsiTheme="majorHAnsi" w:cstheme="majorHAnsi"/>
          <w:sz w:val="28"/>
          <w:szCs w:val="28"/>
        </w:rPr>
        <w:t xml:space="preserve">other </w:t>
      </w:r>
      <w:r w:rsidR="00EA45CF" w:rsidRPr="00327B3A">
        <w:rPr>
          <w:rFonts w:asciiTheme="majorHAnsi" w:hAnsiTheme="majorHAnsi" w:cstheme="majorHAnsi"/>
          <w:sz w:val="28"/>
          <w:szCs w:val="28"/>
        </w:rPr>
        <w:t xml:space="preserve">main </w:t>
      </w:r>
      <w:r w:rsidR="00732673" w:rsidRPr="00327B3A">
        <w:rPr>
          <w:rFonts w:asciiTheme="majorHAnsi" w:hAnsiTheme="majorHAnsi" w:cstheme="majorHAnsi"/>
          <w:sz w:val="28"/>
          <w:szCs w:val="28"/>
        </w:rPr>
        <w:t xml:space="preserve">education and training sub-sectors, there is no sense of </w:t>
      </w:r>
      <w:r w:rsidR="002629B3" w:rsidRPr="00327B3A">
        <w:rPr>
          <w:rFonts w:asciiTheme="majorHAnsi" w:hAnsiTheme="majorHAnsi" w:cstheme="majorHAnsi"/>
          <w:sz w:val="28"/>
          <w:szCs w:val="28"/>
        </w:rPr>
        <w:t xml:space="preserve">what </w:t>
      </w:r>
      <w:r w:rsidR="00732673" w:rsidRPr="00327B3A">
        <w:rPr>
          <w:rFonts w:asciiTheme="majorHAnsi" w:hAnsiTheme="majorHAnsi" w:cstheme="majorHAnsi"/>
          <w:sz w:val="28"/>
          <w:szCs w:val="28"/>
        </w:rPr>
        <w:t xml:space="preserve">the overall strategic priorities </w:t>
      </w:r>
      <w:r w:rsidR="002629B3" w:rsidRPr="00327B3A">
        <w:rPr>
          <w:rFonts w:asciiTheme="majorHAnsi" w:hAnsiTheme="majorHAnsi" w:cstheme="majorHAnsi"/>
          <w:sz w:val="28"/>
          <w:szCs w:val="28"/>
        </w:rPr>
        <w:t xml:space="preserve">should be in order to </w:t>
      </w:r>
      <w:r w:rsidR="00732673" w:rsidRPr="00327B3A">
        <w:rPr>
          <w:rFonts w:asciiTheme="majorHAnsi" w:hAnsiTheme="majorHAnsi" w:cstheme="majorHAnsi"/>
          <w:sz w:val="28"/>
          <w:szCs w:val="28"/>
        </w:rPr>
        <w:t>guide national human resources</w:t>
      </w:r>
      <w:r w:rsidR="002629B3" w:rsidRPr="00327B3A">
        <w:rPr>
          <w:rFonts w:asciiTheme="majorHAnsi" w:hAnsiTheme="majorHAnsi" w:cstheme="majorHAnsi"/>
          <w:sz w:val="28"/>
          <w:szCs w:val="28"/>
        </w:rPr>
        <w:t xml:space="preserve"> </w:t>
      </w:r>
      <w:r w:rsidR="00732673" w:rsidRPr="00327B3A">
        <w:rPr>
          <w:rFonts w:asciiTheme="majorHAnsi" w:hAnsiTheme="majorHAnsi" w:cstheme="majorHAnsi"/>
          <w:sz w:val="28"/>
          <w:szCs w:val="28"/>
        </w:rPr>
        <w:t xml:space="preserve">development as a whole. </w:t>
      </w:r>
    </w:p>
    <w:p w:rsidR="00295C20" w:rsidRPr="00327B3A" w:rsidRDefault="00732673" w:rsidP="00295C20">
      <w:pPr>
        <w:jc w:val="both"/>
        <w:rPr>
          <w:rFonts w:asciiTheme="majorHAnsi" w:hAnsiTheme="majorHAnsi" w:cstheme="majorHAnsi"/>
          <w:sz w:val="28"/>
          <w:szCs w:val="28"/>
        </w:rPr>
      </w:pPr>
      <w:r w:rsidRPr="00327B3A">
        <w:rPr>
          <w:rFonts w:asciiTheme="majorHAnsi" w:hAnsiTheme="majorHAnsi" w:cstheme="majorHAnsi"/>
          <w:sz w:val="28"/>
          <w:szCs w:val="28"/>
        </w:rPr>
        <w:t xml:space="preserve">The Report implicitly recognises that serious policy and resource trade-offs exist between these </w:t>
      </w:r>
      <w:r w:rsidR="00452F37" w:rsidRPr="00327B3A">
        <w:rPr>
          <w:rFonts w:asciiTheme="majorHAnsi" w:hAnsiTheme="majorHAnsi" w:cstheme="majorHAnsi"/>
          <w:sz w:val="28"/>
          <w:szCs w:val="28"/>
        </w:rPr>
        <w:t xml:space="preserve">education </w:t>
      </w:r>
      <w:r w:rsidRPr="00327B3A">
        <w:rPr>
          <w:rFonts w:asciiTheme="majorHAnsi" w:hAnsiTheme="majorHAnsi" w:cstheme="majorHAnsi"/>
          <w:sz w:val="28"/>
          <w:szCs w:val="28"/>
        </w:rPr>
        <w:t xml:space="preserve">sub-sectors. In particular, it cautions that ‘investments in secondary education are not at the expense of improving access and quality of primary education’ (p. 26) and that </w:t>
      </w:r>
      <w:r w:rsidR="00295C20" w:rsidRPr="00327B3A">
        <w:rPr>
          <w:rFonts w:asciiTheme="majorHAnsi" w:hAnsiTheme="majorHAnsi" w:cstheme="majorHAnsi"/>
          <w:sz w:val="28"/>
          <w:szCs w:val="28"/>
        </w:rPr>
        <w:t>‘</w:t>
      </w:r>
      <w:r w:rsidRPr="00327B3A">
        <w:rPr>
          <w:rFonts w:asciiTheme="majorHAnsi" w:hAnsiTheme="majorHAnsi" w:cstheme="majorHAnsi"/>
          <w:sz w:val="28"/>
          <w:szCs w:val="28"/>
        </w:rPr>
        <w:t>r</w:t>
      </w:r>
      <w:r w:rsidR="00295C20" w:rsidRPr="00327B3A">
        <w:rPr>
          <w:rFonts w:asciiTheme="majorHAnsi" w:hAnsiTheme="majorHAnsi" w:cstheme="majorHAnsi"/>
          <w:sz w:val="28"/>
          <w:szCs w:val="28"/>
        </w:rPr>
        <w:t xml:space="preserve">obust tertiary systems that prepare youth for highly technical and specialised roles are instrumental for the advancement of Africa’s economic transformation’ </w:t>
      </w:r>
      <w:r w:rsidRPr="00327B3A">
        <w:rPr>
          <w:rFonts w:asciiTheme="majorHAnsi" w:hAnsiTheme="majorHAnsi" w:cstheme="majorHAnsi"/>
          <w:sz w:val="28"/>
          <w:szCs w:val="28"/>
        </w:rPr>
        <w:t>(</w:t>
      </w:r>
      <w:r w:rsidR="00295C20" w:rsidRPr="00327B3A">
        <w:rPr>
          <w:rFonts w:asciiTheme="majorHAnsi" w:hAnsiTheme="majorHAnsi" w:cstheme="majorHAnsi"/>
          <w:sz w:val="28"/>
          <w:szCs w:val="28"/>
        </w:rPr>
        <w:t>p.52</w:t>
      </w:r>
      <w:r w:rsidRPr="00327B3A">
        <w:rPr>
          <w:rFonts w:asciiTheme="majorHAnsi" w:hAnsiTheme="majorHAnsi" w:cstheme="majorHAnsi"/>
          <w:sz w:val="28"/>
          <w:szCs w:val="28"/>
        </w:rPr>
        <w:t>)</w:t>
      </w:r>
      <w:r w:rsidR="002629B3" w:rsidRPr="00327B3A">
        <w:rPr>
          <w:rFonts w:asciiTheme="majorHAnsi" w:hAnsiTheme="majorHAnsi" w:cstheme="majorHAnsi"/>
          <w:sz w:val="28"/>
          <w:szCs w:val="28"/>
        </w:rPr>
        <w:t xml:space="preserve">. However, the </w:t>
      </w:r>
      <w:r w:rsidR="00452F37" w:rsidRPr="00327B3A">
        <w:rPr>
          <w:rFonts w:asciiTheme="majorHAnsi" w:hAnsiTheme="majorHAnsi" w:cstheme="majorHAnsi"/>
          <w:sz w:val="28"/>
          <w:szCs w:val="28"/>
        </w:rPr>
        <w:t xml:space="preserve">full </w:t>
      </w:r>
      <w:r w:rsidR="002629B3" w:rsidRPr="00327B3A">
        <w:rPr>
          <w:rFonts w:asciiTheme="majorHAnsi" w:hAnsiTheme="majorHAnsi" w:cstheme="majorHAnsi"/>
          <w:sz w:val="28"/>
          <w:szCs w:val="28"/>
        </w:rPr>
        <w:t xml:space="preserve">implications of these possible trade-offs for the future development of secondary education are not </w:t>
      </w:r>
      <w:r w:rsidR="00A4715F">
        <w:rPr>
          <w:rFonts w:asciiTheme="majorHAnsi" w:hAnsiTheme="majorHAnsi" w:cstheme="majorHAnsi"/>
          <w:sz w:val="28"/>
          <w:szCs w:val="28"/>
        </w:rPr>
        <w:t xml:space="preserve">explored. </w:t>
      </w:r>
      <w:r w:rsidR="002629B3" w:rsidRPr="00327B3A">
        <w:rPr>
          <w:rFonts w:asciiTheme="majorHAnsi" w:hAnsiTheme="majorHAnsi" w:cstheme="majorHAnsi"/>
          <w:sz w:val="28"/>
          <w:szCs w:val="28"/>
        </w:rPr>
        <w:t xml:space="preserve">   </w:t>
      </w:r>
    </w:p>
    <w:p w:rsidR="005A7663" w:rsidRPr="00327B3A" w:rsidRDefault="002629B3" w:rsidP="00577F32">
      <w:pPr>
        <w:jc w:val="both"/>
        <w:rPr>
          <w:rFonts w:asciiTheme="majorHAnsi" w:hAnsiTheme="majorHAnsi" w:cstheme="majorHAnsi"/>
          <w:sz w:val="28"/>
          <w:szCs w:val="28"/>
        </w:rPr>
      </w:pPr>
      <w:r w:rsidRPr="00327B3A">
        <w:rPr>
          <w:rFonts w:asciiTheme="majorHAnsi" w:hAnsiTheme="majorHAnsi" w:cstheme="majorHAnsi"/>
          <w:sz w:val="28"/>
          <w:szCs w:val="28"/>
        </w:rPr>
        <w:t xml:space="preserve">A related weakness of the Report is that it fails to consider </w:t>
      </w:r>
      <w:r w:rsidR="00A4715F">
        <w:rPr>
          <w:rFonts w:asciiTheme="majorHAnsi" w:hAnsiTheme="majorHAnsi" w:cstheme="majorHAnsi"/>
          <w:sz w:val="28"/>
          <w:szCs w:val="28"/>
        </w:rPr>
        <w:t xml:space="preserve">the potentially </w:t>
      </w:r>
      <w:r w:rsidRPr="00327B3A">
        <w:rPr>
          <w:rFonts w:asciiTheme="majorHAnsi" w:hAnsiTheme="majorHAnsi" w:cstheme="majorHAnsi"/>
          <w:sz w:val="28"/>
          <w:szCs w:val="28"/>
        </w:rPr>
        <w:t>serious trad</w:t>
      </w:r>
      <w:r w:rsidR="00E7180B" w:rsidRPr="00327B3A">
        <w:rPr>
          <w:rFonts w:asciiTheme="majorHAnsi" w:hAnsiTheme="majorHAnsi" w:cstheme="majorHAnsi"/>
          <w:sz w:val="28"/>
          <w:szCs w:val="28"/>
        </w:rPr>
        <w:t>e</w:t>
      </w:r>
      <w:r w:rsidRPr="00327B3A">
        <w:rPr>
          <w:rFonts w:asciiTheme="majorHAnsi" w:hAnsiTheme="majorHAnsi" w:cstheme="majorHAnsi"/>
          <w:sz w:val="28"/>
          <w:szCs w:val="28"/>
        </w:rPr>
        <w:t xml:space="preserve">-offs between </w:t>
      </w:r>
      <w:r w:rsidR="00295C20" w:rsidRPr="00327B3A">
        <w:rPr>
          <w:rFonts w:asciiTheme="majorHAnsi" w:hAnsiTheme="majorHAnsi" w:cstheme="majorHAnsi"/>
          <w:sz w:val="28"/>
          <w:szCs w:val="28"/>
        </w:rPr>
        <w:t>enhancing productivity</w:t>
      </w:r>
      <w:r w:rsidRPr="00327B3A">
        <w:rPr>
          <w:rFonts w:asciiTheme="majorHAnsi" w:hAnsiTheme="majorHAnsi" w:cstheme="majorHAnsi"/>
          <w:sz w:val="28"/>
          <w:szCs w:val="28"/>
        </w:rPr>
        <w:t>, on the on hand,</w:t>
      </w:r>
      <w:r w:rsidR="00295C20" w:rsidRPr="00327B3A">
        <w:rPr>
          <w:rFonts w:asciiTheme="majorHAnsi" w:hAnsiTheme="majorHAnsi" w:cstheme="majorHAnsi"/>
          <w:sz w:val="28"/>
          <w:szCs w:val="28"/>
        </w:rPr>
        <w:t xml:space="preserve"> and promoting inclusiveness</w:t>
      </w:r>
      <w:r w:rsidRPr="00327B3A">
        <w:rPr>
          <w:rFonts w:asciiTheme="majorHAnsi" w:hAnsiTheme="majorHAnsi" w:cstheme="majorHAnsi"/>
          <w:sz w:val="28"/>
          <w:szCs w:val="28"/>
        </w:rPr>
        <w:t xml:space="preserve"> through rapid enrolment expansion on the other</w:t>
      </w:r>
      <w:r w:rsidR="00295C20" w:rsidRPr="00327B3A">
        <w:rPr>
          <w:rFonts w:asciiTheme="majorHAnsi" w:hAnsiTheme="majorHAnsi" w:cstheme="majorHAnsi"/>
          <w:sz w:val="28"/>
          <w:szCs w:val="28"/>
        </w:rPr>
        <w:t>.</w:t>
      </w:r>
      <w:r w:rsidRPr="00327B3A">
        <w:rPr>
          <w:rFonts w:asciiTheme="majorHAnsi" w:hAnsiTheme="majorHAnsi" w:cstheme="majorHAnsi"/>
          <w:sz w:val="28"/>
          <w:szCs w:val="28"/>
        </w:rPr>
        <w:t xml:space="preserve"> In fact, given its emphasis on th</w:t>
      </w:r>
      <w:r w:rsidR="00EA45CF" w:rsidRPr="00327B3A">
        <w:rPr>
          <w:rFonts w:asciiTheme="majorHAnsi" w:hAnsiTheme="majorHAnsi" w:cstheme="majorHAnsi"/>
          <w:sz w:val="28"/>
          <w:szCs w:val="28"/>
        </w:rPr>
        <w:t xml:space="preserve">e overriding </w:t>
      </w:r>
      <w:r w:rsidRPr="00327B3A">
        <w:rPr>
          <w:rFonts w:asciiTheme="majorHAnsi" w:hAnsiTheme="majorHAnsi" w:cstheme="majorHAnsi"/>
          <w:sz w:val="28"/>
          <w:szCs w:val="28"/>
        </w:rPr>
        <w:t xml:space="preserve">role of reformed secondary education in providing all youth </w:t>
      </w:r>
      <w:r w:rsidR="00A4715F">
        <w:rPr>
          <w:rFonts w:asciiTheme="majorHAnsi" w:hAnsiTheme="majorHAnsi" w:cstheme="majorHAnsi"/>
          <w:sz w:val="28"/>
          <w:szCs w:val="28"/>
        </w:rPr>
        <w:t xml:space="preserve">in SSA </w:t>
      </w:r>
      <w:r w:rsidRPr="00327B3A">
        <w:rPr>
          <w:rFonts w:asciiTheme="majorHAnsi" w:hAnsiTheme="majorHAnsi" w:cstheme="majorHAnsi"/>
          <w:sz w:val="28"/>
          <w:szCs w:val="28"/>
        </w:rPr>
        <w:t xml:space="preserve">with the skills for future work, the goals of </w:t>
      </w:r>
      <w:r w:rsidR="005A7663" w:rsidRPr="00327B3A">
        <w:rPr>
          <w:rFonts w:asciiTheme="majorHAnsi" w:hAnsiTheme="majorHAnsi" w:cstheme="majorHAnsi"/>
          <w:sz w:val="28"/>
          <w:szCs w:val="28"/>
        </w:rPr>
        <w:t xml:space="preserve">national </w:t>
      </w:r>
      <w:r w:rsidRPr="00327B3A">
        <w:rPr>
          <w:rFonts w:asciiTheme="majorHAnsi" w:hAnsiTheme="majorHAnsi" w:cstheme="majorHAnsi"/>
          <w:sz w:val="28"/>
          <w:szCs w:val="28"/>
        </w:rPr>
        <w:t>productivity</w:t>
      </w:r>
      <w:r w:rsidR="005A7663" w:rsidRPr="00327B3A">
        <w:rPr>
          <w:rFonts w:asciiTheme="majorHAnsi" w:hAnsiTheme="majorHAnsi" w:cstheme="majorHAnsi"/>
          <w:sz w:val="28"/>
          <w:szCs w:val="28"/>
        </w:rPr>
        <w:t xml:space="preserve"> growth</w:t>
      </w:r>
      <w:r w:rsidRPr="00327B3A">
        <w:rPr>
          <w:rFonts w:asciiTheme="majorHAnsi" w:hAnsiTheme="majorHAnsi" w:cstheme="majorHAnsi"/>
          <w:sz w:val="28"/>
          <w:szCs w:val="28"/>
        </w:rPr>
        <w:t xml:space="preserve"> and inclusivity are treated as being entirely complementary.</w:t>
      </w:r>
      <w:r w:rsidR="00D67E19" w:rsidRPr="00327B3A">
        <w:rPr>
          <w:rFonts w:asciiTheme="majorHAnsi" w:hAnsiTheme="majorHAnsi" w:cstheme="majorHAnsi"/>
          <w:sz w:val="28"/>
          <w:szCs w:val="28"/>
        </w:rPr>
        <w:t xml:space="preserve"> </w:t>
      </w:r>
      <w:r w:rsidR="005A7663" w:rsidRPr="00327B3A">
        <w:rPr>
          <w:rFonts w:asciiTheme="majorHAnsi" w:hAnsiTheme="majorHAnsi" w:cstheme="majorHAnsi"/>
          <w:sz w:val="28"/>
          <w:szCs w:val="28"/>
        </w:rPr>
        <w:t xml:space="preserve">As discussed earlier, with the large majority of secondary school leavers destined to be employed in </w:t>
      </w:r>
      <w:r w:rsidR="00A4715F">
        <w:rPr>
          <w:rFonts w:asciiTheme="majorHAnsi" w:hAnsiTheme="majorHAnsi" w:cstheme="majorHAnsi"/>
          <w:sz w:val="28"/>
          <w:szCs w:val="28"/>
        </w:rPr>
        <w:t xml:space="preserve">smallholder agriculture and </w:t>
      </w:r>
      <w:r w:rsidR="005A7663" w:rsidRPr="00327B3A">
        <w:rPr>
          <w:rFonts w:asciiTheme="majorHAnsi" w:hAnsiTheme="majorHAnsi" w:cstheme="majorHAnsi"/>
          <w:sz w:val="28"/>
          <w:szCs w:val="28"/>
        </w:rPr>
        <w:t>the informal sector, this is unlikely to be the case.</w:t>
      </w:r>
    </w:p>
    <w:p w:rsidR="00DE5D60" w:rsidRPr="00327B3A" w:rsidRDefault="005A7663" w:rsidP="00577F32">
      <w:pPr>
        <w:jc w:val="both"/>
        <w:rPr>
          <w:rFonts w:asciiTheme="majorHAnsi" w:hAnsiTheme="majorHAnsi" w:cstheme="majorHAnsi"/>
          <w:sz w:val="28"/>
          <w:szCs w:val="28"/>
        </w:rPr>
      </w:pPr>
      <w:r w:rsidRPr="00327B3A">
        <w:rPr>
          <w:rFonts w:asciiTheme="majorHAnsi" w:hAnsiTheme="majorHAnsi" w:cstheme="majorHAnsi"/>
          <w:sz w:val="28"/>
          <w:szCs w:val="28"/>
        </w:rPr>
        <w:t xml:space="preserve">The other critical productivity-inclusion trade-off is that the </w:t>
      </w:r>
      <w:r w:rsidR="00314AA1" w:rsidRPr="00327B3A">
        <w:rPr>
          <w:rFonts w:asciiTheme="majorHAnsi" w:hAnsiTheme="majorHAnsi" w:cstheme="majorHAnsi"/>
          <w:sz w:val="28"/>
          <w:szCs w:val="28"/>
        </w:rPr>
        <w:t xml:space="preserve">very sizeable public </w:t>
      </w:r>
      <w:r w:rsidRPr="00327B3A">
        <w:rPr>
          <w:rFonts w:asciiTheme="majorHAnsi" w:hAnsiTheme="majorHAnsi" w:cstheme="majorHAnsi"/>
          <w:sz w:val="28"/>
          <w:szCs w:val="28"/>
        </w:rPr>
        <w:t>funding required for rapid increases in secondary school enrolments result</w:t>
      </w:r>
      <w:r w:rsidR="00314AA1" w:rsidRPr="00327B3A">
        <w:rPr>
          <w:rFonts w:asciiTheme="majorHAnsi" w:hAnsiTheme="majorHAnsi" w:cstheme="majorHAnsi"/>
          <w:sz w:val="28"/>
          <w:szCs w:val="28"/>
        </w:rPr>
        <w:t>s</w:t>
      </w:r>
      <w:r w:rsidRPr="00327B3A">
        <w:rPr>
          <w:rFonts w:asciiTheme="majorHAnsi" w:hAnsiTheme="majorHAnsi" w:cstheme="majorHAnsi"/>
          <w:sz w:val="28"/>
          <w:szCs w:val="28"/>
        </w:rPr>
        <w:t xml:space="preserve"> in </w:t>
      </w:r>
      <w:r w:rsidRPr="00327B3A">
        <w:rPr>
          <w:rFonts w:asciiTheme="majorHAnsi" w:hAnsiTheme="majorHAnsi" w:cstheme="majorHAnsi"/>
          <w:sz w:val="28"/>
          <w:szCs w:val="28"/>
        </w:rPr>
        <w:lastRenderedPageBreak/>
        <w:t xml:space="preserve">the under-funding of the </w:t>
      </w:r>
      <w:r w:rsidR="00314AA1" w:rsidRPr="00327B3A">
        <w:rPr>
          <w:rFonts w:asciiTheme="majorHAnsi" w:hAnsiTheme="majorHAnsi" w:cstheme="majorHAnsi"/>
          <w:sz w:val="28"/>
          <w:szCs w:val="28"/>
        </w:rPr>
        <w:t>post-secondary education and training that is immediately needed for the rapid economic development of the formal sector</w:t>
      </w:r>
      <w:r w:rsidR="00DE5D60" w:rsidRPr="00327B3A">
        <w:rPr>
          <w:rFonts w:asciiTheme="majorHAnsi" w:hAnsiTheme="majorHAnsi" w:cstheme="majorHAnsi"/>
          <w:sz w:val="28"/>
          <w:szCs w:val="28"/>
        </w:rPr>
        <w:t xml:space="preserve">. </w:t>
      </w:r>
    </w:p>
    <w:p w:rsidR="0029032F" w:rsidRPr="00327B3A" w:rsidRDefault="004B6254" w:rsidP="00314AA1">
      <w:pPr>
        <w:pStyle w:val="ListParagraph"/>
        <w:numPr>
          <w:ilvl w:val="0"/>
          <w:numId w:val="2"/>
        </w:numPr>
        <w:jc w:val="both"/>
        <w:rPr>
          <w:rFonts w:asciiTheme="majorHAnsi" w:hAnsiTheme="majorHAnsi" w:cstheme="majorHAnsi"/>
          <w:b/>
          <w:sz w:val="28"/>
          <w:szCs w:val="28"/>
        </w:rPr>
      </w:pPr>
      <w:r w:rsidRPr="00327B3A">
        <w:rPr>
          <w:rFonts w:asciiTheme="majorHAnsi" w:hAnsiTheme="majorHAnsi" w:cstheme="majorHAnsi"/>
          <w:b/>
          <w:sz w:val="28"/>
          <w:szCs w:val="28"/>
        </w:rPr>
        <w:t>Conclusion</w:t>
      </w:r>
    </w:p>
    <w:p w:rsidR="001A7EA4" w:rsidRDefault="001A7EA4" w:rsidP="00577F32">
      <w:pPr>
        <w:jc w:val="both"/>
        <w:rPr>
          <w:rFonts w:asciiTheme="majorHAnsi" w:hAnsiTheme="majorHAnsi" w:cstheme="majorHAnsi"/>
          <w:sz w:val="28"/>
          <w:szCs w:val="28"/>
        </w:rPr>
      </w:pPr>
      <w:r>
        <w:rPr>
          <w:rFonts w:asciiTheme="majorHAnsi" w:hAnsiTheme="majorHAnsi" w:cstheme="majorHAnsi"/>
          <w:sz w:val="28"/>
          <w:szCs w:val="28"/>
        </w:rPr>
        <w:t xml:space="preserve">The main conclusion that can be drawn from this review of the </w:t>
      </w:r>
      <w:r w:rsidR="00BF1F5E">
        <w:rPr>
          <w:rFonts w:asciiTheme="majorHAnsi" w:hAnsiTheme="majorHAnsi" w:cstheme="majorHAnsi"/>
          <w:sz w:val="28"/>
          <w:szCs w:val="28"/>
        </w:rPr>
        <w:t>MasterCard</w:t>
      </w:r>
      <w:r>
        <w:rPr>
          <w:rFonts w:asciiTheme="majorHAnsi" w:hAnsiTheme="majorHAnsi" w:cstheme="majorHAnsi"/>
          <w:sz w:val="28"/>
          <w:szCs w:val="28"/>
        </w:rPr>
        <w:t xml:space="preserve"> Foundation report is that greater realism is required in assessing the opportunities and constraints with regard to the attainment of USE in SSA. This calls for more </w:t>
      </w:r>
      <w:r w:rsidR="00770736">
        <w:rPr>
          <w:rFonts w:asciiTheme="majorHAnsi" w:hAnsiTheme="majorHAnsi" w:cstheme="majorHAnsi"/>
          <w:sz w:val="28"/>
          <w:szCs w:val="28"/>
        </w:rPr>
        <w:t xml:space="preserve">robust, </w:t>
      </w:r>
      <w:r>
        <w:rPr>
          <w:rFonts w:asciiTheme="majorHAnsi" w:hAnsiTheme="majorHAnsi" w:cstheme="majorHAnsi"/>
          <w:sz w:val="28"/>
          <w:szCs w:val="28"/>
        </w:rPr>
        <w:t>evidence-based analysis and recommendations which</w:t>
      </w:r>
      <w:r w:rsidR="00770736">
        <w:rPr>
          <w:rFonts w:asciiTheme="majorHAnsi" w:hAnsiTheme="majorHAnsi" w:cstheme="majorHAnsi"/>
          <w:sz w:val="28"/>
          <w:szCs w:val="28"/>
        </w:rPr>
        <w:t>,</w:t>
      </w:r>
      <w:r>
        <w:rPr>
          <w:rFonts w:asciiTheme="majorHAnsi" w:hAnsiTheme="majorHAnsi" w:cstheme="majorHAnsi"/>
          <w:sz w:val="28"/>
          <w:szCs w:val="28"/>
        </w:rPr>
        <w:t xml:space="preserve"> inter alia</w:t>
      </w:r>
      <w:r w:rsidR="00770736">
        <w:rPr>
          <w:rFonts w:asciiTheme="majorHAnsi" w:hAnsiTheme="majorHAnsi" w:cstheme="majorHAnsi"/>
          <w:sz w:val="28"/>
          <w:szCs w:val="28"/>
        </w:rPr>
        <w:t>,</w:t>
      </w:r>
      <w:r>
        <w:rPr>
          <w:rFonts w:asciiTheme="majorHAnsi" w:hAnsiTheme="majorHAnsi" w:cstheme="majorHAnsi"/>
          <w:sz w:val="28"/>
          <w:szCs w:val="28"/>
        </w:rPr>
        <w:t xml:space="preserve"> pay </w:t>
      </w:r>
      <w:r w:rsidR="00A4715F">
        <w:rPr>
          <w:rFonts w:asciiTheme="majorHAnsi" w:hAnsiTheme="majorHAnsi" w:cstheme="majorHAnsi"/>
          <w:sz w:val="28"/>
          <w:szCs w:val="28"/>
        </w:rPr>
        <w:t xml:space="preserve">more </w:t>
      </w:r>
      <w:r>
        <w:rPr>
          <w:rFonts w:asciiTheme="majorHAnsi" w:hAnsiTheme="majorHAnsi" w:cstheme="majorHAnsi"/>
          <w:sz w:val="28"/>
          <w:szCs w:val="28"/>
        </w:rPr>
        <w:t xml:space="preserve">attention to </w:t>
      </w:r>
      <w:r w:rsidR="00770736">
        <w:rPr>
          <w:rFonts w:asciiTheme="majorHAnsi" w:hAnsiTheme="majorHAnsi" w:cstheme="majorHAnsi"/>
          <w:sz w:val="28"/>
          <w:szCs w:val="28"/>
        </w:rPr>
        <w:t xml:space="preserve">(i) </w:t>
      </w:r>
      <w:r>
        <w:rPr>
          <w:rFonts w:asciiTheme="majorHAnsi" w:hAnsiTheme="majorHAnsi" w:cstheme="majorHAnsi"/>
          <w:sz w:val="28"/>
          <w:szCs w:val="28"/>
        </w:rPr>
        <w:t xml:space="preserve">the outcomes </w:t>
      </w:r>
      <w:r w:rsidR="00770736">
        <w:rPr>
          <w:rFonts w:asciiTheme="majorHAnsi" w:hAnsiTheme="majorHAnsi" w:cstheme="majorHAnsi"/>
          <w:sz w:val="28"/>
          <w:szCs w:val="28"/>
        </w:rPr>
        <w:t xml:space="preserve">and impacts </w:t>
      </w:r>
      <w:r>
        <w:rPr>
          <w:rFonts w:asciiTheme="majorHAnsi" w:hAnsiTheme="majorHAnsi" w:cstheme="majorHAnsi"/>
          <w:sz w:val="28"/>
          <w:szCs w:val="28"/>
        </w:rPr>
        <w:t>of the many policy and other interventions that have sought to improve secondary education provision in SSA</w:t>
      </w:r>
      <w:r w:rsidR="00A4715F">
        <w:rPr>
          <w:rFonts w:asciiTheme="majorHAnsi" w:hAnsiTheme="majorHAnsi" w:cstheme="majorHAnsi"/>
          <w:sz w:val="28"/>
          <w:szCs w:val="28"/>
        </w:rPr>
        <w:t>;</w:t>
      </w:r>
      <w:r w:rsidR="00770736">
        <w:rPr>
          <w:rFonts w:asciiTheme="majorHAnsi" w:hAnsiTheme="majorHAnsi" w:cstheme="majorHAnsi"/>
          <w:sz w:val="28"/>
          <w:szCs w:val="28"/>
        </w:rPr>
        <w:t xml:space="preserve"> (ii) </w:t>
      </w:r>
      <w:r>
        <w:rPr>
          <w:rFonts w:asciiTheme="majorHAnsi" w:hAnsiTheme="majorHAnsi" w:cstheme="majorHAnsi"/>
          <w:sz w:val="28"/>
          <w:szCs w:val="28"/>
        </w:rPr>
        <w:t>the importance of political economy and politics in shaping the commitment t</w:t>
      </w:r>
      <w:r w:rsidR="00A4715F">
        <w:rPr>
          <w:rFonts w:asciiTheme="majorHAnsi" w:hAnsiTheme="majorHAnsi" w:cstheme="majorHAnsi"/>
          <w:sz w:val="28"/>
          <w:szCs w:val="28"/>
        </w:rPr>
        <w:t>o USE and policy implementation;</w:t>
      </w:r>
      <w:r>
        <w:rPr>
          <w:rFonts w:asciiTheme="majorHAnsi" w:hAnsiTheme="majorHAnsi" w:cstheme="majorHAnsi"/>
          <w:sz w:val="28"/>
          <w:szCs w:val="28"/>
        </w:rPr>
        <w:t xml:space="preserve"> and </w:t>
      </w:r>
      <w:r w:rsidR="00770736">
        <w:rPr>
          <w:rFonts w:asciiTheme="majorHAnsi" w:hAnsiTheme="majorHAnsi" w:cstheme="majorHAnsi"/>
          <w:sz w:val="28"/>
          <w:szCs w:val="28"/>
        </w:rPr>
        <w:t xml:space="preserve">(iii) </w:t>
      </w:r>
      <w:r>
        <w:rPr>
          <w:rFonts w:asciiTheme="majorHAnsi" w:hAnsiTheme="majorHAnsi" w:cstheme="majorHAnsi"/>
          <w:sz w:val="28"/>
          <w:szCs w:val="28"/>
        </w:rPr>
        <w:t xml:space="preserve">the </w:t>
      </w:r>
      <w:r w:rsidR="00770736">
        <w:rPr>
          <w:rFonts w:asciiTheme="majorHAnsi" w:hAnsiTheme="majorHAnsi" w:cstheme="majorHAnsi"/>
          <w:sz w:val="28"/>
          <w:szCs w:val="28"/>
        </w:rPr>
        <w:t xml:space="preserve">precise </w:t>
      </w:r>
      <w:r>
        <w:rPr>
          <w:rFonts w:asciiTheme="majorHAnsi" w:hAnsiTheme="majorHAnsi" w:cstheme="majorHAnsi"/>
          <w:sz w:val="28"/>
          <w:szCs w:val="28"/>
        </w:rPr>
        <w:t xml:space="preserve">role and relative priority of secondary education in national human resource development strategies. </w:t>
      </w:r>
    </w:p>
    <w:p w:rsidR="00EA37EF" w:rsidRPr="00327B3A" w:rsidRDefault="005D0593" w:rsidP="00EA37EF">
      <w:pPr>
        <w:jc w:val="both"/>
        <w:rPr>
          <w:rFonts w:asciiTheme="majorHAnsi" w:hAnsiTheme="majorHAnsi" w:cstheme="majorHAnsi"/>
          <w:sz w:val="28"/>
          <w:szCs w:val="28"/>
        </w:rPr>
      </w:pPr>
      <w:r>
        <w:rPr>
          <w:rFonts w:asciiTheme="majorHAnsi" w:hAnsiTheme="majorHAnsi" w:cstheme="majorHAnsi"/>
          <w:sz w:val="28"/>
          <w:szCs w:val="28"/>
        </w:rPr>
        <w:t xml:space="preserve">Even if </w:t>
      </w:r>
      <w:r w:rsidR="00EA37EF" w:rsidRPr="00327B3A">
        <w:rPr>
          <w:rFonts w:asciiTheme="majorHAnsi" w:hAnsiTheme="majorHAnsi" w:cstheme="majorHAnsi"/>
          <w:sz w:val="28"/>
          <w:szCs w:val="28"/>
        </w:rPr>
        <w:t xml:space="preserve">it is possible to </w:t>
      </w:r>
      <w:r>
        <w:rPr>
          <w:rFonts w:asciiTheme="majorHAnsi" w:hAnsiTheme="majorHAnsi" w:cstheme="majorHAnsi"/>
          <w:sz w:val="28"/>
          <w:szCs w:val="28"/>
        </w:rPr>
        <w:t xml:space="preserve">implement </w:t>
      </w:r>
      <w:r w:rsidR="00A4715F">
        <w:rPr>
          <w:rFonts w:asciiTheme="majorHAnsi" w:hAnsiTheme="majorHAnsi" w:cstheme="majorHAnsi"/>
          <w:sz w:val="28"/>
          <w:szCs w:val="28"/>
        </w:rPr>
        <w:t xml:space="preserve">successfully </w:t>
      </w:r>
      <w:r>
        <w:rPr>
          <w:rFonts w:asciiTheme="majorHAnsi" w:hAnsiTheme="majorHAnsi" w:cstheme="majorHAnsi"/>
          <w:sz w:val="28"/>
          <w:szCs w:val="28"/>
        </w:rPr>
        <w:t xml:space="preserve">the </w:t>
      </w:r>
      <w:r w:rsidR="00EA37EF" w:rsidRPr="00327B3A">
        <w:rPr>
          <w:rFonts w:asciiTheme="majorHAnsi" w:hAnsiTheme="majorHAnsi" w:cstheme="majorHAnsi"/>
          <w:sz w:val="28"/>
          <w:szCs w:val="28"/>
        </w:rPr>
        <w:t xml:space="preserve">proposed </w:t>
      </w:r>
      <w:r>
        <w:rPr>
          <w:rFonts w:asciiTheme="majorHAnsi" w:hAnsiTheme="majorHAnsi" w:cstheme="majorHAnsi"/>
          <w:sz w:val="28"/>
          <w:szCs w:val="28"/>
        </w:rPr>
        <w:t>e</w:t>
      </w:r>
      <w:r w:rsidR="00A4715F">
        <w:rPr>
          <w:rFonts w:asciiTheme="majorHAnsi" w:hAnsiTheme="majorHAnsi" w:cstheme="majorHAnsi"/>
          <w:sz w:val="28"/>
          <w:szCs w:val="28"/>
        </w:rPr>
        <w:t xml:space="preserve">fficiency </w:t>
      </w:r>
      <w:r>
        <w:rPr>
          <w:rFonts w:asciiTheme="majorHAnsi" w:hAnsiTheme="majorHAnsi" w:cstheme="majorHAnsi"/>
          <w:sz w:val="28"/>
          <w:szCs w:val="28"/>
        </w:rPr>
        <w:t>improv</w:t>
      </w:r>
      <w:r w:rsidR="00A4715F">
        <w:rPr>
          <w:rFonts w:asciiTheme="majorHAnsi" w:hAnsiTheme="majorHAnsi" w:cstheme="majorHAnsi"/>
          <w:sz w:val="28"/>
          <w:szCs w:val="28"/>
        </w:rPr>
        <w:t xml:space="preserve">ements </w:t>
      </w:r>
      <w:r>
        <w:rPr>
          <w:rFonts w:asciiTheme="majorHAnsi" w:hAnsiTheme="majorHAnsi" w:cstheme="majorHAnsi"/>
          <w:sz w:val="28"/>
          <w:szCs w:val="28"/>
        </w:rPr>
        <w:t>outlined in the report</w:t>
      </w:r>
      <w:r w:rsidR="00EA37EF" w:rsidRPr="00327B3A">
        <w:rPr>
          <w:rFonts w:asciiTheme="majorHAnsi" w:hAnsiTheme="majorHAnsi" w:cstheme="majorHAnsi"/>
          <w:sz w:val="28"/>
          <w:szCs w:val="28"/>
        </w:rPr>
        <w:t xml:space="preserve">, </w:t>
      </w:r>
      <w:r>
        <w:rPr>
          <w:rFonts w:asciiTheme="majorHAnsi" w:hAnsiTheme="majorHAnsi" w:cstheme="majorHAnsi"/>
          <w:sz w:val="28"/>
          <w:szCs w:val="28"/>
        </w:rPr>
        <w:t xml:space="preserve">it is still the case that </w:t>
      </w:r>
      <w:r w:rsidR="00EA37EF" w:rsidRPr="00327B3A">
        <w:rPr>
          <w:rFonts w:asciiTheme="majorHAnsi" w:hAnsiTheme="majorHAnsi" w:cstheme="majorHAnsi"/>
          <w:sz w:val="28"/>
          <w:szCs w:val="28"/>
        </w:rPr>
        <w:t xml:space="preserve">the </w:t>
      </w:r>
      <w:r>
        <w:rPr>
          <w:rFonts w:asciiTheme="majorHAnsi" w:hAnsiTheme="majorHAnsi" w:cstheme="majorHAnsi"/>
          <w:sz w:val="28"/>
          <w:szCs w:val="28"/>
        </w:rPr>
        <w:t xml:space="preserve">overall costs of attaining USE will, at least for the foreseeable future, </w:t>
      </w:r>
      <w:r w:rsidR="00EA37EF" w:rsidRPr="00327B3A">
        <w:rPr>
          <w:rFonts w:asciiTheme="majorHAnsi" w:hAnsiTheme="majorHAnsi" w:cstheme="majorHAnsi"/>
          <w:sz w:val="28"/>
          <w:szCs w:val="28"/>
        </w:rPr>
        <w:t xml:space="preserve">simply too </w:t>
      </w:r>
      <w:r>
        <w:rPr>
          <w:rFonts w:asciiTheme="majorHAnsi" w:hAnsiTheme="majorHAnsi" w:cstheme="majorHAnsi"/>
          <w:sz w:val="28"/>
          <w:szCs w:val="28"/>
        </w:rPr>
        <w:t xml:space="preserve">high </w:t>
      </w:r>
      <w:r w:rsidR="00EA37EF" w:rsidRPr="00327B3A">
        <w:rPr>
          <w:rFonts w:asciiTheme="majorHAnsi" w:hAnsiTheme="majorHAnsi" w:cstheme="majorHAnsi"/>
          <w:sz w:val="28"/>
          <w:szCs w:val="28"/>
        </w:rPr>
        <w:t xml:space="preserve">for most governments </w:t>
      </w:r>
      <w:r>
        <w:rPr>
          <w:rFonts w:asciiTheme="majorHAnsi" w:hAnsiTheme="majorHAnsi" w:cstheme="majorHAnsi"/>
          <w:sz w:val="28"/>
          <w:szCs w:val="28"/>
        </w:rPr>
        <w:t>in SSA. As with UPE, expanding enrolments too rapidly is likely to lead a marked deterioration in learning outcomes and divert resources from other higher HRD priorities</w:t>
      </w:r>
      <w:r w:rsidR="00770736">
        <w:rPr>
          <w:rFonts w:asciiTheme="majorHAnsi" w:hAnsiTheme="majorHAnsi" w:cstheme="majorHAnsi"/>
          <w:sz w:val="28"/>
          <w:szCs w:val="28"/>
        </w:rPr>
        <w:t xml:space="preserve"> which could adversely affect rather than contribute to national economic development</w:t>
      </w:r>
      <w:r>
        <w:rPr>
          <w:rFonts w:asciiTheme="majorHAnsi" w:hAnsiTheme="majorHAnsi" w:cstheme="majorHAnsi"/>
          <w:sz w:val="28"/>
          <w:szCs w:val="28"/>
        </w:rPr>
        <w:t xml:space="preserve">.   </w:t>
      </w:r>
    </w:p>
    <w:p w:rsidR="001E5589" w:rsidRPr="00327B3A" w:rsidRDefault="005C0456" w:rsidP="00577F32">
      <w:pPr>
        <w:jc w:val="both"/>
        <w:rPr>
          <w:rFonts w:asciiTheme="majorHAnsi" w:hAnsiTheme="majorHAnsi" w:cstheme="majorHAnsi"/>
          <w:sz w:val="28"/>
          <w:szCs w:val="28"/>
        </w:rPr>
      </w:pPr>
      <w:r>
        <w:rPr>
          <w:rFonts w:asciiTheme="majorHAnsi" w:hAnsiTheme="majorHAnsi" w:cstheme="majorHAnsi"/>
          <w:sz w:val="28"/>
          <w:szCs w:val="28"/>
        </w:rPr>
        <w:t xml:space="preserve">The paucity of timely and sufficiently detailed information on secondary education policy and practice in SSA is major issue which should be urgently addressed. In particular, the UNESCO </w:t>
      </w:r>
      <w:r w:rsidR="001E5589" w:rsidRPr="00327B3A">
        <w:rPr>
          <w:rFonts w:asciiTheme="majorHAnsi" w:hAnsiTheme="majorHAnsi" w:cstheme="majorHAnsi"/>
          <w:sz w:val="28"/>
          <w:szCs w:val="28"/>
        </w:rPr>
        <w:t xml:space="preserve">Global Education Monitoring reports do not have </w:t>
      </w:r>
      <w:r>
        <w:rPr>
          <w:rFonts w:asciiTheme="majorHAnsi" w:hAnsiTheme="majorHAnsi" w:cstheme="majorHAnsi"/>
          <w:sz w:val="28"/>
          <w:szCs w:val="28"/>
        </w:rPr>
        <w:t xml:space="preserve">access to </w:t>
      </w:r>
      <w:r w:rsidR="001E5589" w:rsidRPr="00327B3A">
        <w:rPr>
          <w:rFonts w:asciiTheme="majorHAnsi" w:hAnsiTheme="majorHAnsi" w:cstheme="majorHAnsi"/>
          <w:sz w:val="28"/>
          <w:szCs w:val="28"/>
        </w:rPr>
        <w:t xml:space="preserve">adequate information to be able to monitor </w:t>
      </w:r>
      <w:r w:rsidR="00C76BC2">
        <w:rPr>
          <w:rFonts w:asciiTheme="majorHAnsi" w:hAnsiTheme="majorHAnsi" w:cstheme="majorHAnsi"/>
          <w:sz w:val="28"/>
          <w:szCs w:val="28"/>
        </w:rPr>
        <w:t xml:space="preserve">and analysis </w:t>
      </w:r>
      <w:r w:rsidR="001E5589" w:rsidRPr="00327B3A">
        <w:rPr>
          <w:rFonts w:asciiTheme="majorHAnsi" w:hAnsiTheme="majorHAnsi" w:cstheme="majorHAnsi"/>
          <w:sz w:val="28"/>
          <w:szCs w:val="28"/>
        </w:rPr>
        <w:t xml:space="preserve">adequately the progress in meeting the SDG4 education goals </w:t>
      </w:r>
      <w:r w:rsidR="00C76BC2">
        <w:rPr>
          <w:rFonts w:asciiTheme="majorHAnsi" w:hAnsiTheme="majorHAnsi" w:cstheme="majorHAnsi"/>
          <w:sz w:val="28"/>
          <w:szCs w:val="28"/>
        </w:rPr>
        <w:t xml:space="preserve">and especially </w:t>
      </w:r>
      <w:r w:rsidR="001E5589" w:rsidRPr="00327B3A">
        <w:rPr>
          <w:rFonts w:asciiTheme="majorHAnsi" w:hAnsiTheme="majorHAnsi" w:cstheme="majorHAnsi"/>
          <w:sz w:val="28"/>
          <w:szCs w:val="28"/>
        </w:rPr>
        <w:t xml:space="preserve">the key factors shaping </w:t>
      </w:r>
      <w:r w:rsidR="008717D2" w:rsidRPr="00327B3A">
        <w:rPr>
          <w:rFonts w:asciiTheme="majorHAnsi" w:hAnsiTheme="majorHAnsi" w:cstheme="majorHAnsi"/>
          <w:sz w:val="28"/>
          <w:szCs w:val="28"/>
        </w:rPr>
        <w:t xml:space="preserve">access, equity and quality/learning outcomes. </w:t>
      </w:r>
      <w:r w:rsidR="00C76BC2">
        <w:rPr>
          <w:rFonts w:asciiTheme="majorHAnsi" w:hAnsiTheme="majorHAnsi" w:cstheme="majorHAnsi"/>
          <w:sz w:val="28"/>
          <w:szCs w:val="28"/>
        </w:rPr>
        <w:t>A far more proactive, internationally coordinated approach is needed, therefore, in order to ensure that this information is collected from every country in SSA on a regular basis.</w:t>
      </w:r>
      <w:r w:rsidR="008717D2" w:rsidRPr="00327B3A">
        <w:rPr>
          <w:rFonts w:asciiTheme="majorHAnsi" w:hAnsiTheme="majorHAnsi" w:cstheme="majorHAnsi"/>
          <w:sz w:val="28"/>
          <w:szCs w:val="28"/>
        </w:rPr>
        <w:t xml:space="preserve">  </w:t>
      </w:r>
      <w:r w:rsidR="001E5589" w:rsidRPr="00327B3A">
        <w:rPr>
          <w:rFonts w:asciiTheme="majorHAnsi" w:hAnsiTheme="majorHAnsi" w:cstheme="majorHAnsi"/>
          <w:sz w:val="28"/>
          <w:szCs w:val="28"/>
        </w:rPr>
        <w:t xml:space="preserve"> </w:t>
      </w:r>
    </w:p>
    <w:p w:rsidR="001E5589" w:rsidRPr="00327B3A" w:rsidRDefault="001E5589" w:rsidP="00577F32">
      <w:pPr>
        <w:jc w:val="both"/>
        <w:rPr>
          <w:rFonts w:asciiTheme="majorHAnsi" w:hAnsiTheme="majorHAnsi" w:cstheme="majorHAnsi"/>
          <w:sz w:val="28"/>
          <w:szCs w:val="28"/>
        </w:rPr>
      </w:pPr>
    </w:p>
    <w:p w:rsidR="000A1688" w:rsidRPr="00327B3A" w:rsidRDefault="000A1688" w:rsidP="00577F32">
      <w:pPr>
        <w:jc w:val="both"/>
        <w:rPr>
          <w:rFonts w:asciiTheme="majorHAnsi" w:hAnsiTheme="majorHAnsi" w:cstheme="majorHAnsi"/>
          <w:sz w:val="28"/>
          <w:szCs w:val="28"/>
        </w:rPr>
      </w:pPr>
    </w:p>
    <w:p w:rsidR="000A1688" w:rsidRPr="00327B3A" w:rsidRDefault="000A1688">
      <w:pPr>
        <w:rPr>
          <w:rFonts w:asciiTheme="majorHAnsi" w:hAnsiTheme="majorHAnsi" w:cstheme="majorHAnsi"/>
          <w:sz w:val="28"/>
          <w:szCs w:val="28"/>
        </w:rPr>
      </w:pPr>
      <w:r w:rsidRPr="00327B3A">
        <w:rPr>
          <w:rFonts w:asciiTheme="majorHAnsi" w:hAnsiTheme="majorHAnsi" w:cstheme="majorHAnsi"/>
          <w:sz w:val="28"/>
          <w:szCs w:val="28"/>
        </w:rPr>
        <w:br w:type="page"/>
      </w:r>
    </w:p>
    <w:p w:rsidR="000A1688" w:rsidRPr="00327B3A" w:rsidRDefault="000A1688" w:rsidP="00327B3A">
      <w:pPr>
        <w:jc w:val="center"/>
        <w:rPr>
          <w:rFonts w:asciiTheme="majorHAnsi" w:hAnsiTheme="majorHAnsi" w:cstheme="majorHAnsi"/>
          <w:sz w:val="28"/>
          <w:szCs w:val="28"/>
        </w:rPr>
      </w:pPr>
      <w:r w:rsidRPr="00327B3A">
        <w:rPr>
          <w:rFonts w:asciiTheme="majorHAnsi" w:hAnsiTheme="majorHAnsi" w:cstheme="majorHAnsi"/>
          <w:sz w:val="28"/>
          <w:szCs w:val="28"/>
        </w:rPr>
        <w:lastRenderedPageBreak/>
        <w:t>REFERENCES</w:t>
      </w:r>
    </w:p>
    <w:p w:rsidR="000950D3" w:rsidRPr="00834D12" w:rsidRDefault="000950D3"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Amsden,</w:t>
      </w:r>
      <w:r w:rsidR="00834D12" w:rsidRPr="00834D12">
        <w:rPr>
          <w:rFonts w:asciiTheme="majorHAnsi" w:hAnsiTheme="majorHAnsi" w:cstheme="majorHAnsi"/>
          <w:sz w:val="28"/>
          <w:szCs w:val="28"/>
        </w:rPr>
        <w:t xml:space="preserve"> A.H. 1989. Asia’s next giant: South Korea and late industrialisation. London, Oxford University Press.</w:t>
      </w:r>
    </w:p>
    <w:p w:rsidR="00327B3A" w:rsidRPr="00834D12" w:rsidRDefault="00327B3A"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Ari</w:t>
      </w:r>
      <w:r w:rsidR="00A4715F" w:rsidRPr="00834D12">
        <w:rPr>
          <w:rFonts w:asciiTheme="majorHAnsi" w:hAnsiTheme="majorHAnsi" w:cstheme="majorHAnsi"/>
          <w:sz w:val="28"/>
          <w:szCs w:val="28"/>
        </w:rPr>
        <w:t xml:space="preserve">as, O., Santos, A., Evans D.K. </w:t>
      </w:r>
      <w:r w:rsidRPr="00834D12">
        <w:rPr>
          <w:rFonts w:asciiTheme="majorHAnsi" w:hAnsiTheme="majorHAnsi" w:cstheme="majorHAnsi"/>
          <w:sz w:val="28"/>
          <w:szCs w:val="28"/>
        </w:rPr>
        <w:t>2019</w:t>
      </w:r>
      <w:r w:rsidR="00C75EDB">
        <w:rPr>
          <w:rFonts w:asciiTheme="majorHAnsi" w:hAnsiTheme="majorHAnsi" w:cstheme="majorHAnsi"/>
          <w:sz w:val="28"/>
          <w:szCs w:val="28"/>
        </w:rPr>
        <w:t>. The skills balancing act in S</w:t>
      </w:r>
      <w:r w:rsidRPr="00834D12">
        <w:rPr>
          <w:rFonts w:asciiTheme="majorHAnsi" w:hAnsiTheme="majorHAnsi" w:cstheme="majorHAnsi"/>
          <w:sz w:val="28"/>
          <w:szCs w:val="28"/>
        </w:rPr>
        <w:t>ub-Saharan Africa: Investing in skills for productivity, inclusion and adaptability. World Bank, Washington D.C.</w:t>
      </w:r>
    </w:p>
    <w:p w:rsidR="00F41688" w:rsidRPr="00834D12" w:rsidRDefault="00F41688"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 xml:space="preserve">Bashir, S., Lockheed, M, Ninan, E., Tan J-P. </w:t>
      </w:r>
      <w:r w:rsidR="00A4715F" w:rsidRPr="00834D12">
        <w:rPr>
          <w:rFonts w:asciiTheme="majorHAnsi" w:hAnsiTheme="majorHAnsi" w:cstheme="majorHAnsi"/>
          <w:sz w:val="28"/>
          <w:szCs w:val="28"/>
        </w:rPr>
        <w:t>2018</w:t>
      </w:r>
      <w:r w:rsidRPr="00834D12">
        <w:rPr>
          <w:rFonts w:asciiTheme="majorHAnsi" w:hAnsiTheme="majorHAnsi" w:cstheme="majorHAnsi"/>
          <w:sz w:val="28"/>
          <w:szCs w:val="28"/>
        </w:rPr>
        <w:t>. Facing forward: Schooling for learning in Africa. AFD and World Bank. Washington D.C.</w:t>
      </w:r>
    </w:p>
    <w:p w:rsidR="00F41688" w:rsidRDefault="00DC22A8" w:rsidP="00834D12">
      <w:pPr>
        <w:spacing w:line="276" w:lineRule="auto"/>
        <w:jc w:val="both"/>
        <w:rPr>
          <w:rFonts w:asciiTheme="majorHAnsi" w:hAnsiTheme="majorHAnsi" w:cstheme="majorHAnsi"/>
          <w:sz w:val="28"/>
          <w:szCs w:val="28"/>
        </w:rPr>
      </w:pPr>
      <w:r>
        <w:rPr>
          <w:rFonts w:asciiTheme="majorHAnsi" w:hAnsiTheme="majorHAnsi" w:cstheme="majorHAnsi"/>
          <w:sz w:val="28"/>
          <w:szCs w:val="28"/>
        </w:rPr>
        <w:t>Bennell, P.S. 2021</w:t>
      </w:r>
      <w:r w:rsidR="00F41688" w:rsidRPr="00834D12">
        <w:rPr>
          <w:rFonts w:asciiTheme="majorHAnsi" w:hAnsiTheme="majorHAnsi" w:cstheme="majorHAnsi"/>
          <w:sz w:val="28"/>
          <w:szCs w:val="28"/>
        </w:rPr>
        <w:t>a</w:t>
      </w:r>
      <w:r w:rsidR="00C75EDB">
        <w:rPr>
          <w:rFonts w:asciiTheme="majorHAnsi" w:hAnsiTheme="majorHAnsi" w:cstheme="majorHAnsi"/>
          <w:sz w:val="28"/>
          <w:szCs w:val="28"/>
        </w:rPr>
        <w:t>. “</w:t>
      </w:r>
      <w:r w:rsidR="00F41688" w:rsidRPr="00834D12">
        <w:rPr>
          <w:rFonts w:asciiTheme="majorHAnsi" w:hAnsiTheme="majorHAnsi" w:cstheme="majorHAnsi"/>
          <w:sz w:val="28"/>
          <w:szCs w:val="28"/>
        </w:rPr>
        <w:t>The political economy of attaining Universal Primary Education in Sub-Saharan Africa: social class reproduction, educational distancing and job competition.</w:t>
      </w:r>
      <w:r w:rsidR="00C75EDB">
        <w:rPr>
          <w:rFonts w:asciiTheme="majorHAnsi" w:hAnsiTheme="majorHAnsi" w:cstheme="majorHAnsi"/>
          <w:sz w:val="28"/>
          <w:szCs w:val="28"/>
        </w:rPr>
        <w:t>”</w:t>
      </w:r>
      <w:r w:rsidR="00F41688" w:rsidRPr="00834D12">
        <w:rPr>
          <w:rFonts w:asciiTheme="majorHAnsi" w:hAnsiTheme="majorHAnsi" w:cstheme="majorHAnsi"/>
          <w:sz w:val="28"/>
          <w:szCs w:val="28"/>
        </w:rPr>
        <w:t xml:space="preserve"> International Journal of Educ</w:t>
      </w:r>
      <w:r w:rsidR="00C75EDB">
        <w:rPr>
          <w:rFonts w:asciiTheme="majorHAnsi" w:hAnsiTheme="majorHAnsi" w:cstheme="majorHAnsi"/>
          <w:sz w:val="28"/>
          <w:szCs w:val="28"/>
        </w:rPr>
        <w:t>ational Development, January</w:t>
      </w:r>
      <w:r w:rsidR="00F41688" w:rsidRPr="00834D12">
        <w:rPr>
          <w:rFonts w:asciiTheme="majorHAnsi" w:hAnsiTheme="majorHAnsi" w:cstheme="majorHAnsi"/>
          <w:sz w:val="28"/>
          <w:szCs w:val="28"/>
        </w:rPr>
        <w:t>.</w:t>
      </w:r>
    </w:p>
    <w:p w:rsidR="00C867E9" w:rsidRPr="00834D12" w:rsidRDefault="00DC22A8" w:rsidP="00C867E9">
      <w:pPr>
        <w:spacing w:line="276" w:lineRule="auto"/>
        <w:jc w:val="both"/>
        <w:rPr>
          <w:rFonts w:asciiTheme="majorHAnsi" w:hAnsiTheme="majorHAnsi" w:cstheme="majorHAnsi"/>
          <w:sz w:val="28"/>
          <w:szCs w:val="28"/>
        </w:rPr>
      </w:pPr>
      <w:r>
        <w:rPr>
          <w:rFonts w:asciiTheme="majorHAnsi" w:hAnsiTheme="majorHAnsi" w:cstheme="majorHAnsi"/>
          <w:sz w:val="28"/>
          <w:szCs w:val="28"/>
        </w:rPr>
        <w:t>Bennell, P.S. 2021</w:t>
      </w:r>
      <w:r w:rsidR="00C867E9">
        <w:rPr>
          <w:rFonts w:asciiTheme="majorHAnsi" w:hAnsiTheme="majorHAnsi" w:cstheme="majorHAnsi"/>
          <w:sz w:val="28"/>
          <w:szCs w:val="28"/>
        </w:rPr>
        <w:t>b. “</w:t>
      </w:r>
      <w:r w:rsidR="00C867E9" w:rsidRPr="00834D12">
        <w:rPr>
          <w:rFonts w:asciiTheme="majorHAnsi" w:hAnsiTheme="majorHAnsi" w:cstheme="majorHAnsi"/>
          <w:sz w:val="28"/>
          <w:szCs w:val="28"/>
        </w:rPr>
        <w:t xml:space="preserve">The political economy of attaining Universal Primary Education in Sub-Saharan Africa: </w:t>
      </w:r>
      <w:r w:rsidR="00C867E9">
        <w:rPr>
          <w:rFonts w:asciiTheme="majorHAnsi" w:hAnsiTheme="majorHAnsi" w:cstheme="majorHAnsi"/>
          <w:sz w:val="28"/>
          <w:szCs w:val="28"/>
        </w:rPr>
        <w:t>the politics of UPE implementation</w:t>
      </w:r>
      <w:r w:rsidR="00C867E9" w:rsidRPr="00834D12">
        <w:rPr>
          <w:rFonts w:asciiTheme="majorHAnsi" w:hAnsiTheme="majorHAnsi" w:cstheme="majorHAnsi"/>
          <w:sz w:val="28"/>
          <w:szCs w:val="28"/>
        </w:rPr>
        <w:t>.</w:t>
      </w:r>
      <w:r w:rsidR="00C867E9">
        <w:rPr>
          <w:rFonts w:asciiTheme="majorHAnsi" w:hAnsiTheme="majorHAnsi" w:cstheme="majorHAnsi"/>
          <w:sz w:val="28"/>
          <w:szCs w:val="28"/>
        </w:rPr>
        <w:t>”</w:t>
      </w:r>
      <w:r w:rsidR="00C867E9" w:rsidRPr="00834D12">
        <w:rPr>
          <w:rFonts w:asciiTheme="majorHAnsi" w:hAnsiTheme="majorHAnsi" w:cstheme="majorHAnsi"/>
          <w:sz w:val="28"/>
          <w:szCs w:val="28"/>
        </w:rPr>
        <w:t xml:space="preserve"> International Journal of Educ</w:t>
      </w:r>
      <w:r w:rsidR="00C867E9">
        <w:rPr>
          <w:rFonts w:asciiTheme="majorHAnsi" w:hAnsiTheme="majorHAnsi" w:cstheme="majorHAnsi"/>
          <w:sz w:val="28"/>
          <w:szCs w:val="28"/>
        </w:rPr>
        <w:t>ational Development, January</w:t>
      </w:r>
      <w:r w:rsidR="00C867E9" w:rsidRPr="00834D12">
        <w:rPr>
          <w:rFonts w:asciiTheme="majorHAnsi" w:hAnsiTheme="majorHAnsi" w:cstheme="majorHAnsi"/>
          <w:sz w:val="28"/>
          <w:szCs w:val="28"/>
        </w:rPr>
        <w:t>.</w:t>
      </w:r>
    </w:p>
    <w:p w:rsidR="00C867E9" w:rsidRPr="00DC22A8" w:rsidRDefault="00DC22A8" w:rsidP="00DC22A8">
      <w:pPr>
        <w:rPr>
          <w:rFonts w:asciiTheme="majorHAnsi" w:hAnsiTheme="majorHAnsi" w:cstheme="majorHAnsi"/>
          <w:sz w:val="28"/>
          <w:szCs w:val="28"/>
        </w:rPr>
      </w:pPr>
      <w:r w:rsidRPr="00DC22A8">
        <w:rPr>
          <w:rFonts w:asciiTheme="majorHAnsi" w:hAnsiTheme="majorHAnsi" w:cstheme="majorHAnsi"/>
          <w:sz w:val="28"/>
          <w:szCs w:val="28"/>
        </w:rPr>
        <w:t>Bennell, P.S. 2021c. “The Skills Balancing Act: A review of the 2019 World Bank report on skills development in Sub-Saharan Africa.” Compare, forthcoming</w:t>
      </w:r>
    </w:p>
    <w:p w:rsidR="00C867E9" w:rsidRPr="00834D12" w:rsidRDefault="00F41688" w:rsidP="00834D12">
      <w:pPr>
        <w:spacing w:line="276" w:lineRule="auto"/>
        <w:rPr>
          <w:rFonts w:asciiTheme="majorHAnsi" w:hAnsiTheme="majorHAnsi" w:cstheme="majorHAnsi"/>
          <w:sz w:val="28"/>
          <w:szCs w:val="28"/>
        </w:rPr>
      </w:pPr>
      <w:r w:rsidRPr="00834D12">
        <w:rPr>
          <w:rFonts w:asciiTheme="majorHAnsi" w:hAnsiTheme="majorHAnsi" w:cstheme="majorHAnsi"/>
          <w:sz w:val="28"/>
          <w:szCs w:val="28"/>
        </w:rPr>
        <w:t>Bennell, P.S. 2020</w:t>
      </w:r>
      <w:r w:rsidR="00DC22A8">
        <w:rPr>
          <w:rFonts w:asciiTheme="majorHAnsi" w:hAnsiTheme="majorHAnsi" w:cstheme="majorHAnsi"/>
          <w:sz w:val="28"/>
          <w:szCs w:val="28"/>
        </w:rPr>
        <w:t>d</w:t>
      </w:r>
      <w:r w:rsidRPr="00834D12">
        <w:rPr>
          <w:rFonts w:asciiTheme="majorHAnsi" w:hAnsiTheme="majorHAnsi" w:cstheme="majorHAnsi"/>
          <w:sz w:val="28"/>
          <w:szCs w:val="28"/>
        </w:rPr>
        <w:t xml:space="preserve">. </w:t>
      </w:r>
      <w:r w:rsidR="00C75EDB">
        <w:rPr>
          <w:rFonts w:asciiTheme="majorHAnsi" w:hAnsiTheme="majorHAnsi" w:cstheme="majorHAnsi"/>
          <w:sz w:val="28"/>
          <w:szCs w:val="28"/>
        </w:rPr>
        <w:t>“</w:t>
      </w:r>
      <w:r w:rsidRPr="00834D12">
        <w:rPr>
          <w:rFonts w:asciiTheme="majorHAnsi" w:hAnsiTheme="majorHAnsi" w:cstheme="majorHAnsi"/>
          <w:sz w:val="28"/>
          <w:szCs w:val="28"/>
        </w:rPr>
        <w:t>Strengthening vocational education and training in Sub-Saharan Africa: A review of World Bank policy and practice, 1991-2019</w:t>
      </w:r>
      <w:r w:rsidR="00C75EDB">
        <w:rPr>
          <w:rFonts w:asciiTheme="majorHAnsi" w:hAnsiTheme="majorHAnsi" w:cstheme="majorHAnsi"/>
          <w:sz w:val="28"/>
          <w:szCs w:val="28"/>
        </w:rPr>
        <w:t>.” KSD Working Paper 9. Brighton.</w:t>
      </w:r>
    </w:p>
    <w:p w:rsidR="00174420" w:rsidRPr="00834D12" w:rsidRDefault="00834D12" w:rsidP="00834D12">
      <w:pPr>
        <w:spacing w:line="276" w:lineRule="auto"/>
        <w:jc w:val="both"/>
        <w:rPr>
          <w:rFonts w:asciiTheme="majorHAnsi" w:hAnsiTheme="majorHAnsi" w:cstheme="majorHAnsi"/>
          <w:sz w:val="28"/>
          <w:szCs w:val="28"/>
        </w:rPr>
      </w:pPr>
      <w:r>
        <w:rPr>
          <w:rFonts w:asciiTheme="majorHAnsi" w:hAnsiTheme="majorHAnsi" w:cstheme="majorHAnsi"/>
          <w:sz w:val="28"/>
          <w:szCs w:val="28"/>
        </w:rPr>
        <w:t>Bennell, P.S. 1993.</w:t>
      </w:r>
      <w:r w:rsidR="00174420" w:rsidRPr="00834D12">
        <w:rPr>
          <w:rFonts w:asciiTheme="majorHAnsi" w:hAnsiTheme="majorHAnsi" w:cstheme="majorHAnsi"/>
          <w:sz w:val="28"/>
          <w:szCs w:val="28"/>
        </w:rPr>
        <w:t xml:space="preserve"> </w:t>
      </w:r>
      <w:r w:rsidR="00C75EDB">
        <w:rPr>
          <w:rFonts w:asciiTheme="majorHAnsi" w:hAnsiTheme="majorHAnsi" w:cstheme="majorHAnsi"/>
          <w:sz w:val="28"/>
          <w:szCs w:val="28"/>
        </w:rPr>
        <w:t>“</w:t>
      </w:r>
      <w:r w:rsidR="00174420" w:rsidRPr="00834D12">
        <w:rPr>
          <w:rFonts w:asciiTheme="majorHAnsi" w:hAnsiTheme="majorHAnsi" w:cstheme="majorHAnsi"/>
          <w:sz w:val="28"/>
          <w:szCs w:val="28"/>
        </w:rPr>
        <w:t>Industrial training in the new South Africa: some lessons fro</w:t>
      </w:r>
      <w:r w:rsidR="00C75EDB">
        <w:rPr>
          <w:rFonts w:asciiTheme="majorHAnsi" w:hAnsiTheme="majorHAnsi" w:cstheme="majorHAnsi"/>
          <w:sz w:val="28"/>
          <w:szCs w:val="28"/>
        </w:rPr>
        <w:t>m the LICS and MICS.” Education W</w:t>
      </w:r>
      <w:r w:rsidR="00174420" w:rsidRPr="00834D12">
        <w:rPr>
          <w:rFonts w:asciiTheme="majorHAnsi" w:hAnsiTheme="majorHAnsi" w:cstheme="majorHAnsi"/>
          <w:sz w:val="28"/>
          <w:szCs w:val="28"/>
        </w:rPr>
        <w:t>ith Production. 10, 1. pp. 49-76.</w:t>
      </w:r>
    </w:p>
    <w:p w:rsidR="00F41688" w:rsidRPr="00834D12" w:rsidRDefault="00F41688"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Bennell, P.S., Acheampong, K.</w:t>
      </w:r>
      <w:r w:rsidR="00A4715F" w:rsidRPr="00834D12">
        <w:rPr>
          <w:rFonts w:asciiTheme="majorHAnsi" w:hAnsiTheme="majorHAnsi" w:cstheme="majorHAnsi"/>
          <w:sz w:val="28"/>
          <w:szCs w:val="28"/>
        </w:rPr>
        <w:t xml:space="preserve"> </w:t>
      </w:r>
      <w:r w:rsidRPr="00834D12">
        <w:rPr>
          <w:rFonts w:asciiTheme="majorHAnsi" w:hAnsiTheme="majorHAnsi" w:cstheme="majorHAnsi"/>
          <w:sz w:val="28"/>
          <w:szCs w:val="28"/>
        </w:rPr>
        <w:t xml:space="preserve">2007. Teacher motivation and incentives in sub-Saharan Africa and South Asia. London. DFID. </w:t>
      </w:r>
    </w:p>
    <w:p w:rsidR="000950D3" w:rsidRPr="00834D12" w:rsidRDefault="000950D3"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Bourdieu,</w:t>
      </w:r>
      <w:r w:rsidR="00834D12" w:rsidRPr="00834D12">
        <w:rPr>
          <w:rFonts w:asciiTheme="majorHAnsi" w:hAnsiTheme="majorHAnsi" w:cstheme="majorHAnsi"/>
          <w:sz w:val="28"/>
          <w:szCs w:val="28"/>
        </w:rPr>
        <w:t xml:space="preserve"> P., Passeron, J.C. 1978. Reproduction in education, society, and culture. London, Sage.</w:t>
      </w:r>
    </w:p>
    <w:p w:rsidR="00834D12" w:rsidRPr="00834D12" w:rsidRDefault="00C867E9" w:rsidP="00834D12">
      <w:pPr>
        <w:spacing w:line="276" w:lineRule="auto"/>
        <w:jc w:val="both"/>
        <w:rPr>
          <w:rFonts w:asciiTheme="majorHAnsi" w:hAnsiTheme="majorHAnsi" w:cstheme="majorHAnsi"/>
          <w:sz w:val="28"/>
          <w:szCs w:val="28"/>
        </w:rPr>
      </w:pPr>
      <w:r>
        <w:rPr>
          <w:rFonts w:asciiTheme="majorHAnsi" w:hAnsiTheme="majorHAnsi" w:cstheme="majorHAnsi"/>
          <w:sz w:val="28"/>
          <w:szCs w:val="28"/>
        </w:rPr>
        <w:t>Di J.</w:t>
      </w:r>
      <w:r w:rsidR="00834D12" w:rsidRPr="00834D12">
        <w:rPr>
          <w:rFonts w:asciiTheme="majorHAnsi" w:hAnsiTheme="majorHAnsi" w:cstheme="majorHAnsi"/>
          <w:sz w:val="28"/>
          <w:szCs w:val="28"/>
        </w:rPr>
        <w:t>, Putzel, J. 2009. Political settlements: Issues paper. Discussion paper. University of Birmingham.</w:t>
      </w:r>
    </w:p>
    <w:p w:rsidR="003F59FB" w:rsidRPr="00834D12" w:rsidRDefault="003F59FB"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Doeringer</w:t>
      </w:r>
      <w:r w:rsidR="00834D12">
        <w:rPr>
          <w:rFonts w:asciiTheme="majorHAnsi" w:hAnsiTheme="majorHAnsi" w:cstheme="majorHAnsi"/>
          <w:sz w:val="28"/>
          <w:szCs w:val="28"/>
        </w:rPr>
        <w:t xml:space="preserve"> P.B., </w:t>
      </w:r>
      <w:r w:rsidRPr="00834D12">
        <w:rPr>
          <w:rFonts w:asciiTheme="majorHAnsi" w:hAnsiTheme="majorHAnsi" w:cstheme="majorHAnsi"/>
          <w:sz w:val="28"/>
          <w:szCs w:val="28"/>
        </w:rPr>
        <w:t>Priore</w:t>
      </w:r>
      <w:r w:rsidR="00834D12">
        <w:rPr>
          <w:rFonts w:asciiTheme="majorHAnsi" w:hAnsiTheme="majorHAnsi" w:cstheme="majorHAnsi"/>
          <w:sz w:val="28"/>
          <w:szCs w:val="28"/>
        </w:rPr>
        <w:t>, M.J. 1971.</w:t>
      </w:r>
      <w:r w:rsidRPr="00834D12">
        <w:rPr>
          <w:rFonts w:asciiTheme="majorHAnsi" w:hAnsiTheme="majorHAnsi" w:cstheme="majorHAnsi"/>
          <w:sz w:val="28"/>
          <w:szCs w:val="28"/>
        </w:rPr>
        <w:t xml:space="preserve"> Internal labour markets and manpower analysis. </w:t>
      </w:r>
      <w:r w:rsidR="00834D12">
        <w:rPr>
          <w:rFonts w:asciiTheme="majorHAnsi" w:hAnsiTheme="majorHAnsi" w:cstheme="majorHAnsi"/>
          <w:sz w:val="28"/>
          <w:szCs w:val="28"/>
        </w:rPr>
        <w:t>Lexington, Heath.</w:t>
      </w:r>
    </w:p>
    <w:p w:rsidR="003F59FB" w:rsidRPr="00834D12" w:rsidRDefault="003F59FB"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lastRenderedPageBreak/>
        <w:t>Dore, D. 1976. The diploma disease. Allen and Unwin, London.</w:t>
      </w:r>
    </w:p>
    <w:p w:rsidR="000A1688" w:rsidRPr="00834D12" w:rsidRDefault="000A1688"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Duflo</w:t>
      </w:r>
      <w:r w:rsidR="00CB62F0" w:rsidRPr="00834D12">
        <w:rPr>
          <w:rFonts w:asciiTheme="majorHAnsi" w:hAnsiTheme="majorHAnsi" w:cstheme="majorHAnsi"/>
          <w:sz w:val="28"/>
          <w:szCs w:val="28"/>
        </w:rPr>
        <w:t xml:space="preserve">, E., Dupas, P., Kremer, M. 2019. The impact of free secondary education: Experimental evidence from Ghana. Mimeo. </w:t>
      </w:r>
    </w:p>
    <w:p w:rsidR="00174420" w:rsidRPr="00834D12" w:rsidRDefault="00834D12" w:rsidP="00834D12">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Foster, P. </w:t>
      </w:r>
      <w:r w:rsidR="00174420" w:rsidRPr="00834D12">
        <w:rPr>
          <w:rFonts w:asciiTheme="majorHAnsi" w:hAnsiTheme="majorHAnsi" w:cstheme="majorHAnsi"/>
          <w:sz w:val="28"/>
          <w:szCs w:val="28"/>
        </w:rPr>
        <w:t>1965 The vocational school fallacy in development planning. In Andersen, C.A., Bowman, M.J. Education and economic development. Aldine, Chicago.</w:t>
      </w:r>
    </w:p>
    <w:p w:rsidR="00174420" w:rsidRPr="00834D12" w:rsidRDefault="00174420"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 xml:space="preserve">Gintis and Bowles. </w:t>
      </w:r>
      <w:r w:rsidR="00834D12">
        <w:rPr>
          <w:rFonts w:asciiTheme="majorHAnsi" w:hAnsiTheme="majorHAnsi" w:cstheme="majorHAnsi"/>
          <w:sz w:val="28"/>
          <w:szCs w:val="28"/>
        </w:rPr>
        <w:t>197</w:t>
      </w:r>
      <w:r w:rsidR="00C867E9">
        <w:rPr>
          <w:rFonts w:asciiTheme="majorHAnsi" w:hAnsiTheme="majorHAnsi" w:cstheme="majorHAnsi"/>
          <w:sz w:val="28"/>
          <w:szCs w:val="28"/>
        </w:rPr>
        <w:t>6</w:t>
      </w:r>
      <w:r w:rsidR="00834D12">
        <w:rPr>
          <w:rFonts w:asciiTheme="majorHAnsi" w:hAnsiTheme="majorHAnsi" w:cstheme="majorHAnsi"/>
          <w:sz w:val="28"/>
          <w:szCs w:val="28"/>
        </w:rPr>
        <w:t xml:space="preserve">. </w:t>
      </w:r>
      <w:r w:rsidRPr="00834D12">
        <w:rPr>
          <w:rFonts w:asciiTheme="majorHAnsi" w:hAnsiTheme="majorHAnsi" w:cstheme="majorHAnsi"/>
          <w:sz w:val="28"/>
          <w:szCs w:val="28"/>
        </w:rPr>
        <w:t>Schooling in capitalist America: Education reform and the contradictions of economic life. Basic Books, New York.</w:t>
      </w:r>
    </w:p>
    <w:p w:rsidR="000A1688" w:rsidRPr="00834D12" w:rsidRDefault="000A1688"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H</w:t>
      </w:r>
      <w:r w:rsidR="00834D12" w:rsidRPr="00834D12">
        <w:rPr>
          <w:rFonts w:asciiTheme="majorHAnsi" w:hAnsiTheme="majorHAnsi" w:cstheme="majorHAnsi"/>
          <w:sz w:val="28"/>
          <w:szCs w:val="28"/>
        </w:rPr>
        <w:t>abyarimana, J., Ochieng’ Opalo,</w:t>
      </w:r>
      <w:r w:rsidRPr="00834D12">
        <w:rPr>
          <w:rFonts w:asciiTheme="majorHAnsi" w:hAnsiTheme="majorHAnsi" w:cstheme="majorHAnsi"/>
          <w:sz w:val="28"/>
          <w:szCs w:val="28"/>
        </w:rPr>
        <w:t>., Schipper, Y. 2020. The cyclical electoral impacts of programmatic policies: Evidence from education reforms in Tanzania. RISE Working Paper</w:t>
      </w:r>
      <w:r w:rsidR="000950D3" w:rsidRPr="00834D12">
        <w:rPr>
          <w:rFonts w:asciiTheme="majorHAnsi" w:hAnsiTheme="majorHAnsi" w:cstheme="majorHAnsi"/>
          <w:sz w:val="28"/>
          <w:szCs w:val="28"/>
        </w:rPr>
        <w:t xml:space="preserve"> 20/051,</w:t>
      </w:r>
      <w:r w:rsidR="00CB62F0" w:rsidRPr="00834D12">
        <w:rPr>
          <w:rFonts w:asciiTheme="majorHAnsi" w:hAnsiTheme="majorHAnsi" w:cstheme="majorHAnsi"/>
          <w:sz w:val="28"/>
          <w:szCs w:val="28"/>
        </w:rPr>
        <w:t xml:space="preserve"> September. </w:t>
      </w:r>
    </w:p>
    <w:p w:rsidR="00174420" w:rsidRPr="00834D12" w:rsidRDefault="00174420"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 xml:space="preserve">Hickey, S., Hossain, N. 2019. The politics of education in developing countries: From schooling to learning. Oxford University Press, Oxford.  </w:t>
      </w:r>
    </w:p>
    <w:p w:rsidR="005C725F" w:rsidRPr="00834D12" w:rsidRDefault="000950D3" w:rsidP="00834D12">
      <w:pPr>
        <w:spacing w:after="100" w:afterAutospacing="1" w:line="276" w:lineRule="auto"/>
        <w:jc w:val="both"/>
        <w:rPr>
          <w:rFonts w:asciiTheme="majorHAnsi" w:hAnsiTheme="majorHAnsi" w:cstheme="majorHAnsi"/>
          <w:sz w:val="28"/>
          <w:szCs w:val="28"/>
        </w:rPr>
      </w:pPr>
      <w:r w:rsidRPr="00834D12">
        <w:rPr>
          <w:rFonts w:asciiTheme="majorHAnsi" w:hAnsiTheme="majorHAnsi" w:cstheme="majorHAnsi"/>
          <w:sz w:val="28"/>
          <w:szCs w:val="28"/>
        </w:rPr>
        <w:t xml:space="preserve">Kosack, S. </w:t>
      </w:r>
      <w:r w:rsidR="005C725F" w:rsidRPr="00834D12">
        <w:rPr>
          <w:rFonts w:asciiTheme="majorHAnsi" w:hAnsiTheme="majorHAnsi" w:cstheme="majorHAnsi"/>
          <w:sz w:val="28"/>
          <w:szCs w:val="28"/>
        </w:rPr>
        <w:t>2012. The education of nations: How the political organisation of the poor not democracy led governments to invest in mass education. New York: Oxford University Press.</w:t>
      </w:r>
    </w:p>
    <w:p w:rsidR="00834D12" w:rsidRPr="00834D12" w:rsidRDefault="00834D12"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Lauglo, J. 2012. Vocationalised secondary education. International Handbook of Education for the Changing World of Work. pp. 2295-2302.</w:t>
      </w:r>
    </w:p>
    <w:p w:rsidR="00834D12" w:rsidRPr="00834D12" w:rsidRDefault="00834D12"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 xml:space="preserve">Lauglo, J., Maclean, R. (eds.) 2005. Vocationalisation of secondary education revisited. Netherlands: Springer.  </w:t>
      </w:r>
    </w:p>
    <w:p w:rsidR="000950D3" w:rsidRPr="00834D12" w:rsidRDefault="000950D3"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Lipton</w:t>
      </w:r>
      <w:r w:rsidR="00C867E9">
        <w:rPr>
          <w:rFonts w:asciiTheme="majorHAnsi" w:hAnsiTheme="majorHAnsi" w:cstheme="majorHAnsi"/>
          <w:sz w:val="28"/>
          <w:szCs w:val="28"/>
        </w:rPr>
        <w:t>, M. 1977</w:t>
      </w:r>
      <w:r w:rsidR="00834D12" w:rsidRPr="00834D12">
        <w:rPr>
          <w:rFonts w:asciiTheme="majorHAnsi" w:hAnsiTheme="majorHAnsi" w:cstheme="majorHAnsi"/>
          <w:sz w:val="28"/>
          <w:szCs w:val="28"/>
        </w:rPr>
        <w:t xml:space="preserve">. </w:t>
      </w:r>
      <w:r w:rsidR="00C867E9">
        <w:rPr>
          <w:rFonts w:asciiTheme="majorHAnsi" w:hAnsiTheme="majorHAnsi" w:cstheme="majorHAnsi"/>
          <w:sz w:val="28"/>
          <w:szCs w:val="28"/>
        </w:rPr>
        <w:t>Why the poor stay poor:a study of urban bias in world development. Oxford, Palgrave.</w:t>
      </w:r>
    </w:p>
    <w:p w:rsidR="00834D12" w:rsidRPr="00834D12" w:rsidRDefault="00834D12"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Middleton, J.A., Ziderman A., Adams, A.V. 1993.</w:t>
      </w:r>
      <w:r w:rsidR="00C75EDB">
        <w:rPr>
          <w:rFonts w:asciiTheme="majorHAnsi" w:hAnsiTheme="majorHAnsi" w:cstheme="majorHAnsi"/>
          <w:sz w:val="28"/>
          <w:szCs w:val="28"/>
        </w:rPr>
        <w:t xml:space="preserve"> Skills for productivity: V</w:t>
      </w:r>
      <w:r w:rsidRPr="00834D12">
        <w:rPr>
          <w:rFonts w:asciiTheme="majorHAnsi" w:hAnsiTheme="majorHAnsi" w:cstheme="majorHAnsi"/>
          <w:sz w:val="28"/>
          <w:szCs w:val="28"/>
        </w:rPr>
        <w:t xml:space="preserve">ocational education and training in developing countries. New York: Oxford University Press. </w:t>
      </w:r>
    </w:p>
    <w:p w:rsidR="00327B3A" w:rsidRPr="00834D12" w:rsidRDefault="00327B3A"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O’Donoghue, J., Crawfurd, L., Makaaru, J., Otieno, P., Perakis</w:t>
      </w:r>
      <w:r w:rsidR="00C867E9">
        <w:rPr>
          <w:rFonts w:asciiTheme="majorHAnsi" w:hAnsiTheme="majorHAnsi" w:cstheme="majorHAnsi"/>
          <w:sz w:val="28"/>
          <w:szCs w:val="28"/>
        </w:rPr>
        <w:t>.</w:t>
      </w:r>
      <w:r w:rsidRPr="00834D12">
        <w:rPr>
          <w:rFonts w:asciiTheme="majorHAnsi" w:hAnsiTheme="majorHAnsi" w:cstheme="majorHAnsi"/>
          <w:sz w:val="28"/>
          <w:szCs w:val="28"/>
        </w:rPr>
        <w:t xml:space="preserve"> </w:t>
      </w:r>
      <w:r w:rsidR="00C867E9">
        <w:rPr>
          <w:rFonts w:asciiTheme="majorHAnsi" w:hAnsiTheme="majorHAnsi" w:cstheme="majorHAnsi"/>
          <w:sz w:val="28"/>
          <w:szCs w:val="28"/>
        </w:rPr>
        <w:t>2018</w:t>
      </w:r>
      <w:r w:rsidRPr="00834D12">
        <w:rPr>
          <w:rFonts w:asciiTheme="majorHAnsi" w:hAnsiTheme="majorHAnsi" w:cstheme="majorHAnsi"/>
          <w:sz w:val="28"/>
          <w:szCs w:val="28"/>
        </w:rPr>
        <w:t>. R. A review of Uganda’s Universal Secondary Education Public-Private Partnership Programme. Education Partnerships Group.</w:t>
      </w:r>
    </w:p>
    <w:p w:rsidR="0029032F" w:rsidRPr="00834D12" w:rsidRDefault="000A1688"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Schewel, Fransen</w:t>
      </w:r>
      <w:r w:rsidR="00834D12" w:rsidRPr="00834D12">
        <w:rPr>
          <w:rFonts w:asciiTheme="majorHAnsi" w:hAnsiTheme="majorHAnsi" w:cstheme="majorHAnsi"/>
          <w:sz w:val="28"/>
          <w:szCs w:val="28"/>
        </w:rPr>
        <w:t>.</w:t>
      </w:r>
      <w:r w:rsidR="00C867E9">
        <w:rPr>
          <w:rFonts w:asciiTheme="majorHAnsi" w:hAnsiTheme="majorHAnsi" w:cstheme="majorHAnsi"/>
          <w:sz w:val="28"/>
          <w:szCs w:val="28"/>
        </w:rPr>
        <w:t xml:space="preserve"> </w:t>
      </w:r>
      <w:r w:rsidR="00834D12" w:rsidRPr="00834D12">
        <w:rPr>
          <w:rFonts w:asciiTheme="majorHAnsi" w:hAnsiTheme="majorHAnsi" w:cstheme="majorHAnsi"/>
          <w:sz w:val="28"/>
          <w:szCs w:val="28"/>
        </w:rPr>
        <w:t>2019.</w:t>
      </w:r>
      <w:r w:rsidR="000950D3" w:rsidRPr="00834D12">
        <w:rPr>
          <w:rFonts w:asciiTheme="majorHAnsi" w:hAnsiTheme="majorHAnsi" w:cstheme="majorHAnsi"/>
          <w:sz w:val="28"/>
          <w:szCs w:val="28"/>
        </w:rPr>
        <w:t xml:space="preserve"> </w:t>
      </w:r>
      <w:r w:rsidRPr="00834D12">
        <w:rPr>
          <w:rFonts w:asciiTheme="majorHAnsi" w:hAnsiTheme="majorHAnsi" w:cstheme="majorHAnsi"/>
          <w:sz w:val="28"/>
          <w:szCs w:val="28"/>
        </w:rPr>
        <w:t>Formal education and migration aspirations in Ethiopia. Population Development, 44(3) 587-602.</w:t>
      </w:r>
    </w:p>
    <w:p w:rsidR="003F59FB" w:rsidRPr="00834D12" w:rsidRDefault="00834D12"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lastRenderedPageBreak/>
        <w:t xml:space="preserve">Thurow L.C. </w:t>
      </w:r>
      <w:r w:rsidR="003F59FB" w:rsidRPr="00834D12">
        <w:rPr>
          <w:rFonts w:asciiTheme="majorHAnsi" w:hAnsiTheme="majorHAnsi" w:cstheme="majorHAnsi"/>
          <w:sz w:val="28"/>
          <w:szCs w:val="28"/>
        </w:rPr>
        <w:t>1975</w:t>
      </w:r>
      <w:r w:rsidRPr="00834D12">
        <w:rPr>
          <w:rFonts w:asciiTheme="majorHAnsi" w:hAnsiTheme="majorHAnsi" w:cstheme="majorHAnsi"/>
          <w:sz w:val="28"/>
          <w:szCs w:val="28"/>
        </w:rPr>
        <w:t>.</w:t>
      </w:r>
      <w:r w:rsidR="003F59FB" w:rsidRPr="00834D12">
        <w:rPr>
          <w:rFonts w:asciiTheme="majorHAnsi" w:hAnsiTheme="majorHAnsi" w:cstheme="majorHAnsi"/>
          <w:sz w:val="28"/>
          <w:szCs w:val="28"/>
        </w:rPr>
        <w:t xml:space="preserve"> Generating inequality of distribution in the United States economy. Basic Books, New York. </w:t>
      </w:r>
    </w:p>
    <w:p w:rsidR="00894423" w:rsidRPr="00834D12" w:rsidRDefault="000A1688" w:rsidP="00834D12">
      <w:pPr>
        <w:spacing w:line="276" w:lineRule="auto"/>
        <w:jc w:val="both"/>
        <w:rPr>
          <w:rFonts w:asciiTheme="majorHAnsi" w:hAnsiTheme="majorHAnsi" w:cstheme="majorHAnsi"/>
          <w:sz w:val="28"/>
          <w:szCs w:val="28"/>
        </w:rPr>
      </w:pPr>
      <w:r w:rsidRPr="00834D12">
        <w:rPr>
          <w:rFonts w:asciiTheme="majorHAnsi" w:hAnsiTheme="majorHAnsi" w:cstheme="majorHAnsi"/>
          <w:sz w:val="28"/>
          <w:szCs w:val="28"/>
        </w:rPr>
        <w:t xml:space="preserve">World Bank. </w:t>
      </w:r>
      <w:r w:rsidR="000950D3" w:rsidRPr="00834D12">
        <w:rPr>
          <w:rFonts w:asciiTheme="majorHAnsi" w:hAnsiTheme="majorHAnsi" w:cstheme="majorHAnsi"/>
          <w:sz w:val="28"/>
          <w:szCs w:val="28"/>
        </w:rPr>
        <w:t>2008</w:t>
      </w:r>
      <w:r w:rsidRPr="00834D12">
        <w:rPr>
          <w:rFonts w:asciiTheme="majorHAnsi" w:hAnsiTheme="majorHAnsi" w:cstheme="majorHAnsi"/>
          <w:sz w:val="28"/>
          <w:szCs w:val="28"/>
        </w:rPr>
        <w:t>. Transitions in secondary education in Sub-Saharan Africa: Equity and efficiency issues. World Bank Working Paper. No. 126. Africa Human Development Series. World Bank. Washington D.C.</w:t>
      </w:r>
    </w:p>
    <w:p w:rsidR="00834D12" w:rsidRDefault="00834D12">
      <w:r>
        <w:br w:type="page"/>
      </w:r>
    </w:p>
    <w:tbl>
      <w:tblPr>
        <w:tblW w:w="5631" w:type="dxa"/>
        <w:tblLook w:val="04A0" w:firstRow="1" w:lastRow="0" w:firstColumn="1" w:lastColumn="0" w:noHBand="0" w:noVBand="1"/>
      </w:tblPr>
      <w:tblGrid>
        <w:gridCol w:w="2002"/>
        <w:gridCol w:w="1254"/>
        <w:gridCol w:w="1162"/>
        <w:gridCol w:w="991"/>
        <w:gridCol w:w="222"/>
      </w:tblGrid>
      <w:tr w:rsidR="00894423" w:rsidRPr="00894423" w:rsidTr="00834D12">
        <w:trPr>
          <w:trHeight w:val="288"/>
        </w:trPr>
        <w:tc>
          <w:tcPr>
            <w:tcW w:w="5631" w:type="dxa"/>
            <w:gridSpan w:val="5"/>
            <w:tcBorders>
              <w:top w:val="nil"/>
              <w:left w:val="nil"/>
              <w:bottom w:val="nil"/>
              <w:right w:val="nil"/>
            </w:tcBorders>
            <w:shd w:val="clear" w:color="auto" w:fill="auto"/>
            <w:noWrap/>
            <w:vAlign w:val="bottom"/>
            <w:hideMark/>
          </w:tcPr>
          <w:p w:rsidR="00894423" w:rsidRPr="00894423" w:rsidRDefault="00894423" w:rsidP="00894423">
            <w:pPr>
              <w:spacing w:after="0" w:line="240" w:lineRule="auto"/>
              <w:rPr>
                <w:rFonts w:ascii="Calibri" w:eastAsia="Times New Roman" w:hAnsi="Calibri" w:cs="Calibri"/>
                <w:color w:val="000000"/>
                <w:lang w:eastAsia="en-GB"/>
              </w:rPr>
            </w:pPr>
            <w:r w:rsidRPr="00894423">
              <w:rPr>
                <w:rFonts w:ascii="Calibri" w:eastAsia="Times New Roman" w:hAnsi="Calibri" w:cs="Calibri"/>
                <w:color w:val="000000"/>
                <w:lang w:eastAsia="en-GB"/>
              </w:rPr>
              <w:lastRenderedPageBreak/>
              <w:t xml:space="preserve">Annex table 1: Share of secondary education in total public </w:t>
            </w:r>
          </w:p>
        </w:tc>
      </w:tr>
      <w:tr w:rsidR="00894423" w:rsidRPr="00894423" w:rsidTr="00834D12">
        <w:trPr>
          <w:trHeight w:val="300"/>
        </w:trPr>
        <w:tc>
          <w:tcPr>
            <w:tcW w:w="5409" w:type="dxa"/>
            <w:gridSpan w:val="4"/>
            <w:tcBorders>
              <w:top w:val="nil"/>
              <w:left w:val="nil"/>
              <w:bottom w:val="nil"/>
              <w:right w:val="nil"/>
            </w:tcBorders>
            <w:shd w:val="clear" w:color="auto" w:fill="auto"/>
            <w:noWrap/>
            <w:vAlign w:val="bottom"/>
            <w:hideMark/>
          </w:tcPr>
          <w:p w:rsidR="00894423" w:rsidRPr="00894423" w:rsidRDefault="00894423" w:rsidP="00894423">
            <w:pPr>
              <w:spacing w:after="0" w:line="240" w:lineRule="auto"/>
              <w:rPr>
                <w:rFonts w:ascii="Calibri" w:eastAsia="Times New Roman" w:hAnsi="Calibri" w:cs="Calibri"/>
                <w:color w:val="000000"/>
                <w:lang w:eastAsia="en-GB"/>
              </w:rPr>
            </w:pPr>
            <w:r w:rsidRPr="00894423">
              <w:rPr>
                <w:rFonts w:ascii="Calibri" w:eastAsia="Times New Roman" w:hAnsi="Calibri" w:cs="Calibri"/>
                <w:color w:val="000000"/>
                <w:lang w:eastAsia="en-GB"/>
              </w:rPr>
              <w:t>education expenditure, 2000-2018/lya (%)</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rPr>
                <w:rFonts w:ascii="Calibri" w:eastAsia="Times New Roman" w:hAnsi="Calibri" w:cs="Calibri"/>
                <w:color w:val="000000"/>
                <w:lang w:eastAsia="en-GB"/>
              </w:rPr>
            </w:pPr>
          </w:p>
        </w:tc>
      </w:tr>
      <w:tr w:rsidR="00894423" w:rsidRPr="00894423" w:rsidTr="00834D12">
        <w:trPr>
          <w:trHeight w:val="288"/>
        </w:trPr>
        <w:tc>
          <w:tcPr>
            <w:tcW w:w="2002" w:type="dxa"/>
            <w:tcBorders>
              <w:top w:val="single" w:sz="8" w:space="0" w:color="auto"/>
              <w:left w:val="single" w:sz="8" w:space="0" w:color="auto"/>
              <w:bottom w:val="single" w:sz="4" w:space="0" w:color="auto"/>
              <w:right w:val="nil"/>
            </w:tcBorders>
            <w:shd w:val="clear" w:color="000000" w:fill="F2F2F2"/>
            <w:noWrap/>
            <w:vAlign w:val="bottom"/>
            <w:hideMark/>
          </w:tcPr>
          <w:p w:rsidR="00894423" w:rsidRPr="00894423" w:rsidRDefault="00894423" w:rsidP="00894423">
            <w:pPr>
              <w:spacing w:after="0" w:line="240" w:lineRule="auto"/>
              <w:rPr>
                <w:rFonts w:ascii="Calibri" w:eastAsia="Times New Roman" w:hAnsi="Calibri" w:cs="Calibri"/>
                <w:color w:val="000000"/>
                <w:lang w:eastAsia="en-GB"/>
              </w:rPr>
            </w:pPr>
            <w:r w:rsidRPr="00894423">
              <w:rPr>
                <w:rFonts w:ascii="Calibri" w:eastAsia="Times New Roman" w:hAnsi="Calibri" w:cs="Calibri"/>
                <w:color w:val="000000"/>
                <w:lang w:eastAsia="en-GB"/>
              </w:rPr>
              <w:t>Country</w:t>
            </w:r>
          </w:p>
        </w:tc>
        <w:tc>
          <w:tcPr>
            <w:tcW w:w="1254" w:type="dxa"/>
            <w:tcBorders>
              <w:top w:val="single" w:sz="8" w:space="0" w:color="auto"/>
              <w:left w:val="nil"/>
              <w:bottom w:val="single" w:sz="4" w:space="0" w:color="auto"/>
              <w:right w:val="nil"/>
            </w:tcBorders>
            <w:shd w:val="clear" w:color="000000" w:fill="F2F2F2"/>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2000/nya</w:t>
            </w:r>
          </w:p>
        </w:tc>
        <w:tc>
          <w:tcPr>
            <w:tcW w:w="1162" w:type="dxa"/>
            <w:tcBorders>
              <w:top w:val="single" w:sz="8" w:space="0" w:color="auto"/>
              <w:left w:val="nil"/>
              <w:bottom w:val="single" w:sz="4" w:space="0" w:color="auto"/>
              <w:right w:val="nil"/>
            </w:tcBorders>
            <w:shd w:val="clear" w:color="000000" w:fill="F2F2F2"/>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2018/lya</w:t>
            </w:r>
          </w:p>
        </w:tc>
        <w:tc>
          <w:tcPr>
            <w:tcW w:w="991" w:type="dxa"/>
            <w:tcBorders>
              <w:top w:val="single" w:sz="8" w:space="0" w:color="auto"/>
              <w:left w:val="nil"/>
              <w:bottom w:val="single" w:sz="4" w:space="0" w:color="auto"/>
              <w:right w:val="single" w:sz="8" w:space="0" w:color="auto"/>
            </w:tcBorders>
            <w:shd w:val="clear" w:color="000000" w:fill="F2F2F2"/>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Change</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Benin</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25.8</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23.7</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-2.1</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Burkina Faso</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9</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27.7</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18.7</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Burundi</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35</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26.8</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-8.2</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Chad</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36.7</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19.7</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-17</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Congo</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40.6</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53.3</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12.7</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Côte d'Ivoire</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32.7</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35.1</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2.4</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DRC</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Na</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14.3</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na</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Eswatini</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27.8</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34.1</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6.3</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Ethiopia</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24.3</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18.1</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-6.2</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Gambia</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15.6</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32.6</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17</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Ghana</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39.6</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37</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-2.6</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Guinea</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14.1</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21</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6.9</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Guinea-Bissau</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Na</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29.7</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na</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Kenya</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17.4</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41.8</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24.4</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Lesotho</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27.5</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30</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2.5</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Liberia</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10</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53.3</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43.3</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Madagascar</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18.9</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19.3</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0.4</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Malawi</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21.5</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28.6</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7.1</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Mali</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43.5</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37</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-6.5</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Mozambique</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29.3</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30.6</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1.3</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Namibia</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27.2</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23.5</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-3.7</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Niger</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21.4</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12</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-9.4</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Rwanda</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16.7</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38.2</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21.5</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bookmarkStart w:id="0" w:name="_GoBack"/>
        <w:bookmarkEnd w:id="0"/>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Senegal</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22.4</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16.8</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-5.6</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Sierra Leone</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25.3</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19.1</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-6.2</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South Africa</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31.3</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29.8</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-1.5</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Tanzania</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8.9</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18.3</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9.4</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Togo</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29.2</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16</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-13.2</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8" w:space="0" w:color="auto"/>
              <w:bottom w:val="nil"/>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Uganda</w:t>
            </w:r>
          </w:p>
        </w:tc>
        <w:tc>
          <w:tcPr>
            <w:tcW w:w="1254"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17.3</w:t>
            </w:r>
          </w:p>
        </w:tc>
        <w:tc>
          <w:tcPr>
            <w:tcW w:w="1162" w:type="dxa"/>
            <w:tcBorders>
              <w:top w:val="nil"/>
              <w:left w:val="nil"/>
              <w:bottom w:val="nil"/>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18</w:t>
            </w:r>
          </w:p>
        </w:tc>
        <w:tc>
          <w:tcPr>
            <w:tcW w:w="991" w:type="dxa"/>
            <w:tcBorders>
              <w:top w:val="nil"/>
              <w:left w:val="nil"/>
              <w:bottom w:val="nil"/>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0.7</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300"/>
        </w:trPr>
        <w:tc>
          <w:tcPr>
            <w:tcW w:w="2002" w:type="dxa"/>
            <w:tcBorders>
              <w:top w:val="nil"/>
              <w:left w:val="single" w:sz="8" w:space="0" w:color="auto"/>
              <w:bottom w:val="single" w:sz="8" w:space="0" w:color="auto"/>
              <w:right w:val="nil"/>
            </w:tcBorders>
            <w:shd w:val="clear" w:color="000000" w:fill="FFFFFF"/>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Zambia</w:t>
            </w:r>
          </w:p>
        </w:tc>
        <w:tc>
          <w:tcPr>
            <w:tcW w:w="1254" w:type="dxa"/>
            <w:tcBorders>
              <w:top w:val="nil"/>
              <w:left w:val="nil"/>
              <w:bottom w:val="single" w:sz="8" w:space="0" w:color="auto"/>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25.8</w:t>
            </w:r>
          </w:p>
        </w:tc>
        <w:tc>
          <w:tcPr>
            <w:tcW w:w="1162" w:type="dxa"/>
            <w:tcBorders>
              <w:top w:val="nil"/>
              <w:left w:val="nil"/>
              <w:bottom w:val="single" w:sz="8" w:space="0" w:color="auto"/>
              <w:right w:val="nil"/>
            </w:tcBorders>
            <w:shd w:val="clear" w:color="000000" w:fill="FFFFFF"/>
            <w:noWrap/>
            <w:vAlign w:val="bottom"/>
            <w:hideMark/>
          </w:tcPr>
          <w:p w:rsidR="00894423" w:rsidRPr="00894423" w:rsidRDefault="00894423" w:rsidP="00894423">
            <w:pPr>
              <w:spacing w:after="0" w:line="240" w:lineRule="auto"/>
              <w:jc w:val="center"/>
              <w:rPr>
                <w:rFonts w:ascii="Calibri Light" w:eastAsia="Times New Roman" w:hAnsi="Calibri Light" w:cs="Calibri Light"/>
                <w:color w:val="000000"/>
                <w:lang w:eastAsia="en-GB"/>
              </w:rPr>
            </w:pPr>
            <w:r w:rsidRPr="00894423">
              <w:rPr>
                <w:rFonts w:ascii="Calibri Light" w:eastAsia="Times New Roman" w:hAnsi="Calibri Light" w:cs="Calibri Light"/>
                <w:color w:val="000000"/>
                <w:lang w:eastAsia="en-GB"/>
              </w:rPr>
              <w:t>23.3</w:t>
            </w:r>
          </w:p>
        </w:tc>
        <w:tc>
          <w:tcPr>
            <w:tcW w:w="991" w:type="dxa"/>
            <w:tcBorders>
              <w:top w:val="nil"/>
              <w:left w:val="nil"/>
              <w:bottom w:val="single" w:sz="8" w:space="0" w:color="auto"/>
              <w:right w:val="single" w:sz="8" w:space="0" w:color="auto"/>
            </w:tcBorders>
            <w:shd w:val="clear" w:color="000000" w:fill="FFFFFF"/>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r w:rsidRPr="00894423">
              <w:rPr>
                <w:rFonts w:ascii="Calibri" w:eastAsia="Times New Roman" w:hAnsi="Calibri" w:cs="Calibri"/>
                <w:color w:val="000000"/>
                <w:lang w:eastAsia="en-GB"/>
              </w:rPr>
              <w:t>-2.5</w:t>
            </w: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Calibri" w:eastAsia="Times New Roman" w:hAnsi="Calibri" w:cs="Calibri"/>
                <w:color w:val="000000"/>
                <w:lang w:eastAsia="en-GB"/>
              </w:rPr>
            </w:pPr>
          </w:p>
        </w:tc>
      </w:tr>
      <w:tr w:rsidR="00894423" w:rsidRPr="00894423" w:rsidTr="00834D12">
        <w:trPr>
          <w:trHeight w:val="288"/>
        </w:trPr>
        <w:tc>
          <w:tcPr>
            <w:tcW w:w="2002" w:type="dxa"/>
            <w:tcBorders>
              <w:top w:val="nil"/>
              <w:left w:val="single" w:sz="4" w:space="0" w:color="C0C0C0"/>
              <w:bottom w:val="single" w:sz="4" w:space="0" w:color="C0C0C0"/>
              <w:right w:val="single" w:sz="4" w:space="0" w:color="C0C0C0"/>
            </w:tcBorders>
            <w:shd w:val="clear" w:color="auto" w:fill="auto"/>
            <w:hideMark/>
          </w:tcPr>
          <w:p w:rsidR="00894423" w:rsidRPr="00894423" w:rsidRDefault="00894423" w:rsidP="00894423">
            <w:pPr>
              <w:spacing w:after="0" w:line="240" w:lineRule="auto"/>
              <w:rPr>
                <w:rFonts w:ascii="Calibri Light" w:eastAsia="Times New Roman" w:hAnsi="Calibri Light" w:cs="Calibri Light"/>
                <w:lang w:eastAsia="en-GB"/>
              </w:rPr>
            </w:pPr>
            <w:r w:rsidRPr="00894423">
              <w:rPr>
                <w:rFonts w:ascii="Calibri Light" w:eastAsia="Times New Roman" w:hAnsi="Calibri Light" w:cs="Calibri Light"/>
                <w:lang w:eastAsia="en-GB"/>
              </w:rPr>
              <w:t>Source: UIS</w:t>
            </w:r>
          </w:p>
        </w:tc>
        <w:tc>
          <w:tcPr>
            <w:tcW w:w="1254"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rPr>
                <w:rFonts w:ascii="Calibri Light" w:eastAsia="Times New Roman" w:hAnsi="Calibri Light" w:cs="Calibri Light"/>
                <w:lang w:eastAsia="en-GB"/>
              </w:rPr>
            </w:pPr>
          </w:p>
        </w:tc>
        <w:tc>
          <w:tcPr>
            <w:tcW w:w="116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Times New Roman" w:eastAsia="Times New Roman" w:hAnsi="Times New Roman" w:cs="Times New Roman"/>
                <w:sz w:val="20"/>
                <w:szCs w:val="20"/>
                <w:lang w:eastAsia="en-GB"/>
              </w:rPr>
            </w:pPr>
          </w:p>
        </w:tc>
        <w:tc>
          <w:tcPr>
            <w:tcW w:w="991"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894423" w:rsidRPr="00894423" w:rsidRDefault="00894423" w:rsidP="00894423">
            <w:pPr>
              <w:spacing w:after="0" w:line="240" w:lineRule="auto"/>
              <w:jc w:val="center"/>
              <w:rPr>
                <w:rFonts w:ascii="Times New Roman" w:eastAsia="Times New Roman" w:hAnsi="Times New Roman" w:cs="Times New Roman"/>
                <w:sz w:val="20"/>
                <w:szCs w:val="20"/>
                <w:lang w:eastAsia="en-GB"/>
              </w:rPr>
            </w:pPr>
          </w:p>
        </w:tc>
      </w:tr>
    </w:tbl>
    <w:p w:rsidR="000A1688" w:rsidRDefault="000A1688" w:rsidP="00577F32">
      <w:pPr>
        <w:jc w:val="both"/>
        <w:rPr>
          <w:rFonts w:cstheme="minorHAnsi"/>
          <w:sz w:val="28"/>
          <w:szCs w:val="28"/>
        </w:rPr>
      </w:pPr>
    </w:p>
    <w:p w:rsidR="00894423" w:rsidRDefault="00894423">
      <w:r>
        <w:br w:type="page"/>
      </w:r>
    </w:p>
    <w:tbl>
      <w:tblPr>
        <w:tblW w:w="9320" w:type="dxa"/>
        <w:tblLook w:val="04A0" w:firstRow="1" w:lastRow="0" w:firstColumn="1" w:lastColumn="0" w:noHBand="0" w:noVBand="1"/>
      </w:tblPr>
      <w:tblGrid>
        <w:gridCol w:w="10"/>
        <w:gridCol w:w="1600"/>
        <w:gridCol w:w="1000"/>
        <w:gridCol w:w="960"/>
        <w:gridCol w:w="960"/>
        <w:gridCol w:w="4790"/>
      </w:tblGrid>
      <w:tr w:rsidR="00894423" w:rsidRPr="00894423" w:rsidTr="00894423">
        <w:trPr>
          <w:trHeight w:val="300"/>
        </w:trPr>
        <w:tc>
          <w:tcPr>
            <w:tcW w:w="9320" w:type="dxa"/>
            <w:gridSpan w:val="6"/>
            <w:tcBorders>
              <w:top w:val="nil"/>
              <w:left w:val="nil"/>
              <w:bottom w:val="nil"/>
              <w:right w:val="nil"/>
            </w:tcBorders>
            <w:shd w:val="clear" w:color="auto" w:fill="auto"/>
            <w:noWrap/>
            <w:vAlign w:val="bottom"/>
            <w:hideMark/>
          </w:tcPr>
          <w:p w:rsidR="00894423" w:rsidRPr="00894423" w:rsidRDefault="00894423" w:rsidP="005C725F">
            <w:pPr>
              <w:spacing w:after="0" w:line="240" w:lineRule="auto"/>
              <w:rPr>
                <w:rFonts w:ascii="Calibri" w:eastAsia="Times New Roman" w:hAnsi="Calibri" w:cs="Calibri"/>
                <w:color w:val="000000"/>
                <w:lang w:eastAsia="en-GB"/>
              </w:rPr>
            </w:pPr>
            <w:r w:rsidRPr="00894423">
              <w:rPr>
                <w:rFonts w:ascii="Calibri" w:eastAsia="Times New Roman" w:hAnsi="Calibri" w:cs="Calibri"/>
                <w:color w:val="000000"/>
                <w:lang w:eastAsia="en-GB"/>
              </w:rPr>
              <w:lastRenderedPageBreak/>
              <w:t>Annex table 2: Government expenditure on education as a percentage of GDP, 2010/nya-2018/nya</w:t>
            </w:r>
          </w:p>
        </w:tc>
      </w:tr>
      <w:tr w:rsidR="000D1B2A" w:rsidRPr="000D1B2A" w:rsidTr="00894423">
        <w:trPr>
          <w:gridBefore w:val="1"/>
          <w:gridAfter w:val="1"/>
          <w:wBefore w:w="10" w:type="dxa"/>
          <w:wAfter w:w="4790" w:type="dxa"/>
          <w:trHeight w:val="288"/>
        </w:trPr>
        <w:tc>
          <w:tcPr>
            <w:tcW w:w="1600" w:type="dxa"/>
            <w:tcBorders>
              <w:top w:val="single" w:sz="8" w:space="0" w:color="auto"/>
              <w:left w:val="single" w:sz="8" w:space="0" w:color="auto"/>
              <w:bottom w:val="single" w:sz="4" w:space="0" w:color="auto"/>
              <w:right w:val="nil"/>
            </w:tcBorders>
            <w:shd w:val="clear" w:color="000000" w:fill="F2F2F2"/>
            <w:noWrap/>
            <w:vAlign w:val="bottom"/>
            <w:hideMark/>
          </w:tcPr>
          <w:p w:rsidR="000D1B2A" w:rsidRPr="000D1B2A" w:rsidRDefault="000D1B2A" w:rsidP="000D1B2A">
            <w:pPr>
              <w:spacing w:after="0" w:line="240" w:lineRule="auto"/>
              <w:rPr>
                <w:rFonts w:ascii="Calibri" w:eastAsia="Times New Roman" w:hAnsi="Calibri" w:cs="Calibri"/>
                <w:color w:val="000000"/>
                <w:lang w:eastAsia="en-GB"/>
              </w:rPr>
            </w:pPr>
            <w:r w:rsidRPr="000D1B2A">
              <w:rPr>
                <w:rFonts w:ascii="Calibri" w:eastAsia="Times New Roman" w:hAnsi="Calibri" w:cs="Calibri"/>
                <w:color w:val="000000"/>
                <w:lang w:eastAsia="en-GB"/>
              </w:rPr>
              <w:t>Country</w:t>
            </w:r>
          </w:p>
        </w:tc>
        <w:tc>
          <w:tcPr>
            <w:tcW w:w="1000" w:type="dxa"/>
            <w:tcBorders>
              <w:top w:val="single" w:sz="8" w:space="0" w:color="auto"/>
              <w:left w:val="nil"/>
              <w:bottom w:val="single" w:sz="4" w:space="0" w:color="auto"/>
              <w:right w:val="nil"/>
            </w:tcBorders>
            <w:shd w:val="clear" w:color="000000" w:fill="F2F2F2"/>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2010</w:t>
            </w:r>
          </w:p>
        </w:tc>
        <w:tc>
          <w:tcPr>
            <w:tcW w:w="960" w:type="dxa"/>
            <w:tcBorders>
              <w:top w:val="single" w:sz="8" w:space="0" w:color="auto"/>
              <w:left w:val="nil"/>
              <w:bottom w:val="single" w:sz="4" w:space="0" w:color="auto"/>
              <w:right w:val="nil"/>
            </w:tcBorders>
            <w:shd w:val="clear" w:color="000000" w:fill="F2F2F2"/>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2018</w:t>
            </w:r>
          </w:p>
        </w:tc>
        <w:tc>
          <w:tcPr>
            <w:tcW w:w="960" w:type="dxa"/>
            <w:tcBorders>
              <w:top w:val="single" w:sz="8" w:space="0" w:color="auto"/>
              <w:left w:val="nil"/>
              <w:bottom w:val="single" w:sz="4" w:space="0" w:color="auto"/>
              <w:right w:val="single" w:sz="8" w:space="0" w:color="auto"/>
            </w:tcBorders>
            <w:shd w:val="clear" w:color="000000" w:fill="F2F2F2"/>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Change</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noWrap/>
            <w:vAlign w:val="bottom"/>
            <w:hideMark/>
          </w:tcPr>
          <w:p w:rsidR="000D1B2A" w:rsidRPr="000D1B2A" w:rsidRDefault="000D1B2A" w:rsidP="000D1B2A">
            <w:pPr>
              <w:spacing w:after="0" w:line="240" w:lineRule="auto"/>
              <w:rPr>
                <w:rFonts w:ascii="Calibri" w:eastAsia="Times New Roman" w:hAnsi="Calibri" w:cs="Calibri"/>
                <w:color w:val="000000"/>
                <w:lang w:eastAsia="en-GB"/>
              </w:rPr>
            </w:pPr>
            <w:r w:rsidRPr="000D1B2A">
              <w:rPr>
                <w:rFonts w:ascii="Calibri" w:eastAsia="Times New Roman" w:hAnsi="Calibri" w:cs="Calibri"/>
                <w:color w:val="000000"/>
                <w:lang w:eastAsia="en-GB"/>
              </w:rPr>
              <w:t>Angola</w:t>
            </w:r>
          </w:p>
        </w:tc>
        <w:tc>
          <w:tcPr>
            <w:tcW w:w="100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3.4</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na</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na</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Benin</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3.7</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2.9</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-0.8</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Botswana</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9.6</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na</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na</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Bukina Faso</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3.5</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5.4</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1.9</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Burundi</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6.8</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5.1</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-1.7</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Cameroon</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3</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3.1</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0.1</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CAR</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1.1</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na</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na</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Chad</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2</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2.5</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0.5</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Congo</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6.2</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3.5</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-2.7</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Côte d'Ivoire</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4.6</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3.3</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-1.3</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DRC</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1.5</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1.5</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Eritrea</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2.1</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na</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na</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Eswatini</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6.1</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7.1</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1</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Ethiopia</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4.5</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4.7</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0.2</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Gabon</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3.1</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2.7</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-0.4</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Ghana</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5.5</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4</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-1.5</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Guinea</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2.6</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2.3</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-0.3</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Guinea-Bissau</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1.9</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na</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na</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Kenya</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5.5</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5.3</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-0.2</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Lesotho</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12.1</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7</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-5.1</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Liberia</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1.7</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2.6</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0.9</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Madagascar</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2.8</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2.8</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Malawi</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3.5</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4.7</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1.2</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Mali</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3.3</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3.8</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0.5</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Mozambique</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3.9</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5.5</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1.6</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Namibia</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8.3</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na</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na</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Niger</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2.7</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3.5</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0.8</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Rwanda</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4.6</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3.1</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-1.5</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Senegal</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5.2</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4.8</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-0.4</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Sierra Leone</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2.6</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7</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4.4</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South Africa</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5.7</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6.2</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0.5</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Tanzania</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4.5</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3.7</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-0.8</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Togo</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 </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 </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Uganda</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1.7</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2.1</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0.4</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Zambia</w:t>
            </w:r>
          </w:p>
        </w:tc>
        <w:tc>
          <w:tcPr>
            <w:tcW w:w="1000" w:type="dxa"/>
            <w:tcBorders>
              <w:top w:val="nil"/>
              <w:left w:val="nil"/>
              <w:bottom w:val="nil"/>
              <w:right w:val="nil"/>
            </w:tcBorders>
            <w:shd w:val="clear" w:color="000000" w:fill="FFFFFF"/>
            <w:hideMark/>
          </w:tcPr>
          <w:p w:rsidR="000D1B2A" w:rsidRPr="000D1B2A" w:rsidRDefault="000D1B2A" w:rsidP="000D1B2A">
            <w:pPr>
              <w:spacing w:after="0" w:line="240" w:lineRule="auto"/>
              <w:jc w:val="center"/>
              <w:rPr>
                <w:rFonts w:ascii="Calibri Light" w:eastAsia="Times New Roman" w:hAnsi="Calibri Light" w:cs="Calibri Light"/>
                <w:lang w:eastAsia="en-GB"/>
              </w:rPr>
            </w:pPr>
            <w:r w:rsidRPr="000D1B2A">
              <w:rPr>
                <w:rFonts w:ascii="Calibri Light" w:eastAsia="Times New Roman" w:hAnsi="Calibri Light" w:cs="Calibri Light"/>
                <w:lang w:eastAsia="en-GB"/>
              </w:rPr>
              <w:t>1.1</w:t>
            </w:r>
          </w:p>
        </w:tc>
        <w:tc>
          <w:tcPr>
            <w:tcW w:w="960" w:type="dxa"/>
            <w:tcBorders>
              <w:top w:val="nil"/>
              <w:left w:val="nil"/>
              <w:bottom w:val="nil"/>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4.6</w:t>
            </w:r>
          </w:p>
        </w:tc>
        <w:tc>
          <w:tcPr>
            <w:tcW w:w="960" w:type="dxa"/>
            <w:tcBorders>
              <w:top w:val="nil"/>
              <w:left w:val="nil"/>
              <w:bottom w:val="nil"/>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3.5</w:t>
            </w:r>
          </w:p>
        </w:tc>
      </w:tr>
      <w:tr w:rsidR="000D1B2A" w:rsidRPr="000D1B2A" w:rsidTr="00894423">
        <w:trPr>
          <w:gridBefore w:val="1"/>
          <w:gridAfter w:val="1"/>
          <w:wBefore w:w="10" w:type="dxa"/>
          <w:wAfter w:w="4790" w:type="dxa"/>
          <w:trHeight w:val="300"/>
        </w:trPr>
        <w:tc>
          <w:tcPr>
            <w:tcW w:w="1600" w:type="dxa"/>
            <w:tcBorders>
              <w:top w:val="nil"/>
              <w:left w:val="single" w:sz="8" w:space="0" w:color="auto"/>
              <w:bottom w:val="single" w:sz="8" w:space="0" w:color="auto"/>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Zimbabwe</w:t>
            </w:r>
          </w:p>
        </w:tc>
        <w:tc>
          <w:tcPr>
            <w:tcW w:w="1000" w:type="dxa"/>
            <w:tcBorders>
              <w:top w:val="nil"/>
              <w:left w:val="nil"/>
              <w:bottom w:val="single" w:sz="8" w:space="0" w:color="auto"/>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1.5</w:t>
            </w:r>
          </w:p>
        </w:tc>
        <w:tc>
          <w:tcPr>
            <w:tcW w:w="960" w:type="dxa"/>
            <w:tcBorders>
              <w:top w:val="nil"/>
              <w:left w:val="nil"/>
              <w:bottom w:val="single" w:sz="8" w:space="0" w:color="auto"/>
              <w:right w:val="nil"/>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5.9</w:t>
            </w:r>
          </w:p>
        </w:tc>
        <w:tc>
          <w:tcPr>
            <w:tcW w:w="960" w:type="dxa"/>
            <w:tcBorders>
              <w:top w:val="nil"/>
              <w:left w:val="nil"/>
              <w:bottom w:val="single" w:sz="8" w:space="0" w:color="auto"/>
              <w:right w:val="single" w:sz="8" w:space="0" w:color="auto"/>
            </w:tcBorders>
            <w:shd w:val="clear" w:color="000000" w:fill="FFFFFF"/>
            <w:noWrap/>
            <w:vAlign w:val="bottom"/>
            <w:hideMark/>
          </w:tcPr>
          <w:p w:rsidR="000D1B2A" w:rsidRPr="000D1B2A" w:rsidRDefault="000D1B2A" w:rsidP="000D1B2A">
            <w:pPr>
              <w:spacing w:after="0" w:line="240" w:lineRule="auto"/>
              <w:jc w:val="center"/>
              <w:rPr>
                <w:rFonts w:ascii="Calibri" w:eastAsia="Times New Roman" w:hAnsi="Calibri" w:cs="Calibri"/>
                <w:color w:val="000000"/>
                <w:lang w:eastAsia="en-GB"/>
              </w:rPr>
            </w:pPr>
            <w:r w:rsidRPr="000D1B2A">
              <w:rPr>
                <w:rFonts w:ascii="Calibri" w:eastAsia="Times New Roman" w:hAnsi="Calibri" w:cs="Calibri"/>
                <w:color w:val="000000"/>
                <w:lang w:eastAsia="en-GB"/>
              </w:rPr>
              <w:t>4.4</w:t>
            </w:r>
          </w:p>
        </w:tc>
      </w:tr>
      <w:tr w:rsidR="000D1B2A" w:rsidRPr="000D1B2A" w:rsidTr="00894423">
        <w:trPr>
          <w:gridBefore w:val="1"/>
          <w:gridAfter w:val="1"/>
          <w:wBefore w:w="10" w:type="dxa"/>
          <w:wAfter w:w="4790" w:type="dxa"/>
          <w:trHeight w:val="288"/>
        </w:trPr>
        <w:tc>
          <w:tcPr>
            <w:tcW w:w="1600" w:type="dxa"/>
            <w:tcBorders>
              <w:top w:val="nil"/>
              <w:left w:val="single" w:sz="8" w:space="0" w:color="auto"/>
              <w:bottom w:val="nil"/>
              <w:right w:val="nil"/>
            </w:tcBorders>
            <w:shd w:val="clear" w:color="000000" w:fill="FFFFFF"/>
            <w:hideMark/>
          </w:tcPr>
          <w:p w:rsidR="000D1B2A" w:rsidRPr="000D1B2A" w:rsidRDefault="000D1B2A" w:rsidP="000D1B2A">
            <w:pPr>
              <w:spacing w:after="0" w:line="240" w:lineRule="auto"/>
              <w:rPr>
                <w:rFonts w:ascii="Calibri Light" w:eastAsia="Times New Roman" w:hAnsi="Calibri Light" w:cs="Calibri Light"/>
                <w:lang w:eastAsia="en-GB"/>
              </w:rPr>
            </w:pPr>
            <w:r w:rsidRPr="000D1B2A">
              <w:rPr>
                <w:rFonts w:ascii="Calibri Light" w:eastAsia="Times New Roman" w:hAnsi="Calibri Light" w:cs="Calibri Light"/>
                <w:lang w:eastAsia="en-GB"/>
              </w:rPr>
              <w:t>Source: UIS</w:t>
            </w:r>
          </w:p>
        </w:tc>
        <w:tc>
          <w:tcPr>
            <w:tcW w:w="1000" w:type="dxa"/>
            <w:tcBorders>
              <w:top w:val="nil"/>
              <w:left w:val="nil"/>
              <w:bottom w:val="nil"/>
              <w:right w:val="nil"/>
            </w:tcBorders>
            <w:shd w:val="clear" w:color="auto" w:fill="auto"/>
            <w:noWrap/>
            <w:vAlign w:val="bottom"/>
            <w:hideMark/>
          </w:tcPr>
          <w:p w:rsidR="000D1B2A" w:rsidRPr="000D1B2A" w:rsidRDefault="000D1B2A" w:rsidP="000D1B2A">
            <w:pPr>
              <w:spacing w:after="0" w:line="240" w:lineRule="auto"/>
              <w:rPr>
                <w:rFonts w:ascii="Calibri Light" w:eastAsia="Times New Roman" w:hAnsi="Calibri Light" w:cs="Calibri Light"/>
                <w:lang w:eastAsia="en-GB"/>
              </w:rPr>
            </w:pPr>
          </w:p>
        </w:tc>
        <w:tc>
          <w:tcPr>
            <w:tcW w:w="960" w:type="dxa"/>
            <w:tcBorders>
              <w:top w:val="nil"/>
              <w:left w:val="nil"/>
              <w:bottom w:val="nil"/>
              <w:right w:val="nil"/>
            </w:tcBorders>
            <w:shd w:val="clear" w:color="auto" w:fill="auto"/>
            <w:noWrap/>
            <w:vAlign w:val="bottom"/>
            <w:hideMark/>
          </w:tcPr>
          <w:p w:rsidR="000D1B2A" w:rsidRPr="000D1B2A" w:rsidRDefault="000D1B2A" w:rsidP="000D1B2A">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0D1B2A" w:rsidRPr="000D1B2A" w:rsidRDefault="000D1B2A" w:rsidP="000D1B2A">
            <w:pPr>
              <w:spacing w:after="0" w:line="240" w:lineRule="auto"/>
              <w:jc w:val="center"/>
              <w:rPr>
                <w:rFonts w:ascii="Times New Roman" w:eastAsia="Times New Roman" w:hAnsi="Times New Roman" w:cs="Times New Roman"/>
                <w:sz w:val="20"/>
                <w:szCs w:val="20"/>
                <w:lang w:eastAsia="en-GB"/>
              </w:rPr>
            </w:pPr>
          </w:p>
        </w:tc>
      </w:tr>
    </w:tbl>
    <w:p w:rsidR="00F41688" w:rsidRPr="00595F96" w:rsidRDefault="00F41688" w:rsidP="00F41688">
      <w:pPr>
        <w:spacing w:line="240" w:lineRule="auto"/>
        <w:rPr>
          <w:rFonts w:ascii="Times New Roman" w:hAnsi="Times New Roman" w:cs="Times New Roman"/>
          <w:sz w:val="28"/>
          <w:szCs w:val="28"/>
        </w:rPr>
      </w:pPr>
    </w:p>
    <w:p w:rsidR="00402A5F" w:rsidRDefault="00402A5F">
      <w:pPr>
        <w:rPr>
          <w:rFonts w:cstheme="minorHAnsi"/>
          <w:sz w:val="28"/>
          <w:szCs w:val="28"/>
        </w:rPr>
      </w:pPr>
      <w:r>
        <w:rPr>
          <w:rFonts w:cstheme="minorHAnsi"/>
          <w:sz w:val="28"/>
          <w:szCs w:val="28"/>
        </w:rPr>
        <w:br w:type="page"/>
      </w:r>
    </w:p>
    <w:tbl>
      <w:tblPr>
        <w:tblW w:w="7380" w:type="dxa"/>
        <w:tblLook w:val="04A0" w:firstRow="1" w:lastRow="0" w:firstColumn="1" w:lastColumn="0" w:noHBand="0" w:noVBand="1"/>
      </w:tblPr>
      <w:tblGrid>
        <w:gridCol w:w="1680"/>
        <w:gridCol w:w="500"/>
        <w:gridCol w:w="938"/>
        <w:gridCol w:w="22"/>
        <w:gridCol w:w="675"/>
        <w:gridCol w:w="723"/>
        <w:gridCol w:w="642"/>
        <w:gridCol w:w="756"/>
        <w:gridCol w:w="609"/>
        <w:gridCol w:w="105"/>
        <w:gridCol w:w="222"/>
        <w:gridCol w:w="370"/>
        <w:gridCol w:w="222"/>
        <w:gridCol w:w="222"/>
      </w:tblGrid>
      <w:tr w:rsidR="00402A5F" w:rsidRPr="00402A5F" w:rsidTr="00382DF2">
        <w:trPr>
          <w:gridAfter w:val="3"/>
          <w:wAfter w:w="508" w:type="dxa"/>
          <w:trHeight w:val="288"/>
        </w:trPr>
        <w:tc>
          <w:tcPr>
            <w:tcW w:w="6872" w:type="dxa"/>
            <w:gridSpan w:val="11"/>
            <w:tcBorders>
              <w:top w:val="nil"/>
              <w:left w:val="nil"/>
              <w:bottom w:val="nil"/>
              <w:right w:val="nil"/>
            </w:tcBorders>
            <w:shd w:val="clear" w:color="auto" w:fill="auto"/>
            <w:noWrap/>
            <w:vAlign w:val="bottom"/>
            <w:hideMark/>
          </w:tcPr>
          <w:p w:rsidR="00402A5F" w:rsidRPr="00402A5F" w:rsidRDefault="00402A5F" w:rsidP="00402A5F">
            <w:pPr>
              <w:spacing w:after="0" w:line="240" w:lineRule="auto"/>
              <w:rPr>
                <w:rFonts w:ascii="Calibri" w:eastAsia="Times New Roman" w:hAnsi="Calibri" w:cs="Calibri"/>
                <w:color w:val="000000"/>
                <w:lang w:eastAsia="en-GB"/>
              </w:rPr>
            </w:pPr>
            <w:r w:rsidRPr="00402A5F">
              <w:rPr>
                <w:rFonts w:ascii="Calibri" w:eastAsia="Times New Roman" w:hAnsi="Calibri" w:cs="Calibri"/>
                <w:color w:val="000000"/>
                <w:lang w:eastAsia="en-GB"/>
              </w:rPr>
              <w:lastRenderedPageBreak/>
              <w:t>Annex table 3: Upper secondary education completion rate country</w:t>
            </w:r>
          </w:p>
        </w:tc>
      </w:tr>
      <w:tr w:rsidR="00402A5F" w:rsidRPr="00402A5F" w:rsidTr="00382DF2">
        <w:trPr>
          <w:gridAfter w:val="3"/>
          <w:wAfter w:w="508" w:type="dxa"/>
          <w:trHeight w:val="300"/>
        </w:trPr>
        <w:tc>
          <w:tcPr>
            <w:tcW w:w="6650" w:type="dxa"/>
            <w:gridSpan w:val="10"/>
            <w:tcBorders>
              <w:top w:val="nil"/>
              <w:left w:val="nil"/>
              <w:bottom w:val="nil"/>
              <w:right w:val="nil"/>
            </w:tcBorders>
            <w:shd w:val="clear" w:color="auto" w:fill="auto"/>
            <w:noWrap/>
            <w:vAlign w:val="bottom"/>
            <w:hideMark/>
          </w:tcPr>
          <w:p w:rsidR="00402A5F" w:rsidRPr="00402A5F" w:rsidRDefault="00402A5F" w:rsidP="00402A5F">
            <w:pPr>
              <w:spacing w:after="0" w:line="240" w:lineRule="auto"/>
              <w:rPr>
                <w:rFonts w:ascii="Calibri" w:eastAsia="Times New Roman" w:hAnsi="Calibri" w:cs="Calibri"/>
                <w:color w:val="000000"/>
                <w:lang w:eastAsia="en-GB"/>
              </w:rPr>
            </w:pPr>
            <w:r w:rsidRPr="00402A5F">
              <w:rPr>
                <w:rFonts w:ascii="Calibri" w:eastAsia="Times New Roman" w:hAnsi="Calibri" w:cs="Calibri"/>
                <w:color w:val="000000"/>
                <w:lang w:eastAsia="en-GB"/>
              </w:rPr>
              <w:t>distribution for rural females by region in SSA, 2018/lya</w:t>
            </w:r>
          </w:p>
        </w:tc>
        <w:tc>
          <w:tcPr>
            <w:tcW w:w="222" w:type="dxa"/>
            <w:tcBorders>
              <w:top w:val="nil"/>
              <w:left w:val="nil"/>
              <w:bottom w:val="nil"/>
              <w:right w:val="nil"/>
            </w:tcBorders>
            <w:shd w:val="clear" w:color="auto" w:fill="auto"/>
            <w:noWrap/>
            <w:vAlign w:val="bottom"/>
            <w:hideMark/>
          </w:tcPr>
          <w:p w:rsidR="00402A5F" w:rsidRPr="00402A5F" w:rsidRDefault="00402A5F" w:rsidP="00402A5F">
            <w:pPr>
              <w:spacing w:after="0" w:line="240" w:lineRule="auto"/>
              <w:rPr>
                <w:rFonts w:ascii="Calibri" w:eastAsia="Times New Roman" w:hAnsi="Calibri" w:cs="Calibri"/>
                <w:color w:val="000000"/>
                <w:lang w:eastAsia="en-GB"/>
              </w:rPr>
            </w:pPr>
          </w:p>
        </w:tc>
      </w:tr>
      <w:tr w:rsidR="00402A5F" w:rsidRPr="00402A5F" w:rsidTr="00382DF2">
        <w:trPr>
          <w:gridAfter w:val="3"/>
          <w:wAfter w:w="508" w:type="dxa"/>
          <w:trHeight w:val="288"/>
        </w:trPr>
        <w:tc>
          <w:tcPr>
            <w:tcW w:w="1680" w:type="dxa"/>
            <w:tcBorders>
              <w:top w:val="single" w:sz="8" w:space="0" w:color="auto"/>
              <w:left w:val="single" w:sz="8" w:space="0" w:color="auto"/>
              <w:bottom w:val="single" w:sz="4" w:space="0" w:color="auto"/>
              <w:right w:val="nil"/>
            </w:tcBorders>
            <w:shd w:val="clear" w:color="000000" w:fill="F2F2F2"/>
            <w:noWrap/>
            <w:vAlign w:val="bottom"/>
            <w:hideMark/>
          </w:tcPr>
          <w:p w:rsidR="00402A5F" w:rsidRPr="00402A5F" w:rsidRDefault="00402A5F" w:rsidP="00402A5F">
            <w:pPr>
              <w:spacing w:after="0" w:line="240" w:lineRule="auto"/>
              <w:rPr>
                <w:rFonts w:ascii="Calibri" w:eastAsia="Times New Roman" w:hAnsi="Calibri" w:cs="Calibri"/>
                <w:color w:val="000000"/>
                <w:lang w:eastAsia="en-GB"/>
              </w:rPr>
            </w:pPr>
            <w:r w:rsidRPr="00402A5F">
              <w:rPr>
                <w:rFonts w:ascii="Calibri" w:eastAsia="Times New Roman" w:hAnsi="Calibri" w:cs="Calibri"/>
                <w:color w:val="000000"/>
                <w:lang w:eastAsia="en-GB"/>
              </w:rPr>
              <w:t>Region</w:t>
            </w:r>
          </w:p>
        </w:tc>
        <w:tc>
          <w:tcPr>
            <w:tcW w:w="500" w:type="dxa"/>
            <w:tcBorders>
              <w:top w:val="single" w:sz="8" w:space="0" w:color="auto"/>
              <w:left w:val="nil"/>
              <w:bottom w:val="single" w:sz="4" w:space="0" w:color="auto"/>
              <w:right w:val="nil"/>
            </w:tcBorders>
            <w:shd w:val="clear" w:color="000000" w:fill="F2F2F2"/>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&lt;5</w:t>
            </w:r>
          </w:p>
        </w:tc>
        <w:tc>
          <w:tcPr>
            <w:tcW w:w="960" w:type="dxa"/>
            <w:gridSpan w:val="2"/>
            <w:tcBorders>
              <w:top w:val="single" w:sz="8" w:space="0" w:color="auto"/>
              <w:left w:val="nil"/>
              <w:bottom w:val="single" w:sz="4" w:space="0" w:color="auto"/>
              <w:right w:val="nil"/>
            </w:tcBorders>
            <w:shd w:val="clear" w:color="000000" w:fill="F2F2F2"/>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5-9.9</w:t>
            </w:r>
          </w:p>
        </w:tc>
        <w:tc>
          <w:tcPr>
            <w:tcW w:w="1398" w:type="dxa"/>
            <w:gridSpan w:val="2"/>
            <w:tcBorders>
              <w:top w:val="single" w:sz="8" w:space="0" w:color="auto"/>
              <w:left w:val="nil"/>
              <w:bottom w:val="single" w:sz="4" w:space="0" w:color="auto"/>
              <w:right w:val="nil"/>
            </w:tcBorders>
            <w:shd w:val="clear" w:color="000000" w:fill="F2F2F2"/>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10-19.9</w:t>
            </w:r>
          </w:p>
        </w:tc>
        <w:tc>
          <w:tcPr>
            <w:tcW w:w="1398" w:type="dxa"/>
            <w:gridSpan w:val="2"/>
            <w:tcBorders>
              <w:top w:val="single" w:sz="8" w:space="0" w:color="auto"/>
              <w:left w:val="nil"/>
              <w:bottom w:val="single" w:sz="4" w:space="0" w:color="auto"/>
              <w:right w:val="nil"/>
            </w:tcBorders>
            <w:shd w:val="clear" w:color="000000" w:fill="F2F2F2"/>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20-29.9</w:t>
            </w:r>
          </w:p>
        </w:tc>
        <w:tc>
          <w:tcPr>
            <w:tcW w:w="714" w:type="dxa"/>
            <w:gridSpan w:val="2"/>
            <w:tcBorders>
              <w:top w:val="single" w:sz="8" w:space="0" w:color="auto"/>
              <w:left w:val="nil"/>
              <w:bottom w:val="single" w:sz="4" w:space="0" w:color="auto"/>
              <w:right w:val="single" w:sz="8" w:space="0" w:color="auto"/>
            </w:tcBorders>
            <w:shd w:val="clear" w:color="000000" w:fill="F2F2F2"/>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30&gt;</w:t>
            </w:r>
          </w:p>
        </w:tc>
        <w:tc>
          <w:tcPr>
            <w:tcW w:w="222" w:type="dxa"/>
            <w:tcBorders>
              <w:top w:val="nil"/>
              <w:left w:val="nil"/>
              <w:bottom w:val="nil"/>
              <w:right w:val="nil"/>
            </w:tcBorders>
            <w:shd w:val="clear" w:color="auto" w:fill="auto"/>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p>
        </w:tc>
      </w:tr>
      <w:tr w:rsidR="00402A5F" w:rsidRPr="00402A5F" w:rsidTr="00382DF2">
        <w:trPr>
          <w:gridAfter w:val="3"/>
          <w:wAfter w:w="508" w:type="dxa"/>
          <w:trHeight w:val="288"/>
        </w:trPr>
        <w:tc>
          <w:tcPr>
            <w:tcW w:w="1680" w:type="dxa"/>
            <w:tcBorders>
              <w:top w:val="nil"/>
              <w:left w:val="single" w:sz="8" w:space="0" w:color="auto"/>
              <w:bottom w:val="nil"/>
              <w:right w:val="nil"/>
            </w:tcBorders>
            <w:shd w:val="clear" w:color="000000" w:fill="FFFFFF"/>
            <w:noWrap/>
            <w:vAlign w:val="bottom"/>
            <w:hideMark/>
          </w:tcPr>
          <w:p w:rsidR="00402A5F" w:rsidRPr="00402A5F" w:rsidRDefault="00402A5F" w:rsidP="00402A5F">
            <w:pPr>
              <w:spacing w:after="0" w:line="240" w:lineRule="auto"/>
              <w:rPr>
                <w:rFonts w:ascii="Calibri" w:eastAsia="Times New Roman" w:hAnsi="Calibri" w:cs="Calibri"/>
                <w:color w:val="000000"/>
                <w:lang w:eastAsia="en-GB"/>
              </w:rPr>
            </w:pPr>
            <w:r w:rsidRPr="00402A5F">
              <w:rPr>
                <w:rFonts w:ascii="Calibri" w:eastAsia="Times New Roman" w:hAnsi="Calibri" w:cs="Calibri"/>
                <w:color w:val="000000"/>
                <w:lang w:eastAsia="en-GB"/>
              </w:rPr>
              <w:t>West</w:t>
            </w:r>
          </w:p>
        </w:tc>
        <w:tc>
          <w:tcPr>
            <w:tcW w:w="500" w:type="dxa"/>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12</w:t>
            </w:r>
          </w:p>
        </w:tc>
        <w:tc>
          <w:tcPr>
            <w:tcW w:w="960" w:type="dxa"/>
            <w:gridSpan w:val="2"/>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1</w:t>
            </w:r>
          </w:p>
        </w:tc>
        <w:tc>
          <w:tcPr>
            <w:tcW w:w="1398" w:type="dxa"/>
            <w:gridSpan w:val="2"/>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0</w:t>
            </w:r>
          </w:p>
        </w:tc>
        <w:tc>
          <w:tcPr>
            <w:tcW w:w="1398" w:type="dxa"/>
            <w:gridSpan w:val="2"/>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2</w:t>
            </w:r>
          </w:p>
        </w:tc>
        <w:tc>
          <w:tcPr>
            <w:tcW w:w="714" w:type="dxa"/>
            <w:gridSpan w:val="2"/>
            <w:tcBorders>
              <w:top w:val="nil"/>
              <w:left w:val="nil"/>
              <w:bottom w:val="nil"/>
              <w:right w:val="single" w:sz="8" w:space="0" w:color="auto"/>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p>
        </w:tc>
      </w:tr>
      <w:tr w:rsidR="00402A5F" w:rsidRPr="00402A5F" w:rsidTr="00382DF2">
        <w:trPr>
          <w:gridAfter w:val="3"/>
          <w:wAfter w:w="508" w:type="dxa"/>
          <w:trHeight w:val="288"/>
        </w:trPr>
        <w:tc>
          <w:tcPr>
            <w:tcW w:w="1680" w:type="dxa"/>
            <w:tcBorders>
              <w:top w:val="nil"/>
              <w:left w:val="single" w:sz="8" w:space="0" w:color="auto"/>
              <w:bottom w:val="nil"/>
              <w:right w:val="nil"/>
            </w:tcBorders>
            <w:shd w:val="clear" w:color="000000" w:fill="FFFFFF"/>
            <w:noWrap/>
            <w:vAlign w:val="bottom"/>
            <w:hideMark/>
          </w:tcPr>
          <w:p w:rsidR="00402A5F" w:rsidRPr="00402A5F" w:rsidRDefault="00402A5F" w:rsidP="00402A5F">
            <w:pPr>
              <w:spacing w:after="0" w:line="240" w:lineRule="auto"/>
              <w:rPr>
                <w:rFonts w:ascii="Calibri" w:eastAsia="Times New Roman" w:hAnsi="Calibri" w:cs="Calibri"/>
                <w:color w:val="000000"/>
                <w:lang w:eastAsia="en-GB"/>
              </w:rPr>
            </w:pPr>
            <w:r w:rsidRPr="00402A5F">
              <w:rPr>
                <w:rFonts w:ascii="Calibri" w:eastAsia="Times New Roman" w:hAnsi="Calibri" w:cs="Calibri"/>
                <w:color w:val="000000"/>
                <w:lang w:eastAsia="en-GB"/>
              </w:rPr>
              <w:t xml:space="preserve">Central </w:t>
            </w:r>
          </w:p>
        </w:tc>
        <w:tc>
          <w:tcPr>
            <w:tcW w:w="500" w:type="dxa"/>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3</w:t>
            </w:r>
          </w:p>
        </w:tc>
        <w:tc>
          <w:tcPr>
            <w:tcW w:w="960" w:type="dxa"/>
            <w:gridSpan w:val="2"/>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3</w:t>
            </w:r>
          </w:p>
        </w:tc>
        <w:tc>
          <w:tcPr>
            <w:tcW w:w="1398" w:type="dxa"/>
            <w:gridSpan w:val="2"/>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0</w:t>
            </w:r>
          </w:p>
        </w:tc>
        <w:tc>
          <w:tcPr>
            <w:tcW w:w="1398" w:type="dxa"/>
            <w:gridSpan w:val="2"/>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0</w:t>
            </w:r>
          </w:p>
        </w:tc>
        <w:tc>
          <w:tcPr>
            <w:tcW w:w="714" w:type="dxa"/>
            <w:gridSpan w:val="2"/>
            <w:tcBorders>
              <w:top w:val="nil"/>
              <w:left w:val="nil"/>
              <w:bottom w:val="nil"/>
              <w:right w:val="single" w:sz="8" w:space="0" w:color="auto"/>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p>
        </w:tc>
      </w:tr>
      <w:tr w:rsidR="00402A5F" w:rsidRPr="00402A5F" w:rsidTr="00382DF2">
        <w:trPr>
          <w:gridAfter w:val="3"/>
          <w:wAfter w:w="508" w:type="dxa"/>
          <w:trHeight w:val="288"/>
        </w:trPr>
        <w:tc>
          <w:tcPr>
            <w:tcW w:w="1680" w:type="dxa"/>
            <w:tcBorders>
              <w:top w:val="nil"/>
              <w:left w:val="single" w:sz="8" w:space="0" w:color="auto"/>
              <w:bottom w:val="nil"/>
              <w:right w:val="nil"/>
            </w:tcBorders>
            <w:shd w:val="clear" w:color="000000" w:fill="FFFFFF"/>
            <w:noWrap/>
            <w:vAlign w:val="bottom"/>
            <w:hideMark/>
          </w:tcPr>
          <w:p w:rsidR="00402A5F" w:rsidRPr="00402A5F" w:rsidRDefault="00402A5F" w:rsidP="00402A5F">
            <w:pPr>
              <w:spacing w:after="0" w:line="240" w:lineRule="auto"/>
              <w:rPr>
                <w:rFonts w:ascii="Calibri" w:eastAsia="Times New Roman" w:hAnsi="Calibri" w:cs="Calibri"/>
                <w:color w:val="000000"/>
                <w:lang w:eastAsia="en-GB"/>
              </w:rPr>
            </w:pPr>
            <w:r w:rsidRPr="00402A5F">
              <w:rPr>
                <w:rFonts w:ascii="Calibri" w:eastAsia="Times New Roman" w:hAnsi="Calibri" w:cs="Calibri"/>
                <w:color w:val="000000"/>
                <w:lang w:eastAsia="en-GB"/>
              </w:rPr>
              <w:t>Eastern</w:t>
            </w:r>
          </w:p>
        </w:tc>
        <w:tc>
          <w:tcPr>
            <w:tcW w:w="500" w:type="dxa"/>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4</w:t>
            </w:r>
          </w:p>
        </w:tc>
        <w:tc>
          <w:tcPr>
            <w:tcW w:w="960" w:type="dxa"/>
            <w:gridSpan w:val="2"/>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3</w:t>
            </w:r>
          </w:p>
        </w:tc>
        <w:tc>
          <w:tcPr>
            <w:tcW w:w="1398" w:type="dxa"/>
            <w:gridSpan w:val="2"/>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2</w:t>
            </w:r>
          </w:p>
        </w:tc>
        <w:tc>
          <w:tcPr>
            <w:tcW w:w="1398" w:type="dxa"/>
            <w:gridSpan w:val="2"/>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1</w:t>
            </w:r>
          </w:p>
        </w:tc>
        <w:tc>
          <w:tcPr>
            <w:tcW w:w="714" w:type="dxa"/>
            <w:gridSpan w:val="2"/>
            <w:tcBorders>
              <w:top w:val="nil"/>
              <w:left w:val="nil"/>
              <w:bottom w:val="nil"/>
              <w:right w:val="single" w:sz="8" w:space="0" w:color="auto"/>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p>
        </w:tc>
      </w:tr>
      <w:tr w:rsidR="00402A5F" w:rsidRPr="00402A5F" w:rsidTr="00382DF2">
        <w:trPr>
          <w:gridAfter w:val="3"/>
          <w:wAfter w:w="508" w:type="dxa"/>
          <w:trHeight w:val="288"/>
        </w:trPr>
        <w:tc>
          <w:tcPr>
            <w:tcW w:w="1680" w:type="dxa"/>
            <w:tcBorders>
              <w:top w:val="nil"/>
              <w:left w:val="single" w:sz="8" w:space="0" w:color="auto"/>
              <w:bottom w:val="nil"/>
              <w:right w:val="nil"/>
            </w:tcBorders>
            <w:shd w:val="clear" w:color="000000" w:fill="FFFFFF"/>
            <w:noWrap/>
            <w:vAlign w:val="bottom"/>
            <w:hideMark/>
          </w:tcPr>
          <w:p w:rsidR="00402A5F" w:rsidRPr="00402A5F" w:rsidRDefault="00402A5F" w:rsidP="00402A5F">
            <w:pPr>
              <w:spacing w:after="0" w:line="240" w:lineRule="auto"/>
              <w:rPr>
                <w:rFonts w:ascii="Calibri" w:eastAsia="Times New Roman" w:hAnsi="Calibri" w:cs="Calibri"/>
                <w:color w:val="000000"/>
                <w:lang w:eastAsia="en-GB"/>
              </w:rPr>
            </w:pPr>
            <w:r w:rsidRPr="00402A5F">
              <w:rPr>
                <w:rFonts w:ascii="Calibri" w:eastAsia="Times New Roman" w:hAnsi="Calibri" w:cs="Calibri"/>
                <w:color w:val="000000"/>
                <w:lang w:eastAsia="en-GB"/>
              </w:rPr>
              <w:t xml:space="preserve">Southern </w:t>
            </w:r>
          </w:p>
        </w:tc>
        <w:tc>
          <w:tcPr>
            <w:tcW w:w="500" w:type="dxa"/>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1</w:t>
            </w:r>
          </w:p>
        </w:tc>
        <w:tc>
          <w:tcPr>
            <w:tcW w:w="960" w:type="dxa"/>
            <w:gridSpan w:val="2"/>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2</w:t>
            </w:r>
          </w:p>
        </w:tc>
        <w:tc>
          <w:tcPr>
            <w:tcW w:w="1398" w:type="dxa"/>
            <w:gridSpan w:val="2"/>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0</w:t>
            </w:r>
          </w:p>
        </w:tc>
        <w:tc>
          <w:tcPr>
            <w:tcW w:w="1398" w:type="dxa"/>
            <w:gridSpan w:val="2"/>
            <w:tcBorders>
              <w:top w:val="nil"/>
              <w:left w:val="nil"/>
              <w:bottom w:val="nil"/>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3</w:t>
            </w:r>
          </w:p>
        </w:tc>
        <w:tc>
          <w:tcPr>
            <w:tcW w:w="714" w:type="dxa"/>
            <w:gridSpan w:val="2"/>
            <w:tcBorders>
              <w:top w:val="nil"/>
              <w:left w:val="nil"/>
              <w:bottom w:val="nil"/>
              <w:right w:val="single" w:sz="8" w:space="0" w:color="auto"/>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1</w:t>
            </w:r>
          </w:p>
        </w:tc>
        <w:tc>
          <w:tcPr>
            <w:tcW w:w="222" w:type="dxa"/>
            <w:tcBorders>
              <w:top w:val="nil"/>
              <w:left w:val="nil"/>
              <w:bottom w:val="nil"/>
              <w:right w:val="nil"/>
            </w:tcBorders>
            <w:shd w:val="clear" w:color="auto" w:fill="auto"/>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p>
        </w:tc>
      </w:tr>
      <w:tr w:rsidR="00402A5F" w:rsidRPr="00402A5F" w:rsidTr="00382DF2">
        <w:trPr>
          <w:gridAfter w:val="3"/>
          <w:wAfter w:w="508" w:type="dxa"/>
          <w:trHeight w:val="300"/>
        </w:trPr>
        <w:tc>
          <w:tcPr>
            <w:tcW w:w="1680" w:type="dxa"/>
            <w:tcBorders>
              <w:top w:val="nil"/>
              <w:left w:val="single" w:sz="8" w:space="0" w:color="auto"/>
              <w:bottom w:val="single" w:sz="8" w:space="0" w:color="auto"/>
              <w:right w:val="nil"/>
            </w:tcBorders>
            <w:shd w:val="clear" w:color="000000" w:fill="FFFFFF"/>
            <w:noWrap/>
            <w:vAlign w:val="bottom"/>
            <w:hideMark/>
          </w:tcPr>
          <w:p w:rsidR="00402A5F" w:rsidRPr="00402A5F" w:rsidRDefault="00402A5F" w:rsidP="00402A5F">
            <w:pPr>
              <w:spacing w:after="0" w:line="240" w:lineRule="auto"/>
              <w:rPr>
                <w:rFonts w:ascii="Calibri" w:eastAsia="Times New Roman" w:hAnsi="Calibri" w:cs="Calibri"/>
                <w:color w:val="000000"/>
                <w:lang w:eastAsia="en-GB"/>
              </w:rPr>
            </w:pPr>
            <w:r w:rsidRPr="00402A5F">
              <w:rPr>
                <w:rFonts w:ascii="Calibri" w:eastAsia="Times New Roman" w:hAnsi="Calibri" w:cs="Calibri"/>
                <w:color w:val="000000"/>
                <w:lang w:eastAsia="en-GB"/>
              </w:rPr>
              <w:t>Total</w:t>
            </w:r>
          </w:p>
        </w:tc>
        <w:tc>
          <w:tcPr>
            <w:tcW w:w="500" w:type="dxa"/>
            <w:tcBorders>
              <w:top w:val="nil"/>
              <w:left w:val="nil"/>
              <w:bottom w:val="single" w:sz="8" w:space="0" w:color="auto"/>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20</w:t>
            </w:r>
          </w:p>
        </w:tc>
        <w:tc>
          <w:tcPr>
            <w:tcW w:w="960" w:type="dxa"/>
            <w:gridSpan w:val="2"/>
            <w:tcBorders>
              <w:top w:val="nil"/>
              <w:left w:val="nil"/>
              <w:bottom w:val="single" w:sz="8" w:space="0" w:color="auto"/>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9</w:t>
            </w:r>
          </w:p>
        </w:tc>
        <w:tc>
          <w:tcPr>
            <w:tcW w:w="1398" w:type="dxa"/>
            <w:gridSpan w:val="2"/>
            <w:tcBorders>
              <w:top w:val="nil"/>
              <w:left w:val="nil"/>
              <w:bottom w:val="single" w:sz="8" w:space="0" w:color="auto"/>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2</w:t>
            </w:r>
          </w:p>
        </w:tc>
        <w:tc>
          <w:tcPr>
            <w:tcW w:w="1398" w:type="dxa"/>
            <w:gridSpan w:val="2"/>
            <w:tcBorders>
              <w:top w:val="nil"/>
              <w:left w:val="nil"/>
              <w:bottom w:val="single" w:sz="8" w:space="0" w:color="auto"/>
              <w:right w:val="nil"/>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6</w:t>
            </w:r>
          </w:p>
        </w:tc>
        <w:tc>
          <w:tcPr>
            <w:tcW w:w="714" w:type="dxa"/>
            <w:gridSpan w:val="2"/>
            <w:tcBorders>
              <w:top w:val="nil"/>
              <w:left w:val="nil"/>
              <w:bottom w:val="single" w:sz="8" w:space="0" w:color="auto"/>
              <w:right w:val="single" w:sz="8" w:space="0" w:color="auto"/>
            </w:tcBorders>
            <w:shd w:val="clear" w:color="000000" w:fill="FFFFFF"/>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r w:rsidRPr="00402A5F">
              <w:rPr>
                <w:rFonts w:ascii="Calibri" w:eastAsia="Times New Roman" w:hAnsi="Calibri" w:cs="Calibri"/>
                <w:color w:val="000000"/>
                <w:lang w:eastAsia="en-GB"/>
              </w:rPr>
              <w:t>1</w:t>
            </w:r>
          </w:p>
        </w:tc>
        <w:tc>
          <w:tcPr>
            <w:tcW w:w="222" w:type="dxa"/>
            <w:tcBorders>
              <w:top w:val="nil"/>
              <w:left w:val="nil"/>
              <w:bottom w:val="nil"/>
              <w:right w:val="nil"/>
            </w:tcBorders>
            <w:shd w:val="clear" w:color="auto" w:fill="auto"/>
            <w:noWrap/>
            <w:vAlign w:val="bottom"/>
            <w:hideMark/>
          </w:tcPr>
          <w:p w:rsidR="00402A5F" w:rsidRPr="00402A5F" w:rsidRDefault="00402A5F" w:rsidP="00402A5F">
            <w:pPr>
              <w:spacing w:after="0" w:line="240" w:lineRule="auto"/>
              <w:jc w:val="center"/>
              <w:rPr>
                <w:rFonts w:ascii="Calibri" w:eastAsia="Times New Roman" w:hAnsi="Calibri" w:cs="Calibri"/>
                <w:color w:val="000000"/>
                <w:lang w:eastAsia="en-GB"/>
              </w:rPr>
            </w:pPr>
          </w:p>
        </w:tc>
      </w:tr>
      <w:tr w:rsidR="00402A5F" w:rsidRPr="00402A5F" w:rsidTr="00382DF2">
        <w:trPr>
          <w:gridAfter w:val="3"/>
          <w:wAfter w:w="508" w:type="dxa"/>
          <w:trHeight w:val="288"/>
        </w:trPr>
        <w:tc>
          <w:tcPr>
            <w:tcW w:w="6872" w:type="dxa"/>
            <w:gridSpan w:val="11"/>
            <w:tcBorders>
              <w:top w:val="nil"/>
              <w:left w:val="single" w:sz="8" w:space="0" w:color="auto"/>
              <w:bottom w:val="nil"/>
              <w:right w:val="nil"/>
            </w:tcBorders>
            <w:shd w:val="clear" w:color="auto" w:fill="auto"/>
            <w:noWrap/>
            <w:vAlign w:val="bottom"/>
            <w:hideMark/>
          </w:tcPr>
          <w:p w:rsidR="00402A5F" w:rsidRPr="00402A5F" w:rsidRDefault="00402A5F" w:rsidP="00402A5F">
            <w:pPr>
              <w:spacing w:after="0" w:line="240" w:lineRule="auto"/>
              <w:rPr>
                <w:rFonts w:ascii="Calibri" w:eastAsia="Times New Roman" w:hAnsi="Calibri" w:cs="Calibri"/>
                <w:color w:val="000000"/>
                <w:lang w:eastAsia="en-GB"/>
              </w:rPr>
            </w:pPr>
            <w:r w:rsidRPr="00402A5F">
              <w:rPr>
                <w:rFonts w:ascii="Calibri" w:eastAsia="Times New Roman" w:hAnsi="Calibri" w:cs="Calibri"/>
                <w:color w:val="000000"/>
                <w:lang w:eastAsia="en-GB"/>
              </w:rPr>
              <w:t xml:space="preserve">Notes: For example, 12 </w:t>
            </w:r>
            <w:r w:rsidR="00E645D3">
              <w:rPr>
                <w:rFonts w:ascii="Calibri" w:eastAsia="Times New Roman" w:hAnsi="Calibri" w:cs="Calibri"/>
                <w:color w:val="000000"/>
                <w:lang w:eastAsia="en-GB"/>
              </w:rPr>
              <w:t xml:space="preserve">countries </w:t>
            </w:r>
            <w:r w:rsidRPr="00402A5F">
              <w:rPr>
                <w:rFonts w:ascii="Calibri" w:eastAsia="Times New Roman" w:hAnsi="Calibri" w:cs="Calibri"/>
                <w:color w:val="000000"/>
                <w:lang w:eastAsia="en-GB"/>
              </w:rPr>
              <w:t>in West Afri</w:t>
            </w:r>
            <w:r w:rsidR="00E645D3">
              <w:rPr>
                <w:rFonts w:ascii="Calibri" w:eastAsia="Times New Roman" w:hAnsi="Calibri" w:cs="Calibri"/>
                <w:color w:val="000000"/>
                <w:lang w:eastAsia="en-GB"/>
              </w:rPr>
              <w:t>ca have female rural upper secondary completion rates of less than 5%.</w:t>
            </w:r>
          </w:p>
        </w:tc>
      </w:tr>
      <w:tr w:rsidR="00402A5F" w:rsidRPr="00402A5F" w:rsidTr="00382DF2">
        <w:trPr>
          <w:gridAfter w:val="3"/>
          <w:wAfter w:w="508" w:type="dxa"/>
          <w:trHeight w:val="288"/>
        </w:trPr>
        <w:tc>
          <w:tcPr>
            <w:tcW w:w="6650" w:type="dxa"/>
            <w:gridSpan w:val="10"/>
            <w:tcBorders>
              <w:top w:val="nil"/>
              <w:left w:val="single" w:sz="8" w:space="0" w:color="auto"/>
              <w:bottom w:val="nil"/>
              <w:right w:val="nil"/>
            </w:tcBorders>
            <w:shd w:val="clear" w:color="auto" w:fill="auto"/>
            <w:noWrap/>
            <w:vAlign w:val="bottom"/>
            <w:hideMark/>
          </w:tcPr>
          <w:p w:rsidR="00402A5F" w:rsidRPr="00402A5F" w:rsidRDefault="00402A5F" w:rsidP="00402A5F">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402A5F" w:rsidRPr="00402A5F" w:rsidRDefault="00402A5F" w:rsidP="00402A5F">
            <w:pPr>
              <w:spacing w:after="0" w:line="240" w:lineRule="auto"/>
              <w:rPr>
                <w:rFonts w:ascii="Calibri" w:eastAsia="Times New Roman" w:hAnsi="Calibri" w:cs="Calibri"/>
                <w:color w:val="000000"/>
                <w:lang w:eastAsia="en-GB"/>
              </w:rPr>
            </w:pPr>
          </w:p>
        </w:tc>
      </w:tr>
      <w:tr w:rsidR="00402A5F" w:rsidRPr="00402A5F" w:rsidTr="00382DF2">
        <w:trPr>
          <w:gridAfter w:val="3"/>
          <w:wAfter w:w="508" w:type="dxa"/>
          <w:trHeight w:val="288"/>
        </w:trPr>
        <w:tc>
          <w:tcPr>
            <w:tcW w:w="2180" w:type="dxa"/>
            <w:gridSpan w:val="2"/>
            <w:tcBorders>
              <w:top w:val="nil"/>
              <w:left w:val="single" w:sz="8" w:space="0" w:color="auto"/>
              <w:bottom w:val="nil"/>
              <w:right w:val="nil"/>
            </w:tcBorders>
            <w:shd w:val="clear" w:color="auto" w:fill="auto"/>
            <w:noWrap/>
            <w:vAlign w:val="bottom"/>
            <w:hideMark/>
          </w:tcPr>
          <w:p w:rsidR="00402A5F" w:rsidRDefault="00402A5F" w:rsidP="00402A5F">
            <w:pPr>
              <w:spacing w:after="0" w:line="240" w:lineRule="auto"/>
              <w:rPr>
                <w:rFonts w:ascii="Calibri" w:eastAsia="Times New Roman" w:hAnsi="Calibri" w:cs="Calibri"/>
                <w:color w:val="000000"/>
                <w:lang w:eastAsia="en-GB"/>
              </w:rPr>
            </w:pPr>
            <w:r w:rsidRPr="00402A5F">
              <w:rPr>
                <w:rFonts w:ascii="Calibri" w:eastAsia="Times New Roman" w:hAnsi="Calibri" w:cs="Calibri"/>
                <w:color w:val="000000"/>
                <w:lang w:eastAsia="en-GB"/>
              </w:rPr>
              <w:t>Source: UIS</w:t>
            </w:r>
          </w:p>
          <w:p w:rsidR="00382DF2" w:rsidRPr="00402A5F" w:rsidRDefault="00382DF2" w:rsidP="00402A5F">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402A5F" w:rsidRPr="00402A5F" w:rsidRDefault="00402A5F" w:rsidP="00402A5F">
            <w:pPr>
              <w:spacing w:after="0" w:line="240" w:lineRule="auto"/>
              <w:rPr>
                <w:rFonts w:ascii="Calibri" w:eastAsia="Times New Roman" w:hAnsi="Calibri" w:cs="Calibri"/>
                <w:color w:val="000000"/>
                <w:lang w:eastAsia="en-GB"/>
              </w:rPr>
            </w:pPr>
          </w:p>
        </w:tc>
        <w:tc>
          <w:tcPr>
            <w:tcW w:w="1398" w:type="dxa"/>
            <w:gridSpan w:val="2"/>
            <w:tcBorders>
              <w:top w:val="nil"/>
              <w:left w:val="nil"/>
              <w:bottom w:val="nil"/>
              <w:right w:val="nil"/>
            </w:tcBorders>
            <w:shd w:val="clear" w:color="auto" w:fill="auto"/>
            <w:noWrap/>
            <w:vAlign w:val="bottom"/>
            <w:hideMark/>
          </w:tcPr>
          <w:p w:rsidR="00402A5F" w:rsidRPr="00402A5F" w:rsidRDefault="00402A5F" w:rsidP="00402A5F">
            <w:pPr>
              <w:spacing w:after="0" w:line="240" w:lineRule="auto"/>
              <w:jc w:val="center"/>
              <w:rPr>
                <w:rFonts w:ascii="Times New Roman" w:eastAsia="Times New Roman" w:hAnsi="Times New Roman" w:cs="Times New Roman"/>
                <w:sz w:val="20"/>
                <w:szCs w:val="20"/>
                <w:lang w:eastAsia="en-GB"/>
              </w:rPr>
            </w:pPr>
          </w:p>
        </w:tc>
        <w:tc>
          <w:tcPr>
            <w:tcW w:w="1398" w:type="dxa"/>
            <w:gridSpan w:val="2"/>
            <w:tcBorders>
              <w:top w:val="nil"/>
              <w:left w:val="nil"/>
              <w:bottom w:val="nil"/>
              <w:right w:val="nil"/>
            </w:tcBorders>
            <w:shd w:val="clear" w:color="auto" w:fill="auto"/>
            <w:noWrap/>
            <w:vAlign w:val="bottom"/>
            <w:hideMark/>
          </w:tcPr>
          <w:p w:rsidR="00402A5F" w:rsidRPr="00402A5F" w:rsidRDefault="00402A5F" w:rsidP="00402A5F">
            <w:pPr>
              <w:spacing w:after="0" w:line="240" w:lineRule="auto"/>
              <w:jc w:val="center"/>
              <w:rPr>
                <w:rFonts w:ascii="Times New Roman" w:eastAsia="Times New Roman" w:hAnsi="Times New Roman" w:cs="Times New Roman"/>
                <w:sz w:val="20"/>
                <w:szCs w:val="20"/>
                <w:lang w:eastAsia="en-GB"/>
              </w:rPr>
            </w:pPr>
          </w:p>
        </w:tc>
        <w:tc>
          <w:tcPr>
            <w:tcW w:w="714" w:type="dxa"/>
            <w:gridSpan w:val="2"/>
            <w:tcBorders>
              <w:top w:val="nil"/>
              <w:left w:val="nil"/>
              <w:bottom w:val="nil"/>
              <w:right w:val="nil"/>
            </w:tcBorders>
            <w:shd w:val="clear" w:color="auto" w:fill="auto"/>
            <w:noWrap/>
            <w:vAlign w:val="bottom"/>
            <w:hideMark/>
          </w:tcPr>
          <w:p w:rsidR="00402A5F" w:rsidRPr="00402A5F" w:rsidRDefault="00402A5F" w:rsidP="00402A5F">
            <w:pPr>
              <w:spacing w:after="0" w:line="240" w:lineRule="auto"/>
              <w:jc w:val="cente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402A5F" w:rsidRPr="00402A5F" w:rsidRDefault="00402A5F" w:rsidP="00402A5F">
            <w:pPr>
              <w:spacing w:after="0" w:line="240" w:lineRule="auto"/>
              <w:jc w:val="center"/>
              <w:rPr>
                <w:rFonts w:ascii="Times New Roman" w:eastAsia="Times New Roman" w:hAnsi="Times New Roman" w:cs="Times New Roman"/>
                <w:sz w:val="20"/>
                <w:szCs w:val="20"/>
                <w:lang w:eastAsia="en-GB"/>
              </w:rPr>
            </w:pPr>
          </w:p>
        </w:tc>
      </w:tr>
      <w:tr w:rsidR="00382DF2" w:rsidRPr="00382DF2" w:rsidTr="00382DF2">
        <w:trPr>
          <w:trHeight w:val="288"/>
        </w:trPr>
        <w:tc>
          <w:tcPr>
            <w:tcW w:w="7380" w:type="dxa"/>
            <w:gridSpan w:val="14"/>
            <w:tcBorders>
              <w:top w:val="nil"/>
              <w:left w:val="nil"/>
              <w:bottom w:val="nil"/>
              <w:right w:val="nil"/>
            </w:tcBorders>
            <w:shd w:val="clear" w:color="auto" w:fill="auto"/>
            <w:noWrap/>
            <w:vAlign w:val="bottom"/>
            <w:hideMark/>
          </w:tcPr>
          <w:p w:rsidR="00E645D3" w:rsidRDefault="00E645D3" w:rsidP="00382DF2">
            <w:pPr>
              <w:spacing w:after="0" w:line="240" w:lineRule="auto"/>
              <w:rPr>
                <w:rFonts w:ascii="Calibri" w:eastAsia="Times New Roman" w:hAnsi="Calibri" w:cs="Calibri"/>
                <w:color w:val="000000"/>
                <w:lang w:eastAsia="en-GB"/>
              </w:rPr>
            </w:pPr>
          </w:p>
          <w:p w:rsidR="00382DF2" w:rsidRPr="00382DF2" w:rsidRDefault="00382DF2" w:rsidP="00382DF2">
            <w:pPr>
              <w:spacing w:after="0" w:line="240" w:lineRule="auto"/>
              <w:rPr>
                <w:rFonts w:ascii="Calibri" w:eastAsia="Times New Roman" w:hAnsi="Calibri" w:cs="Calibri"/>
                <w:color w:val="000000"/>
                <w:lang w:eastAsia="en-GB"/>
              </w:rPr>
            </w:pPr>
            <w:r w:rsidRPr="00382DF2">
              <w:rPr>
                <w:rFonts w:ascii="Calibri" w:eastAsia="Times New Roman" w:hAnsi="Calibri" w:cs="Calibri"/>
                <w:color w:val="000000"/>
                <w:lang w:eastAsia="en-GB"/>
              </w:rPr>
              <w:t xml:space="preserve">Annex table 4:  Percentage distribution of countries in SSA according to the  </w:t>
            </w:r>
          </w:p>
        </w:tc>
      </w:tr>
      <w:tr w:rsidR="00382DF2" w:rsidRPr="00382DF2" w:rsidTr="00382DF2">
        <w:trPr>
          <w:trHeight w:val="300"/>
        </w:trPr>
        <w:tc>
          <w:tcPr>
            <w:tcW w:w="7380" w:type="dxa"/>
            <w:gridSpan w:val="14"/>
            <w:tcBorders>
              <w:top w:val="nil"/>
              <w:left w:val="nil"/>
              <w:bottom w:val="nil"/>
              <w:right w:val="nil"/>
            </w:tcBorders>
            <w:shd w:val="clear" w:color="auto" w:fill="auto"/>
            <w:noWrap/>
            <w:vAlign w:val="bottom"/>
            <w:hideMark/>
          </w:tcPr>
          <w:p w:rsidR="00382DF2" w:rsidRPr="00382DF2" w:rsidRDefault="00382DF2" w:rsidP="00382DF2">
            <w:pPr>
              <w:spacing w:after="0" w:line="240" w:lineRule="auto"/>
              <w:rPr>
                <w:rFonts w:ascii="Calibri" w:eastAsia="Times New Roman" w:hAnsi="Calibri" w:cs="Calibri"/>
                <w:color w:val="000000"/>
                <w:lang w:eastAsia="en-GB"/>
              </w:rPr>
            </w:pPr>
            <w:r w:rsidRPr="00382DF2">
              <w:rPr>
                <w:rFonts w:ascii="Calibri" w:eastAsia="Times New Roman" w:hAnsi="Calibri" w:cs="Calibri"/>
                <w:color w:val="000000"/>
                <w:lang w:eastAsia="en-GB"/>
              </w:rPr>
              <w:t>percentage point increase in secondary school completion rates, 2000-2018</w:t>
            </w:r>
          </w:p>
        </w:tc>
      </w:tr>
      <w:tr w:rsidR="00382DF2" w:rsidRPr="00382DF2" w:rsidTr="00382DF2">
        <w:trPr>
          <w:trHeight w:val="288"/>
        </w:trPr>
        <w:tc>
          <w:tcPr>
            <w:tcW w:w="3118" w:type="dxa"/>
            <w:gridSpan w:val="3"/>
            <w:tcBorders>
              <w:top w:val="single" w:sz="8" w:space="0" w:color="auto"/>
              <w:left w:val="single" w:sz="8" w:space="0" w:color="auto"/>
              <w:bottom w:val="single" w:sz="4" w:space="0" w:color="auto"/>
              <w:right w:val="nil"/>
            </w:tcBorders>
            <w:shd w:val="clear" w:color="auto" w:fill="auto"/>
            <w:noWrap/>
            <w:vAlign w:val="bottom"/>
            <w:hideMark/>
          </w:tcPr>
          <w:p w:rsidR="00382DF2" w:rsidRPr="00382DF2" w:rsidRDefault="00382DF2" w:rsidP="00382DF2">
            <w:pPr>
              <w:spacing w:after="0" w:line="240" w:lineRule="auto"/>
              <w:rPr>
                <w:rFonts w:ascii="Calibri" w:eastAsia="Times New Roman" w:hAnsi="Calibri" w:cs="Calibri"/>
                <w:color w:val="000000"/>
                <w:lang w:eastAsia="en-GB"/>
              </w:rPr>
            </w:pPr>
            <w:r w:rsidRPr="00382DF2">
              <w:rPr>
                <w:rFonts w:ascii="Calibri" w:eastAsia="Times New Roman" w:hAnsi="Calibri" w:cs="Calibri"/>
                <w:color w:val="000000"/>
                <w:lang w:eastAsia="en-GB"/>
              </w:rPr>
              <w:t>PP increase</w:t>
            </w:r>
          </w:p>
        </w:tc>
        <w:tc>
          <w:tcPr>
            <w:tcW w:w="697" w:type="dxa"/>
            <w:gridSpan w:val="2"/>
            <w:tcBorders>
              <w:top w:val="single" w:sz="8" w:space="0" w:color="auto"/>
              <w:left w:val="nil"/>
              <w:bottom w:val="single" w:sz="4" w:space="0" w:color="auto"/>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&lt;10</w:t>
            </w:r>
          </w:p>
        </w:tc>
        <w:tc>
          <w:tcPr>
            <w:tcW w:w="1365" w:type="dxa"/>
            <w:gridSpan w:val="2"/>
            <w:tcBorders>
              <w:top w:val="single" w:sz="8" w:space="0" w:color="auto"/>
              <w:left w:val="nil"/>
              <w:bottom w:val="single" w:sz="4" w:space="0" w:color="auto"/>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10-19.9</w:t>
            </w:r>
          </w:p>
        </w:tc>
        <w:tc>
          <w:tcPr>
            <w:tcW w:w="1365" w:type="dxa"/>
            <w:gridSpan w:val="2"/>
            <w:tcBorders>
              <w:top w:val="single" w:sz="8" w:space="0" w:color="auto"/>
              <w:left w:val="nil"/>
              <w:bottom w:val="single" w:sz="4" w:space="0" w:color="auto"/>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20-29.9</w:t>
            </w:r>
          </w:p>
        </w:tc>
        <w:tc>
          <w:tcPr>
            <w:tcW w:w="697" w:type="dxa"/>
            <w:gridSpan w:val="3"/>
            <w:tcBorders>
              <w:top w:val="single" w:sz="8" w:space="0" w:color="auto"/>
              <w:left w:val="nil"/>
              <w:bottom w:val="single" w:sz="4" w:space="0" w:color="auto"/>
              <w:right w:val="single" w:sz="8" w:space="0" w:color="auto"/>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30&gt;</w:t>
            </w:r>
          </w:p>
        </w:tc>
        <w:tc>
          <w:tcPr>
            <w:tcW w:w="69" w:type="dxa"/>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p>
        </w:tc>
        <w:tc>
          <w:tcPr>
            <w:tcW w:w="69" w:type="dxa"/>
            <w:tcBorders>
              <w:top w:val="nil"/>
              <w:left w:val="nil"/>
              <w:bottom w:val="nil"/>
              <w:right w:val="nil"/>
            </w:tcBorders>
            <w:shd w:val="clear" w:color="auto" w:fill="auto"/>
            <w:noWrap/>
            <w:vAlign w:val="bottom"/>
            <w:hideMark/>
          </w:tcPr>
          <w:p w:rsidR="00382DF2" w:rsidRPr="00382DF2" w:rsidRDefault="00382DF2" w:rsidP="00382DF2">
            <w:pPr>
              <w:spacing w:after="0" w:line="240" w:lineRule="auto"/>
              <w:rPr>
                <w:rFonts w:ascii="Times New Roman" w:eastAsia="Times New Roman" w:hAnsi="Times New Roman" w:cs="Times New Roman"/>
                <w:sz w:val="20"/>
                <w:szCs w:val="20"/>
                <w:lang w:eastAsia="en-GB"/>
              </w:rPr>
            </w:pPr>
          </w:p>
        </w:tc>
      </w:tr>
      <w:tr w:rsidR="00382DF2" w:rsidRPr="00382DF2" w:rsidTr="00382DF2">
        <w:trPr>
          <w:trHeight w:val="288"/>
        </w:trPr>
        <w:tc>
          <w:tcPr>
            <w:tcW w:w="3118" w:type="dxa"/>
            <w:gridSpan w:val="3"/>
            <w:tcBorders>
              <w:top w:val="nil"/>
              <w:left w:val="single" w:sz="8" w:space="0" w:color="auto"/>
              <w:bottom w:val="nil"/>
              <w:right w:val="nil"/>
            </w:tcBorders>
            <w:shd w:val="clear" w:color="auto" w:fill="auto"/>
            <w:noWrap/>
            <w:vAlign w:val="bottom"/>
            <w:hideMark/>
          </w:tcPr>
          <w:p w:rsidR="00382DF2" w:rsidRPr="00382DF2" w:rsidRDefault="00382DF2" w:rsidP="00382DF2">
            <w:pPr>
              <w:spacing w:after="0" w:line="240" w:lineRule="auto"/>
              <w:rPr>
                <w:rFonts w:ascii="Calibri" w:eastAsia="Times New Roman" w:hAnsi="Calibri" w:cs="Calibri"/>
                <w:color w:val="000000"/>
                <w:lang w:eastAsia="en-GB"/>
              </w:rPr>
            </w:pPr>
            <w:r w:rsidRPr="00382DF2">
              <w:rPr>
                <w:rFonts w:ascii="Calibri" w:eastAsia="Times New Roman" w:hAnsi="Calibri" w:cs="Calibri"/>
                <w:color w:val="000000"/>
                <w:lang w:eastAsia="en-GB"/>
              </w:rPr>
              <w:t>Lower secondary</w:t>
            </w:r>
          </w:p>
        </w:tc>
        <w:tc>
          <w:tcPr>
            <w:tcW w:w="697" w:type="dxa"/>
            <w:gridSpan w:val="2"/>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37</w:t>
            </w:r>
          </w:p>
        </w:tc>
        <w:tc>
          <w:tcPr>
            <w:tcW w:w="1365" w:type="dxa"/>
            <w:gridSpan w:val="2"/>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30</w:t>
            </w:r>
          </w:p>
        </w:tc>
        <w:tc>
          <w:tcPr>
            <w:tcW w:w="1365" w:type="dxa"/>
            <w:gridSpan w:val="2"/>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30</w:t>
            </w:r>
          </w:p>
        </w:tc>
        <w:tc>
          <w:tcPr>
            <w:tcW w:w="697" w:type="dxa"/>
            <w:gridSpan w:val="3"/>
            <w:tcBorders>
              <w:top w:val="nil"/>
              <w:left w:val="nil"/>
              <w:bottom w:val="nil"/>
              <w:right w:val="single" w:sz="8" w:space="0" w:color="auto"/>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3</w:t>
            </w:r>
          </w:p>
        </w:tc>
        <w:tc>
          <w:tcPr>
            <w:tcW w:w="69" w:type="dxa"/>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p>
        </w:tc>
        <w:tc>
          <w:tcPr>
            <w:tcW w:w="69" w:type="dxa"/>
            <w:tcBorders>
              <w:top w:val="nil"/>
              <w:left w:val="nil"/>
              <w:bottom w:val="nil"/>
              <w:right w:val="nil"/>
            </w:tcBorders>
            <w:shd w:val="clear" w:color="auto" w:fill="auto"/>
            <w:noWrap/>
            <w:vAlign w:val="bottom"/>
            <w:hideMark/>
          </w:tcPr>
          <w:p w:rsidR="00382DF2" w:rsidRPr="00382DF2" w:rsidRDefault="00382DF2" w:rsidP="00382DF2">
            <w:pPr>
              <w:spacing w:after="0" w:line="240" w:lineRule="auto"/>
              <w:rPr>
                <w:rFonts w:ascii="Times New Roman" w:eastAsia="Times New Roman" w:hAnsi="Times New Roman" w:cs="Times New Roman"/>
                <w:sz w:val="20"/>
                <w:szCs w:val="20"/>
                <w:lang w:eastAsia="en-GB"/>
              </w:rPr>
            </w:pPr>
          </w:p>
        </w:tc>
      </w:tr>
      <w:tr w:rsidR="00382DF2" w:rsidRPr="00382DF2" w:rsidTr="00382DF2">
        <w:trPr>
          <w:trHeight w:val="288"/>
        </w:trPr>
        <w:tc>
          <w:tcPr>
            <w:tcW w:w="3118" w:type="dxa"/>
            <w:gridSpan w:val="3"/>
            <w:tcBorders>
              <w:top w:val="nil"/>
              <w:left w:val="single" w:sz="8" w:space="0" w:color="auto"/>
              <w:bottom w:val="nil"/>
              <w:right w:val="nil"/>
            </w:tcBorders>
            <w:shd w:val="clear" w:color="auto" w:fill="auto"/>
            <w:noWrap/>
            <w:vAlign w:val="bottom"/>
            <w:hideMark/>
          </w:tcPr>
          <w:p w:rsidR="00382DF2" w:rsidRPr="00382DF2" w:rsidRDefault="00382DF2" w:rsidP="00382DF2">
            <w:pPr>
              <w:spacing w:after="0" w:line="240" w:lineRule="auto"/>
              <w:rPr>
                <w:rFonts w:ascii="Calibri" w:eastAsia="Times New Roman" w:hAnsi="Calibri" w:cs="Calibri"/>
                <w:color w:val="000000"/>
                <w:lang w:eastAsia="en-GB"/>
              </w:rPr>
            </w:pPr>
            <w:r w:rsidRPr="00382DF2">
              <w:rPr>
                <w:rFonts w:ascii="Calibri" w:eastAsia="Times New Roman" w:hAnsi="Calibri" w:cs="Calibri"/>
                <w:color w:val="000000"/>
                <w:lang w:eastAsia="en-GB"/>
              </w:rPr>
              <w:t>Upper secondary</w:t>
            </w:r>
          </w:p>
        </w:tc>
        <w:tc>
          <w:tcPr>
            <w:tcW w:w="697" w:type="dxa"/>
            <w:gridSpan w:val="2"/>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41</w:t>
            </w:r>
          </w:p>
        </w:tc>
        <w:tc>
          <w:tcPr>
            <w:tcW w:w="1365" w:type="dxa"/>
            <w:gridSpan w:val="2"/>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30</w:t>
            </w:r>
          </w:p>
        </w:tc>
        <w:tc>
          <w:tcPr>
            <w:tcW w:w="1365" w:type="dxa"/>
            <w:gridSpan w:val="2"/>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26</w:t>
            </w:r>
          </w:p>
        </w:tc>
        <w:tc>
          <w:tcPr>
            <w:tcW w:w="697" w:type="dxa"/>
            <w:gridSpan w:val="3"/>
            <w:tcBorders>
              <w:top w:val="nil"/>
              <w:left w:val="nil"/>
              <w:bottom w:val="nil"/>
              <w:right w:val="single" w:sz="8" w:space="0" w:color="auto"/>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4</w:t>
            </w:r>
          </w:p>
        </w:tc>
        <w:tc>
          <w:tcPr>
            <w:tcW w:w="69" w:type="dxa"/>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p>
        </w:tc>
        <w:tc>
          <w:tcPr>
            <w:tcW w:w="69" w:type="dxa"/>
            <w:tcBorders>
              <w:top w:val="nil"/>
              <w:left w:val="nil"/>
              <w:bottom w:val="nil"/>
              <w:right w:val="nil"/>
            </w:tcBorders>
            <w:shd w:val="clear" w:color="auto" w:fill="auto"/>
            <w:noWrap/>
            <w:vAlign w:val="bottom"/>
            <w:hideMark/>
          </w:tcPr>
          <w:p w:rsidR="00382DF2" w:rsidRPr="00382DF2" w:rsidRDefault="00382DF2" w:rsidP="00382DF2">
            <w:pPr>
              <w:spacing w:after="0" w:line="240" w:lineRule="auto"/>
              <w:rPr>
                <w:rFonts w:ascii="Times New Roman" w:eastAsia="Times New Roman" w:hAnsi="Times New Roman" w:cs="Times New Roman"/>
                <w:sz w:val="20"/>
                <w:szCs w:val="20"/>
                <w:lang w:eastAsia="en-GB"/>
              </w:rPr>
            </w:pPr>
          </w:p>
        </w:tc>
      </w:tr>
      <w:tr w:rsidR="00382DF2" w:rsidRPr="00382DF2" w:rsidTr="00382DF2">
        <w:trPr>
          <w:trHeight w:val="288"/>
        </w:trPr>
        <w:tc>
          <w:tcPr>
            <w:tcW w:w="3118" w:type="dxa"/>
            <w:gridSpan w:val="3"/>
            <w:tcBorders>
              <w:top w:val="nil"/>
              <w:left w:val="single" w:sz="8" w:space="0" w:color="auto"/>
              <w:bottom w:val="nil"/>
              <w:right w:val="nil"/>
            </w:tcBorders>
            <w:shd w:val="clear" w:color="auto" w:fill="auto"/>
            <w:noWrap/>
            <w:vAlign w:val="bottom"/>
            <w:hideMark/>
          </w:tcPr>
          <w:p w:rsidR="00382DF2" w:rsidRPr="00382DF2" w:rsidRDefault="00382DF2" w:rsidP="00382DF2">
            <w:pPr>
              <w:spacing w:after="0" w:line="240" w:lineRule="auto"/>
              <w:rPr>
                <w:rFonts w:ascii="Calibri" w:eastAsia="Times New Roman" w:hAnsi="Calibri" w:cs="Calibri"/>
                <w:color w:val="000000"/>
                <w:lang w:eastAsia="en-GB"/>
              </w:rPr>
            </w:pPr>
            <w:r w:rsidRPr="00382DF2">
              <w:rPr>
                <w:rFonts w:ascii="Calibri" w:eastAsia="Times New Roman" w:hAnsi="Calibri" w:cs="Calibri"/>
                <w:color w:val="000000"/>
                <w:lang w:eastAsia="en-GB"/>
              </w:rPr>
              <w:t>Upper secondary-</w:t>
            </w:r>
          </w:p>
        </w:tc>
        <w:tc>
          <w:tcPr>
            <w:tcW w:w="697" w:type="dxa"/>
            <w:gridSpan w:val="2"/>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76</w:t>
            </w:r>
          </w:p>
        </w:tc>
        <w:tc>
          <w:tcPr>
            <w:tcW w:w="1365" w:type="dxa"/>
            <w:gridSpan w:val="2"/>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5</w:t>
            </w:r>
          </w:p>
        </w:tc>
        <w:tc>
          <w:tcPr>
            <w:tcW w:w="1365" w:type="dxa"/>
            <w:gridSpan w:val="2"/>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16</w:t>
            </w:r>
          </w:p>
        </w:tc>
        <w:tc>
          <w:tcPr>
            <w:tcW w:w="697" w:type="dxa"/>
            <w:gridSpan w:val="3"/>
            <w:tcBorders>
              <w:top w:val="nil"/>
              <w:left w:val="nil"/>
              <w:bottom w:val="nil"/>
              <w:right w:val="single" w:sz="8" w:space="0" w:color="auto"/>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3</w:t>
            </w:r>
          </w:p>
        </w:tc>
        <w:tc>
          <w:tcPr>
            <w:tcW w:w="69" w:type="dxa"/>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p>
        </w:tc>
        <w:tc>
          <w:tcPr>
            <w:tcW w:w="69" w:type="dxa"/>
            <w:tcBorders>
              <w:top w:val="nil"/>
              <w:left w:val="nil"/>
              <w:bottom w:val="nil"/>
              <w:right w:val="nil"/>
            </w:tcBorders>
            <w:shd w:val="clear" w:color="auto" w:fill="auto"/>
            <w:noWrap/>
            <w:vAlign w:val="bottom"/>
            <w:hideMark/>
          </w:tcPr>
          <w:p w:rsidR="00382DF2" w:rsidRPr="00382DF2" w:rsidRDefault="00382DF2" w:rsidP="00382DF2">
            <w:pPr>
              <w:spacing w:after="0" w:line="240" w:lineRule="auto"/>
              <w:rPr>
                <w:rFonts w:ascii="Times New Roman" w:eastAsia="Times New Roman" w:hAnsi="Times New Roman" w:cs="Times New Roman"/>
                <w:sz w:val="20"/>
                <w:szCs w:val="20"/>
                <w:lang w:eastAsia="en-GB"/>
              </w:rPr>
            </w:pPr>
          </w:p>
        </w:tc>
      </w:tr>
      <w:tr w:rsidR="00382DF2" w:rsidRPr="00382DF2" w:rsidTr="00382DF2">
        <w:trPr>
          <w:trHeight w:val="300"/>
        </w:trPr>
        <w:tc>
          <w:tcPr>
            <w:tcW w:w="3118" w:type="dxa"/>
            <w:gridSpan w:val="3"/>
            <w:tcBorders>
              <w:top w:val="nil"/>
              <w:left w:val="single" w:sz="8" w:space="0" w:color="auto"/>
              <w:bottom w:val="single" w:sz="8" w:space="0" w:color="auto"/>
              <w:right w:val="nil"/>
            </w:tcBorders>
            <w:shd w:val="clear" w:color="auto" w:fill="auto"/>
            <w:noWrap/>
            <w:vAlign w:val="bottom"/>
            <w:hideMark/>
          </w:tcPr>
          <w:p w:rsidR="00382DF2" w:rsidRPr="00382DF2" w:rsidRDefault="00382DF2" w:rsidP="00382DF2">
            <w:pPr>
              <w:spacing w:after="0" w:line="240" w:lineRule="auto"/>
              <w:rPr>
                <w:rFonts w:ascii="Calibri" w:eastAsia="Times New Roman" w:hAnsi="Calibri" w:cs="Calibri"/>
                <w:color w:val="000000"/>
                <w:lang w:eastAsia="en-GB"/>
              </w:rPr>
            </w:pPr>
            <w:r w:rsidRPr="00382DF2">
              <w:rPr>
                <w:rFonts w:ascii="Calibri" w:eastAsia="Times New Roman" w:hAnsi="Calibri" w:cs="Calibri"/>
                <w:color w:val="000000"/>
                <w:lang w:eastAsia="en-GB"/>
              </w:rPr>
              <w:t>female rural</w:t>
            </w:r>
          </w:p>
        </w:tc>
        <w:tc>
          <w:tcPr>
            <w:tcW w:w="697" w:type="dxa"/>
            <w:gridSpan w:val="2"/>
            <w:tcBorders>
              <w:top w:val="nil"/>
              <w:left w:val="nil"/>
              <w:bottom w:val="single" w:sz="8" w:space="0" w:color="auto"/>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 </w:t>
            </w:r>
          </w:p>
        </w:tc>
        <w:tc>
          <w:tcPr>
            <w:tcW w:w="1365" w:type="dxa"/>
            <w:gridSpan w:val="2"/>
            <w:tcBorders>
              <w:top w:val="nil"/>
              <w:left w:val="nil"/>
              <w:bottom w:val="single" w:sz="8" w:space="0" w:color="auto"/>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 </w:t>
            </w:r>
          </w:p>
        </w:tc>
        <w:tc>
          <w:tcPr>
            <w:tcW w:w="1365" w:type="dxa"/>
            <w:gridSpan w:val="2"/>
            <w:tcBorders>
              <w:top w:val="nil"/>
              <w:left w:val="nil"/>
              <w:bottom w:val="single" w:sz="8" w:space="0" w:color="auto"/>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 </w:t>
            </w:r>
          </w:p>
        </w:tc>
        <w:tc>
          <w:tcPr>
            <w:tcW w:w="697" w:type="dxa"/>
            <w:gridSpan w:val="3"/>
            <w:tcBorders>
              <w:top w:val="nil"/>
              <w:left w:val="nil"/>
              <w:bottom w:val="single" w:sz="8" w:space="0" w:color="auto"/>
              <w:right w:val="single" w:sz="8" w:space="0" w:color="auto"/>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r w:rsidRPr="00382DF2">
              <w:rPr>
                <w:rFonts w:ascii="Calibri" w:eastAsia="Times New Roman" w:hAnsi="Calibri" w:cs="Calibri"/>
                <w:color w:val="000000"/>
                <w:lang w:eastAsia="en-GB"/>
              </w:rPr>
              <w:t> </w:t>
            </w:r>
          </w:p>
        </w:tc>
        <w:tc>
          <w:tcPr>
            <w:tcW w:w="69" w:type="dxa"/>
            <w:tcBorders>
              <w:top w:val="nil"/>
              <w:left w:val="nil"/>
              <w:bottom w:val="nil"/>
              <w:right w:val="nil"/>
            </w:tcBorders>
            <w:shd w:val="clear" w:color="auto" w:fill="auto"/>
            <w:noWrap/>
            <w:vAlign w:val="bottom"/>
            <w:hideMark/>
          </w:tcPr>
          <w:p w:rsidR="00382DF2" w:rsidRPr="00382DF2" w:rsidRDefault="00382DF2" w:rsidP="00382DF2">
            <w:pPr>
              <w:spacing w:after="0" w:line="240" w:lineRule="auto"/>
              <w:jc w:val="center"/>
              <w:rPr>
                <w:rFonts w:ascii="Calibri" w:eastAsia="Times New Roman" w:hAnsi="Calibri" w:cs="Calibri"/>
                <w:color w:val="000000"/>
                <w:lang w:eastAsia="en-GB"/>
              </w:rPr>
            </w:pPr>
          </w:p>
        </w:tc>
        <w:tc>
          <w:tcPr>
            <w:tcW w:w="69" w:type="dxa"/>
            <w:tcBorders>
              <w:top w:val="nil"/>
              <w:left w:val="nil"/>
              <w:bottom w:val="nil"/>
              <w:right w:val="nil"/>
            </w:tcBorders>
            <w:shd w:val="clear" w:color="auto" w:fill="auto"/>
            <w:noWrap/>
            <w:vAlign w:val="bottom"/>
            <w:hideMark/>
          </w:tcPr>
          <w:p w:rsidR="00382DF2" w:rsidRPr="00382DF2" w:rsidRDefault="00382DF2" w:rsidP="00382DF2">
            <w:pPr>
              <w:spacing w:after="0" w:line="240" w:lineRule="auto"/>
              <w:rPr>
                <w:rFonts w:ascii="Times New Roman" w:eastAsia="Times New Roman" w:hAnsi="Times New Roman" w:cs="Times New Roman"/>
                <w:sz w:val="20"/>
                <w:szCs w:val="20"/>
                <w:lang w:eastAsia="en-GB"/>
              </w:rPr>
            </w:pPr>
          </w:p>
        </w:tc>
      </w:tr>
      <w:tr w:rsidR="00382DF2" w:rsidRPr="00382DF2" w:rsidTr="00382DF2">
        <w:trPr>
          <w:trHeight w:val="288"/>
        </w:trPr>
        <w:tc>
          <w:tcPr>
            <w:tcW w:w="3118" w:type="dxa"/>
            <w:gridSpan w:val="3"/>
            <w:tcBorders>
              <w:top w:val="nil"/>
              <w:left w:val="single" w:sz="8" w:space="0" w:color="auto"/>
              <w:bottom w:val="nil"/>
              <w:right w:val="nil"/>
            </w:tcBorders>
            <w:shd w:val="clear" w:color="auto" w:fill="auto"/>
            <w:noWrap/>
            <w:vAlign w:val="bottom"/>
            <w:hideMark/>
          </w:tcPr>
          <w:p w:rsidR="00382DF2" w:rsidRPr="00382DF2" w:rsidRDefault="00382DF2" w:rsidP="00382DF2">
            <w:pPr>
              <w:spacing w:after="0" w:line="240" w:lineRule="auto"/>
              <w:rPr>
                <w:rFonts w:ascii="Calibri" w:eastAsia="Times New Roman" w:hAnsi="Calibri" w:cs="Calibri"/>
                <w:color w:val="000000"/>
                <w:lang w:eastAsia="en-GB"/>
              </w:rPr>
            </w:pPr>
            <w:r w:rsidRPr="00382DF2">
              <w:rPr>
                <w:rFonts w:ascii="Calibri" w:eastAsia="Times New Roman" w:hAnsi="Calibri" w:cs="Calibri"/>
                <w:color w:val="000000"/>
                <w:lang w:eastAsia="en-GB"/>
              </w:rPr>
              <w:t>Source : UIS</w:t>
            </w:r>
          </w:p>
        </w:tc>
        <w:tc>
          <w:tcPr>
            <w:tcW w:w="697" w:type="dxa"/>
            <w:gridSpan w:val="2"/>
            <w:tcBorders>
              <w:top w:val="nil"/>
              <w:left w:val="nil"/>
              <w:bottom w:val="nil"/>
              <w:right w:val="nil"/>
            </w:tcBorders>
            <w:shd w:val="clear" w:color="auto" w:fill="auto"/>
            <w:noWrap/>
            <w:vAlign w:val="bottom"/>
            <w:hideMark/>
          </w:tcPr>
          <w:p w:rsidR="00382DF2" w:rsidRPr="00382DF2" w:rsidRDefault="00382DF2" w:rsidP="00382DF2">
            <w:pPr>
              <w:spacing w:after="0" w:line="240" w:lineRule="auto"/>
              <w:rPr>
                <w:rFonts w:ascii="Calibri" w:eastAsia="Times New Roman" w:hAnsi="Calibri" w:cs="Calibri"/>
                <w:color w:val="000000"/>
                <w:lang w:eastAsia="en-GB"/>
              </w:rPr>
            </w:pPr>
          </w:p>
        </w:tc>
        <w:tc>
          <w:tcPr>
            <w:tcW w:w="1365" w:type="dxa"/>
            <w:gridSpan w:val="2"/>
            <w:tcBorders>
              <w:top w:val="nil"/>
              <w:left w:val="nil"/>
              <w:bottom w:val="nil"/>
              <w:right w:val="nil"/>
            </w:tcBorders>
            <w:shd w:val="clear" w:color="auto" w:fill="auto"/>
            <w:noWrap/>
            <w:vAlign w:val="bottom"/>
            <w:hideMark/>
          </w:tcPr>
          <w:p w:rsidR="00382DF2" w:rsidRPr="00382DF2" w:rsidRDefault="00382DF2" w:rsidP="00382DF2">
            <w:pPr>
              <w:spacing w:after="0" w:line="240" w:lineRule="auto"/>
              <w:rPr>
                <w:rFonts w:ascii="Times New Roman" w:eastAsia="Times New Roman" w:hAnsi="Times New Roman" w:cs="Times New Roman"/>
                <w:sz w:val="20"/>
                <w:szCs w:val="20"/>
                <w:lang w:eastAsia="en-GB"/>
              </w:rPr>
            </w:pPr>
          </w:p>
        </w:tc>
        <w:tc>
          <w:tcPr>
            <w:tcW w:w="1365" w:type="dxa"/>
            <w:gridSpan w:val="2"/>
            <w:tcBorders>
              <w:top w:val="nil"/>
              <w:left w:val="nil"/>
              <w:bottom w:val="nil"/>
              <w:right w:val="nil"/>
            </w:tcBorders>
            <w:shd w:val="clear" w:color="auto" w:fill="auto"/>
            <w:noWrap/>
            <w:vAlign w:val="bottom"/>
            <w:hideMark/>
          </w:tcPr>
          <w:p w:rsidR="00382DF2" w:rsidRPr="00382DF2" w:rsidRDefault="00382DF2" w:rsidP="00382DF2">
            <w:pPr>
              <w:spacing w:after="0" w:line="240" w:lineRule="auto"/>
              <w:rPr>
                <w:rFonts w:ascii="Times New Roman" w:eastAsia="Times New Roman" w:hAnsi="Times New Roman" w:cs="Times New Roman"/>
                <w:sz w:val="20"/>
                <w:szCs w:val="20"/>
                <w:lang w:eastAsia="en-GB"/>
              </w:rPr>
            </w:pPr>
          </w:p>
        </w:tc>
        <w:tc>
          <w:tcPr>
            <w:tcW w:w="697" w:type="dxa"/>
            <w:gridSpan w:val="3"/>
            <w:tcBorders>
              <w:top w:val="nil"/>
              <w:left w:val="nil"/>
              <w:bottom w:val="nil"/>
              <w:right w:val="nil"/>
            </w:tcBorders>
            <w:shd w:val="clear" w:color="auto" w:fill="auto"/>
            <w:noWrap/>
            <w:vAlign w:val="bottom"/>
            <w:hideMark/>
          </w:tcPr>
          <w:p w:rsidR="00382DF2" w:rsidRPr="00382DF2" w:rsidRDefault="00382DF2" w:rsidP="00382DF2">
            <w:pPr>
              <w:spacing w:after="0" w:line="240" w:lineRule="auto"/>
              <w:rPr>
                <w:rFonts w:ascii="Times New Roman" w:eastAsia="Times New Roman" w:hAnsi="Times New Roman" w:cs="Times New Roman"/>
                <w:sz w:val="20"/>
                <w:szCs w:val="20"/>
                <w:lang w:eastAsia="en-GB"/>
              </w:rPr>
            </w:pPr>
          </w:p>
        </w:tc>
        <w:tc>
          <w:tcPr>
            <w:tcW w:w="69" w:type="dxa"/>
            <w:tcBorders>
              <w:top w:val="nil"/>
              <w:left w:val="nil"/>
              <w:bottom w:val="nil"/>
              <w:right w:val="nil"/>
            </w:tcBorders>
            <w:shd w:val="clear" w:color="auto" w:fill="auto"/>
            <w:noWrap/>
            <w:vAlign w:val="bottom"/>
            <w:hideMark/>
          </w:tcPr>
          <w:p w:rsidR="00382DF2" w:rsidRPr="00382DF2" w:rsidRDefault="00382DF2" w:rsidP="00382DF2">
            <w:pPr>
              <w:spacing w:after="0" w:line="240" w:lineRule="auto"/>
              <w:rPr>
                <w:rFonts w:ascii="Times New Roman" w:eastAsia="Times New Roman" w:hAnsi="Times New Roman" w:cs="Times New Roman"/>
                <w:sz w:val="20"/>
                <w:szCs w:val="20"/>
                <w:lang w:eastAsia="en-GB"/>
              </w:rPr>
            </w:pPr>
          </w:p>
        </w:tc>
        <w:tc>
          <w:tcPr>
            <w:tcW w:w="69" w:type="dxa"/>
            <w:tcBorders>
              <w:top w:val="nil"/>
              <w:left w:val="nil"/>
              <w:bottom w:val="nil"/>
              <w:right w:val="nil"/>
            </w:tcBorders>
            <w:shd w:val="clear" w:color="auto" w:fill="auto"/>
            <w:noWrap/>
            <w:vAlign w:val="bottom"/>
            <w:hideMark/>
          </w:tcPr>
          <w:p w:rsidR="00382DF2" w:rsidRPr="00382DF2" w:rsidRDefault="00382DF2" w:rsidP="00382DF2">
            <w:pPr>
              <w:spacing w:after="0" w:line="240" w:lineRule="auto"/>
              <w:rPr>
                <w:rFonts w:ascii="Times New Roman" w:eastAsia="Times New Roman" w:hAnsi="Times New Roman" w:cs="Times New Roman"/>
                <w:sz w:val="20"/>
                <w:szCs w:val="20"/>
                <w:lang w:eastAsia="en-GB"/>
              </w:rPr>
            </w:pPr>
          </w:p>
        </w:tc>
      </w:tr>
    </w:tbl>
    <w:p w:rsidR="00F41688" w:rsidRDefault="00F41688" w:rsidP="00577F32">
      <w:pPr>
        <w:jc w:val="both"/>
        <w:rPr>
          <w:rFonts w:cstheme="minorHAnsi"/>
          <w:sz w:val="28"/>
          <w:szCs w:val="28"/>
        </w:rPr>
      </w:pPr>
    </w:p>
    <w:tbl>
      <w:tblPr>
        <w:tblW w:w="9360" w:type="dxa"/>
        <w:tblLook w:val="04A0" w:firstRow="1" w:lastRow="0" w:firstColumn="1" w:lastColumn="0" w:noHBand="0" w:noVBand="1"/>
      </w:tblPr>
      <w:tblGrid>
        <w:gridCol w:w="3772"/>
        <w:gridCol w:w="1274"/>
        <w:gridCol w:w="1245"/>
        <w:gridCol w:w="1226"/>
        <w:gridCol w:w="663"/>
        <w:gridCol w:w="663"/>
        <w:gridCol w:w="1233"/>
      </w:tblGrid>
      <w:tr w:rsidR="00E645D3" w:rsidRPr="00E645D3" w:rsidTr="00E645D3">
        <w:trPr>
          <w:trHeight w:val="288"/>
        </w:trPr>
        <w:tc>
          <w:tcPr>
            <w:tcW w:w="9360" w:type="dxa"/>
            <w:gridSpan w:val="7"/>
            <w:tcBorders>
              <w:top w:val="nil"/>
              <w:left w:val="nil"/>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 xml:space="preserve">Annex table 5: Male secondary school age population and enrolments in rural areas in </w:t>
            </w:r>
          </w:p>
        </w:tc>
      </w:tr>
      <w:tr w:rsidR="00E645D3" w:rsidRPr="00E645D3" w:rsidTr="00E645D3">
        <w:trPr>
          <w:trHeight w:val="300"/>
        </w:trPr>
        <w:tc>
          <w:tcPr>
            <w:tcW w:w="5981" w:type="dxa"/>
            <w:gridSpan w:val="3"/>
            <w:tcBorders>
              <w:top w:val="nil"/>
              <w:left w:val="nil"/>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selected countries in SSA, 2019/lya</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p>
        </w:tc>
        <w:tc>
          <w:tcPr>
            <w:tcW w:w="646"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rPr>
                <w:rFonts w:ascii="Times New Roman" w:eastAsia="Times New Roman" w:hAnsi="Times New Roman" w:cs="Times New Roman"/>
                <w:sz w:val="20"/>
                <w:szCs w:val="20"/>
                <w:lang w:eastAsia="en-GB"/>
              </w:rPr>
            </w:pP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rPr>
                <w:rFonts w:ascii="Times New Roman" w:eastAsia="Times New Roman" w:hAnsi="Times New Roman" w:cs="Times New Roman"/>
                <w:sz w:val="20"/>
                <w:szCs w:val="20"/>
                <w:lang w:eastAsia="en-GB"/>
              </w:rPr>
            </w:pPr>
          </w:p>
        </w:tc>
        <w:tc>
          <w:tcPr>
            <w:tcW w:w="1233"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rPr>
                <w:rFonts w:ascii="Times New Roman" w:eastAsia="Times New Roman" w:hAnsi="Times New Roman" w:cs="Times New Roman"/>
                <w:sz w:val="20"/>
                <w:szCs w:val="20"/>
                <w:lang w:eastAsia="en-GB"/>
              </w:rPr>
            </w:pPr>
          </w:p>
        </w:tc>
      </w:tr>
      <w:tr w:rsidR="00E645D3" w:rsidRPr="00E645D3" w:rsidTr="00E645D3">
        <w:trPr>
          <w:trHeight w:val="288"/>
        </w:trPr>
        <w:tc>
          <w:tcPr>
            <w:tcW w:w="3772" w:type="dxa"/>
            <w:tcBorders>
              <w:top w:val="single" w:sz="8" w:space="0" w:color="auto"/>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 </w:t>
            </w:r>
          </w:p>
        </w:tc>
        <w:tc>
          <w:tcPr>
            <w:tcW w:w="1274" w:type="dxa"/>
            <w:tcBorders>
              <w:top w:val="single" w:sz="8" w:space="0" w:color="auto"/>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w:t>
            </w:r>
            <w:r w:rsidRPr="00E645D3">
              <w:rPr>
                <w:rFonts w:ascii="Calibri" w:eastAsia="Times New Roman" w:hAnsi="Calibri" w:cs="Calibri"/>
                <w:color w:val="000000"/>
                <w:lang w:eastAsia="en-GB"/>
              </w:rPr>
              <w:t xml:space="preserve">ural % national </w:t>
            </w:r>
          </w:p>
        </w:tc>
        <w:tc>
          <w:tcPr>
            <w:tcW w:w="935" w:type="dxa"/>
            <w:tcBorders>
              <w:top w:val="single" w:sz="8" w:space="0" w:color="auto"/>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w:t>
            </w:r>
            <w:r w:rsidRPr="00E645D3">
              <w:rPr>
                <w:rFonts w:ascii="Calibri" w:eastAsia="Times New Roman" w:hAnsi="Calibri" w:cs="Calibri"/>
                <w:color w:val="000000"/>
                <w:lang w:eastAsia="en-GB"/>
              </w:rPr>
              <w:t xml:space="preserve">ural % </w:t>
            </w:r>
          </w:p>
        </w:tc>
        <w:tc>
          <w:tcPr>
            <w:tcW w:w="918" w:type="dxa"/>
            <w:tcBorders>
              <w:top w:val="single" w:sz="8" w:space="0" w:color="auto"/>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 xml:space="preserve">Percentage </w:t>
            </w:r>
          </w:p>
        </w:tc>
        <w:tc>
          <w:tcPr>
            <w:tcW w:w="2461" w:type="dxa"/>
            <w:gridSpan w:val="3"/>
            <w:tcBorders>
              <w:top w:val="single" w:sz="8" w:space="0" w:color="auto"/>
              <w:left w:val="single" w:sz="4" w:space="0" w:color="auto"/>
              <w:bottom w:val="nil"/>
              <w:right w:val="single" w:sz="8" w:space="0" w:color="000000"/>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E645D3">
              <w:rPr>
                <w:rFonts w:ascii="Calibri" w:eastAsia="Times New Roman" w:hAnsi="Calibri" w:cs="Calibri"/>
                <w:color w:val="000000"/>
                <w:lang w:eastAsia="en-GB"/>
              </w:rPr>
              <w:t>Urban bias index</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Country</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 xml:space="preserve">school age </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national</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point</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2019</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2000</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 xml:space="preserve"> Difference</w:t>
            </w:r>
          </w:p>
        </w:tc>
      </w:tr>
      <w:tr w:rsidR="00E645D3" w:rsidRPr="00E645D3" w:rsidTr="00E645D3">
        <w:trPr>
          <w:trHeight w:val="288"/>
        </w:trPr>
        <w:tc>
          <w:tcPr>
            <w:tcW w:w="3772" w:type="dxa"/>
            <w:tcBorders>
              <w:top w:val="nil"/>
              <w:left w:val="single" w:sz="8" w:space="0" w:color="auto"/>
              <w:bottom w:val="single" w:sz="4" w:space="0" w:color="auto"/>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 </w:t>
            </w:r>
          </w:p>
        </w:tc>
        <w:tc>
          <w:tcPr>
            <w:tcW w:w="1274" w:type="dxa"/>
            <w:tcBorders>
              <w:top w:val="nil"/>
              <w:left w:val="nil"/>
              <w:bottom w:val="single" w:sz="4" w:space="0" w:color="auto"/>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population</w:t>
            </w:r>
          </w:p>
        </w:tc>
        <w:tc>
          <w:tcPr>
            <w:tcW w:w="935" w:type="dxa"/>
            <w:tcBorders>
              <w:top w:val="nil"/>
              <w:left w:val="nil"/>
              <w:bottom w:val="single" w:sz="4" w:space="0" w:color="auto"/>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enrolments</w:t>
            </w:r>
          </w:p>
        </w:tc>
        <w:tc>
          <w:tcPr>
            <w:tcW w:w="918" w:type="dxa"/>
            <w:tcBorders>
              <w:top w:val="nil"/>
              <w:left w:val="nil"/>
              <w:bottom w:val="single" w:sz="4" w:space="0" w:color="auto"/>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difference</w:t>
            </w:r>
          </w:p>
        </w:tc>
        <w:tc>
          <w:tcPr>
            <w:tcW w:w="646" w:type="dxa"/>
            <w:tcBorders>
              <w:top w:val="nil"/>
              <w:left w:val="single" w:sz="4" w:space="0" w:color="auto"/>
              <w:bottom w:val="single" w:sz="4" w:space="0" w:color="auto"/>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 </w:t>
            </w:r>
          </w:p>
        </w:tc>
        <w:tc>
          <w:tcPr>
            <w:tcW w:w="582" w:type="dxa"/>
            <w:tcBorders>
              <w:top w:val="nil"/>
              <w:left w:val="nil"/>
              <w:bottom w:val="single" w:sz="4" w:space="0" w:color="auto"/>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 </w:t>
            </w:r>
          </w:p>
        </w:tc>
        <w:tc>
          <w:tcPr>
            <w:tcW w:w="1233" w:type="dxa"/>
            <w:tcBorders>
              <w:top w:val="nil"/>
              <w:left w:val="nil"/>
              <w:bottom w:val="single" w:sz="4" w:space="0" w:color="auto"/>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 </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CAR</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60</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3</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57</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19.6</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2.8</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16.9</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Guinea Bissau</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63</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30</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34</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2.1</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4.7</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-2.5</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Sierra Leone</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53</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29</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24</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1.8</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1.9</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-0.1</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Cote d'Ivoire</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51</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28</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23</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1.8</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2.7</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-0.9</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Gambia</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33</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19</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14</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1.7</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1.8</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-0.1</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Cameroon</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52</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36</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16</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1.4</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1.8</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-0.4</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Chad</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80</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59</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21</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1.4</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2.1</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-0.8</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Congo</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55</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42</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13</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1.3</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1.5</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-0.2</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Madagascar</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78</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61</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17</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1.3</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1.8</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-0.6</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Lesotho</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71</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56</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15</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1.3</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1.4</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-0.1</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Nigeria</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66</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54</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12</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1.2</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1.2</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0.1</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Zimbabwe</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80</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67</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13</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1.2</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1.2</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0.0</w:t>
            </w:r>
          </w:p>
        </w:tc>
      </w:tr>
      <w:tr w:rsidR="00E645D3" w:rsidRPr="00E645D3" w:rsidTr="00E645D3">
        <w:trPr>
          <w:trHeight w:val="288"/>
        </w:trPr>
        <w:tc>
          <w:tcPr>
            <w:tcW w:w="3772" w:type="dxa"/>
            <w:tcBorders>
              <w:top w:val="nil"/>
              <w:left w:val="single" w:sz="8" w:space="0" w:color="auto"/>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Ghana</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60</w:t>
            </w: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52</w:t>
            </w: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8</w:t>
            </w:r>
          </w:p>
        </w:tc>
        <w:tc>
          <w:tcPr>
            <w:tcW w:w="646" w:type="dxa"/>
            <w:tcBorders>
              <w:top w:val="nil"/>
              <w:left w:val="single" w:sz="4" w:space="0" w:color="auto"/>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1.2</w:t>
            </w: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1.2</w:t>
            </w:r>
          </w:p>
        </w:tc>
        <w:tc>
          <w:tcPr>
            <w:tcW w:w="1233" w:type="dxa"/>
            <w:tcBorders>
              <w:top w:val="nil"/>
              <w:left w:val="nil"/>
              <w:bottom w:val="nil"/>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-0.1</w:t>
            </w:r>
          </w:p>
        </w:tc>
      </w:tr>
      <w:tr w:rsidR="00E645D3" w:rsidRPr="00E645D3" w:rsidTr="00E645D3">
        <w:trPr>
          <w:trHeight w:val="300"/>
        </w:trPr>
        <w:tc>
          <w:tcPr>
            <w:tcW w:w="3772" w:type="dxa"/>
            <w:tcBorders>
              <w:top w:val="nil"/>
              <w:left w:val="single" w:sz="8" w:space="0" w:color="auto"/>
              <w:bottom w:val="single" w:sz="8" w:space="0" w:color="auto"/>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Eswatini</w:t>
            </w:r>
          </w:p>
        </w:tc>
        <w:tc>
          <w:tcPr>
            <w:tcW w:w="1274" w:type="dxa"/>
            <w:tcBorders>
              <w:top w:val="nil"/>
              <w:left w:val="nil"/>
              <w:bottom w:val="single" w:sz="8" w:space="0" w:color="auto"/>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81</w:t>
            </w:r>
          </w:p>
        </w:tc>
        <w:tc>
          <w:tcPr>
            <w:tcW w:w="935" w:type="dxa"/>
            <w:tcBorders>
              <w:top w:val="nil"/>
              <w:left w:val="nil"/>
              <w:bottom w:val="single" w:sz="8" w:space="0" w:color="auto"/>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80</w:t>
            </w:r>
          </w:p>
        </w:tc>
        <w:tc>
          <w:tcPr>
            <w:tcW w:w="918" w:type="dxa"/>
            <w:tcBorders>
              <w:top w:val="nil"/>
              <w:left w:val="nil"/>
              <w:bottom w:val="single" w:sz="8" w:space="0" w:color="auto"/>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2</w:t>
            </w:r>
          </w:p>
        </w:tc>
        <w:tc>
          <w:tcPr>
            <w:tcW w:w="646" w:type="dxa"/>
            <w:tcBorders>
              <w:top w:val="nil"/>
              <w:left w:val="single" w:sz="4" w:space="0" w:color="auto"/>
              <w:bottom w:val="single" w:sz="8" w:space="0" w:color="auto"/>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1.0</w:t>
            </w:r>
          </w:p>
        </w:tc>
        <w:tc>
          <w:tcPr>
            <w:tcW w:w="582" w:type="dxa"/>
            <w:tcBorders>
              <w:top w:val="nil"/>
              <w:left w:val="nil"/>
              <w:bottom w:val="single" w:sz="8" w:space="0" w:color="auto"/>
              <w:right w:val="nil"/>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1.1</w:t>
            </w:r>
          </w:p>
        </w:tc>
        <w:tc>
          <w:tcPr>
            <w:tcW w:w="1233" w:type="dxa"/>
            <w:tcBorders>
              <w:top w:val="nil"/>
              <w:left w:val="nil"/>
              <w:bottom w:val="single" w:sz="8" w:space="0" w:color="auto"/>
              <w:right w:val="single" w:sz="8" w:space="0" w:color="auto"/>
            </w:tcBorders>
            <w:shd w:val="clear" w:color="auto" w:fill="auto"/>
            <w:noWrap/>
            <w:vAlign w:val="bottom"/>
            <w:hideMark/>
          </w:tcPr>
          <w:p w:rsidR="00E645D3" w:rsidRPr="00E645D3" w:rsidRDefault="00E645D3" w:rsidP="00E645D3">
            <w:pPr>
              <w:spacing w:after="0" w:line="240" w:lineRule="auto"/>
              <w:jc w:val="center"/>
              <w:rPr>
                <w:rFonts w:ascii="Calibri" w:eastAsia="Times New Roman" w:hAnsi="Calibri" w:cs="Calibri"/>
                <w:color w:val="000000"/>
                <w:lang w:eastAsia="en-GB"/>
              </w:rPr>
            </w:pPr>
            <w:r w:rsidRPr="00E645D3">
              <w:rPr>
                <w:rFonts w:ascii="Calibri" w:eastAsia="Times New Roman" w:hAnsi="Calibri" w:cs="Calibri"/>
                <w:color w:val="000000"/>
                <w:lang w:eastAsia="en-GB"/>
              </w:rPr>
              <w:t>-0.1</w:t>
            </w:r>
          </w:p>
        </w:tc>
      </w:tr>
      <w:tr w:rsidR="00E645D3" w:rsidRPr="00E645D3" w:rsidTr="00E645D3">
        <w:trPr>
          <w:trHeight w:val="288"/>
        </w:trPr>
        <w:tc>
          <w:tcPr>
            <w:tcW w:w="3772" w:type="dxa"/>
            <w:tcBorders>
              <w:top w:val="nil"/>
              <w:left w:val="single" w:sz="8" w:space="0" w:color="auto"/>
              <w:bottom w:val="nil"/>
              <w:right w:val="nil"/>
            </w:tcBorders>
            <w:shd w:val="clear" w:color="000000" w:fill="FFFFFF"/>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r w:rsidRPr="00E645D3">
              <w:rPr>
                <w:rFonts w:ascii="Calibri" w:eastAsia="Times New Roman" w:hAnsi="Calibri" w:cs="Calibri"/>
                <w:color w:val="000000"/>
                <w:lang w:eastAsia="en-GB"/>
              </w:rPr>
              <w:t>Source: UNICEF, Multi-Indicator Cluster Surveys</w:t>
            </w:r>
          </w:p>
        </w:tc>
        <w:tc>
          <w:tcPr>
            <w:tcW w:w="1274"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rPr>
                <w:rFonts w:ascii="Calibri" w:eastAsia="Times New Roman" w:hAnsi="Calibri" w:cs="Calibri"/>
                <w:color w:val="000000"/>
                <w:lang w:eastAsia="en-GB"/>
              </w:rPr>
            </w:pPr>
          </w:p>
        </w:tc>
        <w:tc>
          <w:tcPr>
            <w:tcW w:w="935"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rPr>
                <w:rFonts w:ascii="Times New Roman" w:eastAsia="Times New Roman" w:hAnsi="Times New Roman" w:cs="Times New Roman"/>
                <w:sz w:val="20"/>
                <w:szCs w:val="20"/>
                <w:lang w:eastAsia="en-GB"/>
              </w:rPr>
            </w:pPr>
          </w:p>
        </w:tc>
        <w:tc>
          <w:tcPr>
            <w:tcW w:w="918"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rPr>
                <w:rFonts w:ascii="Times New Roman" w:eastAsia="Times New Roman" w:hAnsi="Times New Roman" w:cs="Times New Roman"/>
                <w:sz w:val="20"/>
                <w:szCs w:val="20"/>
                <w:lang w:eastAsia="en-GB"/>
              </w:rPr>
            </w:pPr>
          </w:p>
        </w:tc>
        <w:tc>
          <w:tcPr>
            <w:tcW w:w="646"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rPr>
                <w:rFonts w:ascii="Times New Roman" w:eastAsia="Times New Roman" w:hAnsi="Times New Roman" w:cs="Times New Roman"/>
                <w:sz w:val="20"/>
                <w:szCs w:val="20"/>
                <w:lang w:eastAsia="en-GB"/>
              </w:rPr>
            </w:pPr>
          </w:p>
        </w:tc>
        <w:tc>
          <w:tcPr>
            <w:tcW w:w="582"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rPr>
                <w:rFonts w:ascii="Times New Roman" w:eastAsia="Times New Roman" w:hAnsi="Times New Roman" w:cs="Times New Roman"/>
                <w:sz w:val="20"/>
                <w:szCs w:val="20"/>
                <w:lang w:eastAsia="en-GB"/>
              </w:rPr>
            </w:pPr>
          </w:p>
        </w:tc>
        <w:tc>
          <w:tcPr>
            <w:tcW w:w="1233" w:type="dxa"/>
            <w:tcBorders>
              <w:top w:val="nil"/>
              <w:left w:val="nil"/>
              <w:bottom w:val="nil"/>
              <w:right w:val="nil"/>
            </w:tcBorders>
            <w:shd w:val="clear" w:color="auto" w:fill="auto"/>
            <w:noWrap/>
            <w:vAlign w:val="bottom"/>
            <w:hideMark/>
          </w:tcPr>
          <w:p w:rsidR="00E645D3" w:rsidRPr="00E645D3" w:rsidRDefault="00E645D3" w:rsidP="00E645D3">
            <w:pPr>
              <w:spacing w:after="0" w:line="240" w:lineRule="auto"/>
              <w:rPr>
                <w:rFonts w:ascii="Times New Roman" w:eastAsia="Times New Roman" w:hAnsi="Times New Roman" w:cs="Times New Roman"/>
                <w:sz w:val="20"/>
                <w:szCs w:val="20"/>
                <w:lang w:eastAsia="en-GB"/>
              </w:rPr>
            </w:pPr>
          </w:p>
        </w:tc>
      </w:tr>
    </w:tbl>
    <w:p w:rsidR="00E645D3" w:rsidRPr="00577F32" w:rsidRDefault="00E645D3" w:rsidP="00577F32">
      <w:pPr>
        <w:jc w:val="both"/>
        <w:rPr>
          <w:rFonts w:cstheme="minorHAnsi"/>
          <w:sz w:val="28"/>
          <w:szCs w:val="28"/>
        </w:rPr>
      </w:pPr>
    </w:p>
    <w:sectPr w:rsidR="00E645D3" w:rsidRPr="00577F3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39B" w:rsidRDefault="0022439B" w:rsidP="00D37A67">
      <w:pPr>
        <w:spacing w:after="0" w:line="240" w:lineRule="auto"/>
      </w:pPr>
      <w:r>
        <w:separator/>
      </w:r>
    </w:p>
  </w:endnote>
  <w:endnote w:type="continuationSeparator" w:id="0">
    <w:p w:rsidR="0022439B" w:rsidRDefault="0022439B" w:rsidP="00D3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801344"/>
      <w:docPartObj>
        <w:docPartGallery w:val="Page Numbers (Bottom of Page)"/>
        <w:docPartUnique/>
      </w:docPartObj>
    </w:sdtPr>
    <w:sdtEndPr>
      <w:rPr>
        <w:noProof/>
      </w:rPr>
    </w:sdtEndPr>
    <w:sdtContent>
      <w:p w:rsidR="005318B9" w:rsidRDefault="005318B9">
        <w:pPr>
          <w:pStyle w:val="Footer"/>
          <w:jc w:val="center"/>
        </w:pPr>
        <w:r>
          <w:fldChar w:fldCharType="begin"/>
        </w:r>
        <w:r>
          <w:instrText xml:space="preserve"> PAGE   \* MERGEFORMAT </w:instrText>
        </w:r>
        <w:r>
          <w:fldChar w:fldCharType="separate"/>
        </w:r>
        <w:r w:rsidR="00BF1F5E">
          <w:rPr>
            <w:noProof/>
          </w:rPr>
          <w:t>41</w:t>
        </w:r>
        <w:r>
          <w:rPr>
            <w:noProof/>
          </w:rPr>
          <w:fldChar w:fldCharType="end"/>
        </w:r>
      </w:p>
    </w:sdtContent>
  </w:sdt>
  <w:p w:rsidR="005318B9" w:rsidRDefault="00531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39B" w:rsidRDefault="0022439B" w:rsidP="00D37A67">
      <w:pPr>
        <w:spacing w:after="0" w:line="240" w:lineRule="auto"/>
      </w:pPr>
      <w:r>
        <w:separator/>
      </w:r>
    </w:p>
  </w:footnote>
  <w:footnote w:type="continuationSeparator" w:id="0">
    <w:p w:rsidR="0022439B" w:rsidRDefault="0022439B" w:rsidP="00D37A67">
      <w:pPr>
        <w:spacing w:after="0" w:line="240" w:lineRule="auto"/>
      </w:pPr>
      <w:r>
        <w:continuationSeparator/>
      </w:r>
    </w:p>
  </w:footnote>
  <w:footnote w:id="1">
    <w:p w:rsidR="005318B9" w:rsidRDefault="005318B9" w:rsidP="00327B3A">
      <w:pPr>
        <w:pStyle w:val="FootnoteText"/>
        <w:jc w:val="both"/>
        <w:rPr>
          <w:rFonts w:asciiTheme="majorHAnsi" w:hAnsiTheme="majorHAnsi" w:cstheme="majorHAnsi"/>
          <w:sz w:val="24"/>
          <w:szCs w:val="24"/>
        </w:rPr>
      </w:pPr>
      <w:r w:rsidRPr="00327B3A">
        <w:rPr>
          <w:rStyle w:val="FootnoteReference"/>
          <w:rFonts w:asciiTheme="majorHAnsi" w:hAnsiTheme="majorHAnsi" w:cstheme="majorHAnsi"/>
          <w:sz w:val="24"/>
          <w:szCs w:val="24"/>
        </w:rPr>
        <w:footnoteRef/>
      </w:r>
      <w:r w:rsidRPr="00327B3A">
        <w:rPr>
          <w:rFonts w:asciiTheme="majorHAnsi" w:hAnsiTheme="majorHAnsi" w:cstheme="majorHAnsi"/>
          <w:sz w:val="24"/>
          <w:szCs w:val="24"/>
        </w:rPr>
        <w:t xml:space="preserve"> Just how much the report cost is not publically available but it is likely to be in excess of </w:t>
      </w:r>
    </w:p>
    <w:p w:rsidR="005318B9" w:rsidRPr="00327B3A" w:rsidRDefault="005318B9" w:rsidP="00327B3A">
      <w:pPr>
        <w:pStyle w:val="FootnoteText"/>
        <w:jc w:val="both"/>
        <w:rPr>
          <w:rFonts w:asciiTheme="majorHAnsi" w:hAnsiTheme="majorHAnsi" w:cstheme="majorHAnsi"/>
          <w:sz w:val="24"/>
          <w:szCs w:val="24"/>
        </w:rPr>
      </w:pPr>
      <w:r w:rsidRPr="00327B3A">
        <w:rPr>
          <w:rFonts w:asciiTheme="majorHAnsi" w:hAnsiTheme="majorHAnsi" w:cstheme="majorHAnsi"/>
          <w:sz w:val="24"/>
          <w:szCs w:val="24"/>
        </w:rPr>
        <w:t>US</w:t>
      </w:r>
      <w:r>
        <w:rPr>
          <w:rFonts w:asciiTheme="majorHAnsi" w:hAnsiTheme="majorHAnsi" w:cstheme="majorHAnsi"/>
          <w:sz w:val="24"/>
          <w:szCs w:val="24"/>
        </w:rPr>
        <w:t>$</w:t>
      </w:r>
      <w:r w:rsidRPr="00327B3A">
        <w:rPr>
          <w:rFonts w:asciiTheme="majorHAnsi" w:hAnsiTheme="majorHAnsi" w:cstheme="majorHAnsi"/>
          <w:sz w:val="24"/>
          <w:szCs w:val="24"/>
        </w:rPr>
        <w:t>1</w:t>
      </w:r>
      <w:r>
        <w:rPr>
          <w:rFonts w:asciiTheme="majorHAnsi" w:hAnsiTheme="majorHAnsi" w:cstheme="majorHAnsi"/>
          <w:sz w:val="24"/>
          <w:szCs w:val="24"/>
        </w:rPr>
        <w:t>.0</w:t>
      </w:r>
      <w:r w:rsidRPr="00327B3A">
        <w:rPr>
          <w:rFonts w:asciiTheme="majorHAnsi" w:hAnsiTheme="majorHAnsi" w:cstheme="majorHAnsi"/>
          <w:sz w:val="24"/>
          <w:szCs w:val="24"/>
        </w:rPr>
        <w:t xml:space="preserve"> million.  </w:t>
      </w:r>
    </w:p>
  </w:footnote>
  <w:footnote w:id="2">
    <w:p w:rsidR="005318B9" w:rsidRPr="00CF3E1A" w:rsidRDefault="005318B9">
      <w:pPr>
        <w:pStyle w:val="FootnoteText"/>
        <w:rPr>
          <w:rFonts w:asciiTheme="majorHAnsi" w:hAnsiTheme="majorHAnsi" w:cstheme="majorHAnsi"/>
          <w:sz w:val="24"/>
          <w:szCs w:val="24"/>
        </w:rPr>
      </w:pPr>
      <w:r w:rsidRPr="00CF3E1A">
        <w:rPr>
          <w:rStyle w:val="FootnoteReference"/>
          <w:rFonts w:asciiTheme="majorHAnsi" w:hAnsiTheme="majorHAnsi" w:cstheme="majorHAnsi"/>
          <w:sz w:val="24"/>
          <w:szCs w:val="24"/>
        </w:rPr>
        <w:footnoteRef/>
      </w:r>
      <w:r w:rsidRPr="00CF3E1A">
        <w:rPr>
          <w:rFonts w:asciiTheme="majorHAnsi" w:hAnsiTheme="majorHAnsi" w:cstheme="majorHAnsi"/>
          <w:sz w:val="24"/>
          <w:szCs w:val="24"/>
        </w:rPr>
        <w:t xml:space="preserve"> USE is attained when all children are enrolled and completion rates approach 100%. </w:t>
      </w:r>
    </w:p>
  </w:footnote>
  <w:footnote w:id="3">
    <w:p w:rsidR="005318B9" w:rsidRPr="00327B3A" w:rsidRDefault="005318B9" w:rsidP="00327B3A">
      <w:pPr>
        <w:pStyle w:val="FootnoteText"/>
        <w:jc w:val="both"/>
        <w:rPr>
          <w:rFonts w:asciiTheme="majorHAnsi" w:hAnsiTheme="majorHAnsi" w:cstheme="majorHAnsi"/>
          <w:sz w:val="24"/>
          <w:szCs w:val="24"/>
        </w:rPr>
      </w:pPr>
      <w:r w:rsidRPr="00327B3A">
        <w:rPr>
          <w:rStyle w:val="FootnoteReference"/>
          <w:rFonts w:asciiTheme="majorHAnsi" w:hAnsiTheme="majorHAnsi" w:cstheme="majorHAnsi"/>
          <w:sz w:val="24"/>
          <w:szCs w:val="24"/>
        </w:rPr>
        <w:footnoteRef/>
      </w:r>
      <w:r w:rsidRPr="00327B3A">
        <w:rPr>
          <w:rFonts w:asciiTheme="majorHAnsi" w:hAnsiTheme="majorHAnsi" w:cstheme="majorHAnsi"/>
          <w:sz w:val="24"/>
          <w:szCs w:val="24"/>
        </w:rPr>
        <w:t xml:space="preserve"> It is noticeable that this is 20 years later than the target date for the attainment of the United Nations's Sustainable Development Goal </w:t>
      </w:r>
      <w:r>
        <w:rPr>
          <w:rFonts w:asciiTheme="majorHAnsi" w:hAnsiTheme="majorHAnsi" w:cstheme="majorHAnsi"/>
          <w:sz w:val="24"/>
          <w:szCs w:val="24"/>
        </w:rPr>
        <w:t xml:space="preserve">Target </w:t>
      </w:r>
      <w:r w:rsidRPr="00327B3A">
        <w:rPr>
          <w:rFonts w:asciiTheme="majorHAnsi" w:hAnsiTheme="majorHAnsi" w:cstheme="majorHAnsi"/>
          <w:sz w:val="24"/>
          <w:szCs w:val="24"/>
        </w:rPr>
        <w:t>4</w:t>
      </w:r>
      <w:r>
        <w:rPr>
          <w:rFonts w:asciiTheme="majorHAnsi" w:hAnsiTheme="majorHAnsi" w:cstheme="majorHAnsi"/>
          <w:sz w:val="24"/>
          <w:szCs w:val="24"/>
        </w:rPr>
        <w:t>.1</w:t>
      </w:r>
      <w:r w:rsidRPr="00327B3A">
        <w:rPr>
          <w:rFonts w:asciiTheme="majorHAnsi" w:hAnsiTheme="majorHAnsi" w:cstheme="majorHAnsi"/>
          <w:sz w:val="24"/>
          <w:szCs w:val="24"/>
        </w:rPr>
        <w:t xml:space="preserve"> which states that </w:t>
      </w:r>
      <w:r>
        <w:rPr>
          <w:rFonts w:asciiTheme="majorHAnsi" w:hAnsiTheme="majorHAnsi" w:cstheme="majorHAnsi"/>
          <w:sz w:val="24"/>
          <w:szCs w:val="24"/>
        </w:rPr>
        <w:t>‘by 2030, ensure that all girls and boys complete free, equitable and quality primary and secondary education leading to relevant and effective learning outcomes’.</w:t>
      </w:r>
      <w:r w:rsidRPr="00327B3A">
        <w:rPr>
          <w:rFonts w:asciiTheme="majorHAnsi" w:hAnsiTheme="majorHAnsi" w:cstheme="majorHAnsi"/>
          <w:sz w:val="24"/>
          <w:szCs w:val="24"/>
        </w:rPr>
        <w:t xml:space="preserve">  </w:t>
      </w:r>
    </w:p>
  </w:footnote>
  <w:footnote w:id="4">
    <w:p w:rsidR="005318B9" w:rsidRPr="00CC32A5" w:rsidRDefault="005318B9">
      <w:pPr>
        <w:pStyle w:val="FootnoteText"/>
        <w:rPr>
          <w:rFonts w:asciiTheme="majorHAnsi" w:hAnsiTheme="majorHAnsi" w:cstheme="majorHAnsi"/>
          <w:sz w:val="24"/>
          <w:szCs w:val="24"/>
        </w:rPr>
      </w:pPr>
      <w:r w:rsidRPr="00CC32A5">
        <w:rPr>
          <w:rStyle w:val="FootnoteReference"/>
          <w:rFonts w:asciiTheme="majorHAnsi" w:hAnsiTheme="majorHAnsi" w:cstheme="majorHAnsi"/>
          <w:sz w:val="24"/>
          <w:szCs w:val="24"/>
        </w:rPr>
        <w:footnoteRef/>
      </w:r>
      <w:r w:rsidRPr="00CC32A5">
        <w:rPr>
          <w:rFonts w:asciiTheme="majorHAnsi" w:hAnsiTheme="majorHAnsi" w:cstheme="majorHAnsi"/>
          <w:sz w:val="24"/>
          <w:szCs w:val="24"/>
        </w:rPr>
        <w:t xml:space="preserve"> T</w:t>
      </w:r>
      <w:r>
        <w:rPr>
          <w:rFonts w:asciiTheme="majorHAnsi" w:hAnsiTheme="majorHAnsi" w:cstheme="majorHAnsi"/>
          <w:sz w:val="24"/>
          <w:szCs w:val="24"/>
        </w:rPr>
        <w:t>his review excludes the (mainly atypical) five</w:t>
      </w:r>
      <w:r w:rsidRPr="00CC32A5">
        <w:rPr>
          <w:rFonts w:asciiTheme="majorHAnsi" w:hAnsiTheme="majorHAnsi" w:cstheme="majorHAnsi"/>
          <w:sz w:val="24"/>
          <w:szCs w:val="24"/>
        </w:rPr>
        <w:t xml:space="preserve"> small island states of Cap Verde, Comoros, Mauritius, Sao Tome Principe, S</w:t>
      </w:r>
      <w:r>
        <w:rPr>
          <w:rFonts w:asciiTheme="majorHAnsi" w:hAnsiTheme="majorHAnsi" w:cstheme="majorHAnsi"/>
          <w:sz w:val="24"/>
          <w:szCs w:val="24"/>
        </w:rPr>
        <w:t>ey</w:t>
      </w:r>
      <w:r w:rsidRPr="00CC32A5">
        <w:rPr>
          <w:rFonts w:asciiTheme="majorHAnsi" w:hAnsiTheme="majorHAnsi" w:cstheme="majorHAnsi"/>
          <w:sz w:val="24"/>
          <w:szCs w:val="24"/>
        </w:rPr>
        <w:t>chelles.</w:t>
      </w:r>
    </w:p>
  </w:footnote>
  <w:footnote w:id="5">
    <w:p w:rsidR="005318B9" w:rsidRPr="00390D0B" w:rsidRDefault="005318B9" w:rsidP="00390D0B">
      <w:pPr>
        <w:pStyle w:val="FootnoteText"/>
        <w:jc w:val="both"/>
        <w:rPr>
          <w:rFonts w:asciiTheme="majorHAnsi" w:hAnsiTheme="majorHAnsi" w:cstheme="majorHAnsi"/>
          <w:sz w:val="24"/>
          <w:szCs w:val="24"/>
        </w:rPr>
      </w:pPr>
      <w:r w:rsidRPr="00390D0B">
        <w:rPr>
          <w:rStyle w:val="FootnoteReference"/>
          <w:rFonts w:asciiTheme="majorHAnsi" w:hAnsiTheme="majorHAnsi" w:cstheme="majorHAnsi"/>
          <w:sz w:val="24"/>
          <w:szCs w:val="24"/>
        </w:rPr>
        <w:footnoteRef/>
      </w:r>
      <w:r w:rsidRPr="00390D0B">
        <w:rPr>
          <w:rFonts w:asciiTheme="majorHAnsi" w:hAnsiTheme="majorHAnsi" w:cstheme="majorHAnsi"/>
          <w:sz w:val="24"/>
          <w:szCs w:val="24"/>
        </w:rPr>
        <w:t xml:space="preserve"> This includes the World Bank’s review of primary and secondary schooling in SSA which was published in 2018 and covers most of the same ground as the Report (see World Bank, 2018).</w:t>
      </w:r>
    </w:p>
  </w:footnote>
  <w:footnote w:id="6">
    <w:p w:rsidR="005318B9" w:rsidRPr="00390D0B" w:rsidRDefault="005318B9" w:rsidP="00390D0B">
      <w:pPr>
        <w:pStyle w:val="FootnoteText"/>
        <w:jc w:val="both"/>
        <w:rPr>
          <w:rFonts w:asciiTheme="majorHAnsi" w:hAnsiTheme="majorHAnsi" w:cstheme="majorHAnsi"/>
          <w:sz w:val="24"/>
          <w:szCs w:val="24"/>
        </w:rPr>
      </w:pPr>
      <w:r w:rsidRPr="00390D0B">
        <w:rPr>
          <w:rStyle w:val="FootnoteReference"/>
          <w:rFonts w:asciiTheme="majorHAnsi" w:hAnsiTheme="majorHAnsi" w:cstheme="majorHAnsi"/>
          <w:sz w:val="24"/>
          <w:szCs w:val="24"/>
        </w:rPr>
        <w:footnoteRef/>
      </w:r>
      <w:r w:rsidRPr="00390D0B">
        <w:rPr>
          <w:rFonts w:asciiTheme="majorHAnsi" w:hAnsiTheme="majorHAnsi" w:cstheme="majorHAnsi"/>
          <w:sz w:val="24"/>
          <w:szCs w:val="24"/>
        </w:rPr>
        <w:t xml:space="preserve"> This is reflected in the subject content of the 22 background papers only two of which focus directly on actual policy and practice in SSA.</w:t>
      </w:r>
    </w:p>
  </w:footnote>
  <w:footnote w:id="7">
    <w:p w:rsidR="005318B9" w:rsidRPr="00390D0B" w:rsidRDefault="005318B9" w:rsidP="00390D0B">
      <w:pPr>
        <w:pStyle w:val="FootnoteText"/>
        <w:jc w:val="both"/>
        <w:rPr>
          <w:rFonts w:asciiTheme="majorHAnsi" w:hAnsiTheme="majorHAnsi" w:cstheme="majorHAnsi"/>
          <w:sz w:val="24"/>
          <w:szCs w:val="24"/>
        </w:rPr>
      </w:pPr>
      <w:r w:rsidRPr="00390D0B">
        <w:rPr>
          <w:rStyle w:val="FootnoteReference"/>
          <w:rFonts w:asciiTheme="majorHAnsi" w:hAnsiTheme="majorHAnsi" w:cstheme="majorHAnsi"/>
          <w:sz w:val="24"/>
          <w:szCs w:val="24"/>
        </w:rPr>
        <w:footnoteRef/>
      </w:r>
      <w:r w:rsidRPr="00390D0B">
        <w:rPr>
          <w:rFonts w:asciiTheme="majorHAnsi" w:hAnsiTheme="majorHAnsi" w:cstheme="majorHAnsi"/>
          <w:sz w:val="24"/>
          <w:szCs w:val="24"/>
        </w:rPr>
        <w:t xml:space="preserve"> The last time this was done was in the early-mid 2000s when the World Bank’s Secondary Education in Africa research programme commissioned five-six country reports relying on one-three week country visits led by foreign consultants (see World Bank, 2008).</w:t>
      </w:r>
    </w:p>
  </w:footnote>
  <w:footnote w:id="8">
    <w:p w:rsidR="005318B9" w:rsidRPr="006A0542" w:rsidRDefault="005318B9">
      <w:pPr>
        <w:pStyle w:val="FootnoteText"/>
        <w:rPr>
          <w:rFonts w:asciiTheme="majorHAnsi" w:hAnsiTheme="majorHAnsi" w:cstheme="majorHAnsi"/>
          <w:sz w:val="24"/>
          <w:szCs w:val="24"/>
        </w:rPr>
      </w:pPr>
      <w:r w:rsidRPr="006A0542">
        <w:rPr>
          <w:rStyle w:val="FootnoteReference"/>
          <w:rFonts w:asciiTheme="majorHAnsi" w:hAnsiTheme="majorHAnsi" w:cstheme="majorHAnsi"/>
          <w:sz w:val="24"/>
          <w:szCs w:val="24"/>
        </w:rPr>
        <w:footnoteRef/>
      </w:r>
      <w:r w:rsidRPr="006A0542">
        <w:rPr>
          <w:rFonts w:asciiTheme="majorHAnsi" w:hAnsiTheme="majorHAnsi" w:cstheme="majorHAnsi"/>
          <w:sz w:val="24"/>
          <w:szCs w:val="24"/>
        </w:rPr>
        <w:t xml:space="preserve">  The imputed dropout rate is GER-CR/GER.</w:t>
      </w:r>
    </w:p>
  </w:footnote>
  <w:footnote w:id="9">
    <w:p w:rsidR="005318B9" w:rsidRPr="0004379C" w:rsidRDefault="005318B9" w:rsidP="0004379C">
      <w:pPr>
        <w:pStyle w:val="FootnoteText"/>
        <w:jc w:val="both"/>
        <w:rPr>
          <w:rFonts w:asciiTheme="majorHAnsi" w:hAnsiTheme="majorHAnsi" w:cstheme="majorHAnsi"/>
          <w:sz w:val="24"/>
          <w:szCs w:val="24"/>
        </w:rPr>
      </w:pPr>
      <w:r w:rsidRPr="0004379C">
        <w:rPr>
          <w:rStyle w:val="FootnoteReference"/>
          <w:rFonts w:asciiTheme="majorHAnsi" w:hAnsiTheme="majorHAnsi" w:cstheme="majorHAnsi"/>
          <w:sz w:val="24"/>
          <w:szCs w:val="24"/>
        </w:rPr>
        <w:footnoteRef/>
      </w:r>
      <w:r w:rsidRPr="0004379C">
        <w:rPr>
          <w:rFonts w:asciiTheme="majorHAnsi" w:hAnsiTheme="majorHAnsi" w:cstheme="majorHAnsi"/>
          <w:sz w:val="24"/>
          <w:szCs w:val="24"/>
        </w:rPr>
        <w:t xml:space="preserve"> The cessation of conflict/internal unrest in Guinea Bissau, Cote d’Ivoire and Chad resulted in a marked reduction in urban bias whereas the intensification of the civil war in CAR has significantly exacerbated urban-rural enrolment disparities.   </w:t>
      </w:r>
    </w:p>
  </w:footnote>
  <w:footnote w:id="10">
    <w:p w:rsidR="005318B9" w:rsidRPr="003C2525" w:rsidRDefault="005318B9">
      <w:pPr>
        <w:pStyle w:val="FootnoteText"/>
        <w:rPr>
          <w:rFonts w:asciiTheme="majorHAnsi" w:hAnsiTheme="majorHAnsi" w:cstheme="majorHAnsi"/>
          <w:sz w:val="24"/>
          <w:szCs w:val="24"/>
        </w:rPr>
      </w:pPr>
      <w:r w:rsidRPr="003C2525">
        <w:rPr>
          <w:rStyle w:val="FootnoteReference"/>
          <w:rFonts w:asciiTheme="majorHAnsi" w:hAnsiTheme="majorHAnsi" w:cstheme="majorHAnsi"/>
          <w:sz w:val="24"/>
          <w:szCs w:val="24"/>
        </w:rPr>
        <w:footnoteRef/>
      </w:r>
      <w:r w:rsidRPr="003C2525">
        <w:rPr>
          <w:rFonts w:asciiTheme="majorHAnsi" w:hAnsiTheme="majorHAnsi" w:cstheme="majorHAnsi"/>
          <w:sz w:val="24"/>
          <w:szCs w:val="24"/>
        </w:rPr>
        <w:t xml:space="preserve"> The urban bias index is the percentage of the female/male rural school age population divided by the percentage of female/male rural secondary school enrolment. </w:t>
      </w:r>
    </w:p>
  </w:footnote>
  <w:footnote w:id="11">
    <w:p w:rsidR="005318B9" w:rsidRPr="00DF0CFD" w:rsidRDefault="005318B9" w:rsidP="00E220CF">
      <w:pPr>
        <w:pStyle w:val="FootnoteText"/>
        <w:jc w:val="both"/>
        <w:rPr>
          <w:rFonts w:asciiTheme="majorHAnsi" w:hAnsiTheme="majorHAnsi" w:cstheme="majorHAnsi"/>
          <w:sz w:val="24"/>
          <w:szCs w:val="24"/>
        </w:rPr>
      </w:pPr>
      <w:r w:rsidRPr="00DF0CFD">
        <w:rPr>
          <w:rStyle w:val="FootnoteReference"/>
          <w:rFonts w:asciiTheme="majorHAnsi" w:hAnsiTheme="majorHAnsi" w:cstheme="majorHAnsi"/>
          <w:sz w:val="24"/>
          <w:szCs w:val="24"/>
        </w:rPr>
        <w:footnoteRef/>
      </w:r>
      <w:r w:rsidRPr="00DF0CFD">
        <w:rPr>
          <w:rFonts w:asciiTheme="majorHAnsi" w:hAnsiTheme="majorHAnsi" w:cstheme="majorHAnsi"/>
          <w:sz w:val="24"/>
          <w:szCs w:val="24"/>
        </w:rPr>
        <w:t xml:space="preserve"> Six of the seven ‘promising reforms’ in the World Bank’s 2018 review are access-related namely changes to the  ‘standard package of facilities’, gender, targeted support for poor, leveraging the private sector, and eliminating high stakes primary school leaving examinations.</w:t>
      </w:r>
    </w:p>
  </w:footnote>
  <w:footnote w:id="12">
    <w:p w:rsidR="005318B9" w:rsidRPr="00BA7CB0" w:rsidRDefault="005318B9" w:rsidP="00703A9B">
      <w:pPr>
        <w:pStyle w:val="FootnoteText"/>
        <w:jc w:val="both"/>
        <w:rPr>
          <w:rFonts w:asciiTheme="majorHAnsi" w:hAnsiTheme="majorHAnsi" w:cstheme="majorHAnsi"/>
          <w:sz w:val="24"/>
          <w:szCs w:val="24"/>
        </w:rPr>
      </w:pPr>
      <w:r w:rsidRPr="00BA7CB0">
        <w:rPr>
          <w:rStyle w:val="FootnoteReference"/>
          <w:rFonts w:asciiTheme="majorHAnsi" w:hAnsiTheme="majorHAnsi" w:cstheme="majorHAnsi"/>
          <w:sz w:val="24"/>
          <w:szCs w:val="24"/>
        </w:rPr>
        <w:footnoteRef/>
      </w:r>
      <w:r w:rsidRPr="00BA7CB0">
        <w:rPr>
          <w:rFonts w:asciiTheme="majorHAnsi" w:hAnsiTheme="majorHAnsi" w:cstheme="majorHAnsi"/>
          <w:sz w:val="24"/>
          <w:szCs w:val="24"/>
        </w:rPr>
        <w:t xml:space="preserve"> The following statemen</w:t>
      </w:r>
      <w:r>
        <w:rPr>
          <w:rFonts w:asciiTheme="majorHAnsi" w:hAnsiTheme="majorHAnsi" w:cstheme="majorHAnsi"/>
          <w:sz w:val="24"/>
          <w:szCs w:val="24"/>
        </w:rPr>
        <w:t xml:space="preserve">t by the Minister of Education in </w:t>
      </w:r>
      <w:r w:rsidRPr="00BA7CB0">
        <w:rPr>
          <w:rFonts w:asciiTheme="majorHAnsi" w:hAnsiTheme="majorHAnsi" w:cstheme="majorHAnsi"/>
          <w:sz w:val="24"/>
          <w:szCs w:val="24"/>
        </w:rPr>
        <w:t>Namibia is typical; ‘When you look at the developed countries, they were built by technicians, by people with vocational and technical skills, so we want to move that way’. Dr. David Namwandi, quoted in Namibia Economist, January 2014.</w:t>
      </w:r>
    </w:p>
  </w:footnote>
  <w:footnote w:id="13">
    <w:p w:rsidR="005318B9" w:rsidRPr="00BD4A5F" w:rsidRDefault="005318B9" w:rsidP="00BD4A5F">
      <w:pPr>
        <w:pStyle w:val="FootnoteText"/>
        <w:jc w:val="both"/>
        <w:rPr>
          <w:rFonts w:asciiTheme="majorHAnsi" w:hAnsiTheme="majorHAnsi" w:cstheme="majorHAnsi"/>
          <w:sz w:val="24"/>
          <w:szCs w:val="24"/>
        </w:rPr>
      </w:pPr>
      <w:r w:rsidRPr="00BD4A5F">
        <w:rPr>
          <w:rStyle w:val="FootnoteReference"/>
          <w:rFonts w:asciiTheme="majorHAnsi" w:hAnsiTheme="majorHAnsi" w:cstheme="majorHAnsi"/>
          <w:sz w:val="24"/>
          <w:szCs w:val="24"/>
        </w:rPr>
        <w:footnoteRef/>
      </w:r>
      <w:r w:rsidRPr="00BD4A5F">
        <w:rPr>
          <w:rFonts w:asciiTheme="majorHAnsi" w:hAnsiTheme="majorHAnsi" w:cstheme="majorHAnsi"/>
          <w:sz w:val="24"/>
          <w:szCs w:val="24"/>
        </w:rPr>
        <w:t xml:space="preserve"> Most of the basic data need for establishing teacher requirements is not available in SSA (in particular, teacher attrition, unemployment, training outputs, teacher-stream ratios,</w:t>
      </w:r>
      <w:r>
        <w:rPr>
          <w:sz w:val="24"/>
          <w:szCs w:val="24"/>
        </w:rPr>
        <w:t xml:space="preserve"> subject </w:t>
      </w:r>
      <w:r w:rsidRPr="00BD4A5F">
        <w:rPr>
          <w:rFonts w:asciiTheme="majorHAnsi" w:hAnsiTheme="majorHAnsi" w:cstheme="majorHAnsi"/>
          <w:sz w:val="24"/>
          <w:szCs w:val="24"/>
        </w:rPr>
        <w:t xml:space="preserve">shortages). The Report’s projections (made by the UNESCO Institute of Statistics) </w:t>
      </w:r>
      <w:r>
        <w:rPr>
          <w:rFonts w:asciiTheme="majorHAnsi" w:hAnsiTheme="majorHAnsi" w:cstheme="majorHAnsi"/>
          <w:sz w:val="24"/>
          <w:szCs w:val="24"/>
        </w:rPr>
        <w:t xml:space="preserve">are likely to be subject to </w:t>
      </w:r>
      <w:r w:rsidRPr="00BD4A5F">
        <w:rPr>
          <w:rFonts w:asciiTheme="majorHAnsi" w:hAnsiTheme="majorHAnsi" w:cstheme="majorHAnsi"/>
          <w:sz w:val="24"/>
          <w:szCs w:val="24"/>
        </w:rPr>
        <w:t xml:space="preserve">wide margins of error.   </w:t>
      </w:r>
    </w:p>
  </w:footnote>
  <w:footnote w:id="14">
    <w:p w:rsidR="005318B9" w:rsidRPr="00BD4A5F" w:rsidRDefault="005318B9" w:rsidP="00BD4A5F">
      <w:pPr>
        <w:jc w:val="both"/>
        <w:rPr>
          <w:rFonts w:asciiTheme="majorHAnsi" w:hAnsiTheme="majorHAnsi" w:cstheme="majorHAnsi"/>
          <w:sz w:val="24"/>
          <w:szCs w:val="24"/>
        </w:rPr>
      </w:pPr>
      <w:r w:rsidRPr="00BD4A5F">
        <w:rPr>
          <w:rStyle w:val="FootnoteReference"/>
          <w:rFonts w:asciiTheme="majorHAnsi" w:hAnsiTheme="majorHAnsi" w:cstheme="majorHAnsi"/>
          <w:sz w:val="24"/>
          <w:szCs w:val="24"/>
        </w:rPr>
        <w:footnoteRef/>
      </w:r>
      <w:r w:rsidRPr="00BD4A5F">
        <w:rPr>
          <w:rFonts w:asciiTheme="majorHAnsi" w:hAnsiTheme="majorHAnsi" w:cstheme="majorHAnsi"/>
          <w:sz w:val="24"/>
          <w:szCs w:val="24"/>
        </w:rPr>
        <w:t xml:space="preserve"> In Kenya, for example, in 2018, around 40% of teachers were unemployed; the total number of teachers in employment amounted to 429,000 but another 290,000 teachers were estimated to be unemployed.  </w:t>
      </w:r>
    </w:p>
    <w:p w:rsidR="005318B9" w:rsidRDefault="005318B9">
      <w:pPr>
        <w:pStyle w:val="FootnoteText"/>
      </w:pPr>
      <w:r>
        <w:t xml:space="preserve"> </w:t>
      </w:r>
    </w:p>
  </w:footnote>
  <w:footnote w:id="15">
    <w:p w:rsidR="005318B9" w:rsidRPr="00DF0CFD" w:rsidRDefault="005318B9">
      <w:pPr>
        <w:pStyle w:val="FootnoteText"/>
        <w:rPr>
          <w:rFonts w:asciiTheme="majorHAnsi" w:hAnsiTheme="majorHAnsi" w:cstheme="majorHAnsi"/>
          <w:sz w:val="24"/>
          <w:szCs w:val="24"/>
        </w:rPr>
      </w:pPr>
      <w:r w:rsidRPr="00DF0CFD">
        <w:rPr>
          <w:rStyle w:val="FootnoteReference"/>
          <w:rFonts w:asciiTheme="majorHAnsi" w:hAnsiTheme="majorHAnsi" w:cstheme="majorHAnsi"/>
          <w:sz w:val="24"/>
          <w:szCs w:val="24"/>
        </w:rPr>
        <w:footnoteRef/>
      </w:r>
      <w:r w:rsidRPr="00DF0CFD">
        <w:rPr>
          <w:rFonts w:asciiTheme="majorHAnsi" w:hAnsiTheme="majorHAnsi" w:cstheme="majorHAnsi"/>
          <w:sz w:val="24"/>
          <w:szCs w:val="24"/>
        </w:rPr>
        <w:t xml:space="preserve"> The ‘background memo’ on the costing model results is also not available on line.</w:t>
      </w:r>
    </w:p>
  </w:footnote>
  <w:footnote w:id="16">
    <w:p w:rsidR="005318B9" w:rsidRPr="00304A85" w:rsidRDefault="005318B9" w:rsidP="00304A85">
      <w:pPr>
        <w:pStyle w:val="FootnoteText"/>
        <w:jc w:val="both"/>
        <w:rPr>
          <w:rFonts w:asciiTheme="majorHAnsi" w:hAnsiTheme="majorHAnsi" w:cstheme="majorHAnsi"/>
          <w:sz w:val="24"/>
          <w:szCs w:val="24"/>
        </w:rPr>
      </w:pPr>
      <w:r w:rsidRPr="00304A85">
        <w:rPr>
          <w:rStyle w:val="FootnoteReference"/>
          <w:rFonts w:asciiTheme="majorHAnsi" w:hAnsiTheme="majorHAnsi" w:cstheme="majorHAnsi"/>
          <w:sz w:val="24"/>
          <w:szCs w:val="24"/>
        </w:rPr>
        <w:footnoteRef/>
      </w:r>
      <w:r w:rsidRPr="00304A85">
        <w:rPr>
          <w:rFonts w:asciiTheme="majorHAnsi" w:hAnsiTheme="majorHAnsi" w:cstheme="majorHAnsi"/>
          <w:sz w:val="24"/>
          <w:szCs w:val="24"/>
        </w:rPr>
        <w:t xml:space="preserve"> At current funding levels, total external support for general secondary education will account for a mere 0.15% of the Report’s projected USE annual funding requirement of $175billion over the next 30 years.  </w:t>
      </w:r>
    </w:p>
  </w:footnote>
  <w:footnote w:id="17">
    <w:p w:rsidR="005318B9" w:rsidRPr="00304A85" w:rsidRDefault="005318B9" w:rsidP="00304A85">
      <w:pPr>
        <w:pStyle w:val="FootnoteText"/>
        <w:jc w:val="both"/>
        <w:rPr>
          <w:rFonts w:asciiTheme="majorHAnsi" w:hAnsiTheme="majorHAnsi" w:cstheme="majorHAnsi"/>
          <w:sz w:val="24"/>
          <w:szCs w:val="24"/>
        </w:rPr>
      </w:pPr>
      <w:r w:rsidRPr="00304A85">
        <w:rPr>
          <w:rStyle w:val="FootnoteReference"/>
          <w:rFonts w:asciiTheme="majorHAnsi" w:hAnsiTheme="majorHAnsi" w:cstheme="majorHAnsi"/>
          <w:sz w:val="24"/>
          <w:szCs w:val="24"/>
        </w:rPr>
        <w:footnoteRef/>
      </w:r>
      <w:r w:rsidRPr="00304A85">
        <w:rPr>
          <w:rFonts w:asciiTheme="majorHAnsi" w:hAnsiTheme="majorHAnsi" w:cstheme="majorHAnsi"/>
          <w:sz w:val="24"/>
          <w:szCs w:val="24"/>
        </w:rPr>
        <w:t xml:space="preserve"> By 2019, it had fallen still further to 6.1%.</w:t>
      </w:r>
    </w:p>
  </w:footnote>
  <w:footnote w:id="18">
    <w:p w:rsidR="005318B9" w:rsidRPr="00304A85" w:rsidRDefault="005318B9" w:rsidP="00DF0CFD">
      <w:pPr>
        <w:jc w:val="both"/>
        <w:rPr>
          <w:rFonts w:asciiTheme="majorHAnsi" w:hAnsiTheme="majorHAnsi" w:cstheme="majorHAnsi"/>
        </w:rPr>
      </w:pPr>
      <w:r w:rsidRPr="00304A85">
        <w:rPr>
          <w:rStyle w:val="FootnoteReference"/>
          <w:rFonts w:asciiTheme="majorHAnsi" w:hAnsiTheme="majorHAnsi" w:cstheme="majorHAnsi"/>
          <w:sz w:val="24"/>
          <w:szCs w:val="24"/>
        </w:rPr>
        <w:footnoteRef/>
      </w:r>
      <w:r w:rsidRPr="00304A85">
        <w:rPr>
          <w:rFonts w:asciiTheme="majorHAnsi" w:hAnsiTheme="majorHAnsi" w:cstheme="majorHAnsi"/>
          <w:sz w:val="24"/>
          <w:szCs w:val="24"/>
        </w:rPr>
        <w:t>The Tanzania government abolished most secondary school fees in 2016. Schools are now only permitted to charge T.Sh.20, 000 per annum. It is planned to introduce automatic enrolment from Standard 7 to Form 1 from 2021.</w:t>
      </w:r>
    </w:p>
  </w:footnote>
  <w:footnote w:id="19">
    <w:p w:rsidR="005318B9" w:rsidRPr="00304A85" w:rsidRDefault="005318B9" w:rsidP="00304A85">
      <w:pPr>
        <w:jc w:val="both"/>
        <w:rPr>
          <w:rFonts w:asciiTheme="majorHAnsi" w:hAnsiTheme="majorHAnsi" w:cstheme="majorHAnsi"/>
          <w:sz w:val="24"/>
          <w:szCs w:val="24"/>
        </w:rPr>
      </w:pPr>
      <w:r w:rsidRPr="00304A85">
        <w:rPr>
          <w:rStyle w:val="FootnoteReference"/>
          <w:rFonts w:asciiTheme="majorHAnsi" w:hAnsiTheme="majorHAnsi" w:cstheme="majorHAnsi"/>
          <w:sz w:val="24"/>
          <w:szCs w:val="24"/>
        </w:rPr>
        <w:footnoteRef/>
      </w:r>
      <w:r w:rsidRPr="00304A85">
        <w:rPr>
          <w:rFonts w:asciiTheme="majorHAnsi" w:hAnsiTheme="majorHAnsi" w:cstheme="majorHAnsi"/>
          <w:sz w:val="24"/>
          <w:szCs w:val="24"/>
        </w:rPr>
        <w:t xml:space="preserve"> The SDG4 endorsement of free USE is, at least in the short term, regressive.</w:t>
      </w:r>
    </w:p>
    <w:p w:rsidR="005318B9" w:rsidRDefault="005318B9">
      <w:pPr>
        <w:pStyle w:val="FootnoteText"/>
      </w:pPr>
    </w:p>
  </w:footnote>
  <w:footnote w:id="20">
    <w:p w:rsidR="005318B9" w:rsidRPr="0004379C" w:rsidRDefault="005318B9" w:rsidP="0004379C">
      <w:pPr>
        <w:pStyle w:val="FootnoteText"/>
        <w:jc w:val="both"/>
        <w:rPr>
          <w:rFonts w:asciiTheme="majorHAnsi" w:hAnsiTheme="majorHAnsi" w:cstheme="majorHAnsi"/>
          <w:sz w:val="24"/>
          <w:szCs w:val="24"/>
        </w:rPr>
      </w:pPr>
      <w:r w:rsidRPr="0004379C">
        <w:rPr>
          <w:rStyle w:val="FootnoteReference"/>
          <w:rFonts w:asciiTheme="majorHAnsi" w:hAnsiTheme="majorHAnsi" w:cstheme="majorHAnsi"/>
          <w:sz w:val="24"/>
          <w:szCs w:val="24"/>
        </w:rPr>
        <w:footnoteRef/>
      </w:r>
      <w:r w:rsidRPr="0004379C">
        <w:rPr>
          <w:rFonts w:asciiTheme="majorHAnsi" w:hAnsiTheme="majorHAnsi" w:cstheme="majorHAnsi"/>
          <w:sz w:val="24"/>
          <w:szCs w:val="24"/>
        </w:rPr>
        <w:t xml:space="preserve"> In some countries, the immediate, short-term impact of USE-related policies may result in a decline in the number of private schools (as in Rwanda), but it is likely that this will be reversed as mainly richer parents increasingly turn their back on public secondary schools. </w:t>
      </w:r>
    </w:p>
  </w:footnote>
  <w:footnote w:id="21">
    <w:p w:rsidR="005318B9" w:rsidRPr="003F452E" w:rsidRDefault="005318B9" w:rsidP="008F1EB6">
      <w:pPr>
        <w:pStyle w:val="FootnoteText"/>
        <w:jc w:val="both"/>
        <w:rPr>
          <w:rFonts w:asciiTheme="majorHAnsi" w:hAnsiTheme="majorHAnsi" w:cstheme="majorHAnsi"/>
          <w:sz w:val="24"/>
          <w:szCs w:val="24"/>
        </w:rPr>
      </w:pPr>
      <w:r w:rsidRPr="003F452E">
        <w:rPr>
          <w:rStyle w:val="FootnoteReference"/>
          <w:rFonts w:asciiTheme="majorHAnsi" w:hAnsiTheme="majorHAnsi" w:cstheme="majorHAnsi"/>
          <w:sz w:val="24"/>
          <w:szCs w:val="24"/>
        </w:rPr>
        <w:footnoteRef/>
      </w:r>
      <w:r w:rsidRPr="003F452E">
        <w:rPr>
          <w:rFonts w:asciiTheme="majorHAnsi" w:hAnsiTheme="majorHAnsi" w:cstheme="majorHAnsi"/>
          <w:sz w:val="24"/>
          <w:szCs w:val="24"/>
        </w:rPr>
        <w:t xml:space="preserve"> The very high proportion of top entrepreneurs and senior managers in the largest companies in SSA who are foreign-trained is striking (see Bennell, forthcoming).</w:t>
      </w:r>
    </w:p>
  </w:footnote>
  <w:footnote w:id="22">
    <w:p w:rsidR="005318B9" w:rsidRPr="003F452E" w:rsidRDefault="005318B9" w:rsidP="009F2179">
      <w:pPr>
        <w:jc w:val="both"/>
        <w:rPr>
          <w:rFonts w:asciiTheme="majorHAnsi" w:hAnsiTheme="majorHAnsi" w:cstheme="majorHAnsi"/>
          <w:sz w:val="24"/>
          <w:szCs w:val="24"/>
        </w:rPr>
      </w:pPr>
      <w:r w:rsidRPr="003F452E">
        <w:rPr>
          <w:rStyle w:val="FootnoteReference"/>
          <w:rFonts w:asciiTheme="majorHAnsi" w:hAnsiTheme="majorHAnsi" w:cstheme="majorHAnsi"/>
          <w:sz w:val="24"/>
          <w:szCs w:val="24"/>
        </w:rPr>
        <w:footnoteRef/>
      </w:r>
      <w:r w:rsidRPr="003F452E">
        <w:rPr>
          <w:rFonts w:asciiTheme="majorHAnsi" w:hAnsiTheme="majorHAnsi" w:cstheme="majorHAnsi"/>
          <w:sz w:val="24"/>
          <w:szCs w:val="24"/>
        </w:rPr>
        <w:t xml:space="preserve"> For example, an estimated 250,000 Chinese </w:t>
      </w:r>
      <w:r>
        <w:rPr>
          <w:rFonts w:asciiTheme="majorHAnsi" w:hAnsiTheme="majorHAnsi" w:cstheme="majorHAnsi"/>
          <w:sz w:val="24"/>
          <w:szCs w:val="24"/>
        </w:rPr>
        <w:t xml:space="preserve">are </w:t>
      </w:r>
      <w:r w:rsidRPr="003F452E">
        <w:rPr>
          <w:rFonts w:asciiTheme="majorHAnsi" w:hAnsiTheme="majorHAnsi" w:cstheme="majorHAnsi"/>
          <w:sz w:val="24"/>
          <w:szCs w:val="24"/>
        </w:rPr>
        <w:t xml:space="preserve">reported to be working in Angola.  </w:t>
      </w:r>
    </w:p>
    <w:p w:rsidR="005318B9" w:rsidRDefault="005318B9">
      <w:pPr>
        <w:pStyle w:val="FootnoteText"/>
      </w:pPr>
    </w:p>
  </w:footnote>
  <w:footnote w:id="23">
    <w:p w:rsidR="005318B9" w:rsidRPr="009D1CEB" w:rsidRDefault="005318B9" w:rsidP="002B350C">
      <w:pPr>
        <w:jc w:val="both"/>
        <w:rPr>
          <w:rFonts w:asciiTheme="majorHAnsi" w:hAnsiTheme="majorHAnsi" w:cstheme="majorHAnsi"/>
          <w:sz w:val="28"/>
          <w:szCs w:val="28"/>
        </w:rPr>
      </w:pPr>
      <w:r w:rsidRPr="009D1CEB">
        <w:rPr>
          <w:rStyle w:val="FootnoteReference"/>
          <w:rFonts w:asciiTheme="majorHAnsi" w:hAnsiTheme="majorHAnsi" w:cstheme="majorHAnsi"/>
        </w:rPr>
        <w:footnoteRef/>
      </w:r>
      <w:r w:rsidRPr="009D1CEB">
        <w:rPr>
          <w:rFonts w:asciiTheme="majorHAnsi" w:hAnsiTheme="majorHAnsi" w:cstheme="majorHAnsi"/>
        </w:rPr>
        <w:t xml:space="preserve"> </w:t>
      </w:r>
      <w:r w:rsidRPr="009D1CEB">
        <w:rPr>
          <w:rFonts w:asciiTheme="majorHAnsi" w:hAnsiTheme="majorHAnsi" w:cstheme="majorHAnsi"/>
          <w:sz w:val="24"/>
          <w:szCs w:val="24"/>
        </w:rPr>
        <w:t>Another key lesson was the very intensive involvement of foreigners in the development of human resource and other technology-related capacities in the key growth industries. ‘The formal education of the workforce and the apprenticeship of firms to foreign technical assistants (rather than the apprenticeship of workers to particular crafts) lies at the heart of late indu</w:t>
      </w:r>
      <w:r w:rsidR="00BF1F5E">
        <w:rPr>
          <w:rFonts w:asciiTheme="majorHAnsi" w:hAnsiTheme="majorHAnsi" w:cstheme="majorHAnsi"/>
          <w:sz w:val="24"/>
          <w:szCs w:val="24"/>
        </w:rPr>
        <w:t>strial expansion’ (Amsden, 1989:122</w:t>
      </w:r>
      <w:r w:rsidRPr="009D1CEB">
        <w:rPr>
          <w:rFonts w:asciiTheme="majorHAnsi" w:hAnsiTheme="majorHAnsi" w:cstheme="majorHAnsi"/>
          <w:sz w:val="24"/>
          <w:szCs w:val="24"/>
        </w:rPr>
        <w:t>).</w:t>
      </w:r>
      <w:r w:rsidRPr="009D1CEB">
        <w:rPr>
          <w:rFonts w:asciiTheme="majorHAnsi" w:hAnsiTheme="majorHAnsi" w:cstheme="majorHAnsi"/>
          <w:sz w:val="28"/>
          <w:szCs w:val="28"/>
        </w:rPr>
        <w:t xml:space="preserve"> </w:t>
      </w:r>
    </w:p>
    <w:p w:rsidR="005318B9" w:rsidRDefault="005318B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8B9" w:rsidRDefault="005318B9" w:rsidP="00636861">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4D0B"/>
    <w:multiLevelType w:val="multilevel"/>
    <w:tmpl w:val="8F6461C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F055BD1"/>
    <w:multiLevelType w:val="multilevel"/>
    <w:tmpl w:val="53A08794"/>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CD46C5C"/>
    <w:multiLevelType w:val="hybridMultilevel"/>
    <w:tmpl w:val="B546EF26"/>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2F"/>
    <w:rsid w:val="00016565"/>
    <w:rsid w:val="00023A73"/>
    <w:rsid w:val="0004348E"/>
    <w:rsid w:val="000434D0"/>
    <w:rsid w:val="0004379C"/>
    <w:rsid w:val="00044DD2"/>
    <w:rsid w:val="00052151"/>
    <w:rsid w:val="0006523F"/>
    <w:rsid w:val="00076277"/>
    <w:rsid w:val="00082B49"/>
    <w:rsid w:val="000950D3"/>
    <w:rsid w:val="00095B4A"/>
    <w:rsid w:val="0009699B"/>
    <w:rsid w:val="000A1688"/>
    <w:rsid w:val="000A43AD"/>
    <w:rsid w:val="000A4B70"/>
    <w:rsid w:val="000A5FE1"/>
    <w:rsid w:val="000A614A"/>
    <w:rsid w:val="000B1C19"/>
    <w:rsid w:val="000B1F0B"/>
    <w:rsid w:val="000B53A3"/>
    <w:rsid w:val="000C00C0"/>
    <w:rsid w:val="000C09DE"/>
    <w:rsid w:val="000C3CB6"/>
    <w:rsid w:val="000C4FAF"/>
    <w:rsid w:val="000D1B2A"/>
    <w:rsid w:val="000D6DFD"/>
    <w:rsid w:val="000D70A9"/>
    <w:rsid w:val="000E1134"/>
    <w:rsid w:val="000E248B"/>
    <w:rsid w:val="000E2F7A"/>
    <w:rsid w:val="000F233D"/>
    <w:rsid w:val="00116F14"/>
    <w:rsid w:val="001228BA"/>
    <w:rsid w:val="00124935"/>
    <w:rsid w:val="00130304"/>
    <w:rsid w:val="00131968"/>
    <w:rsid w:val="001345D4"/>
    <w:rsid w:val="00147151"/>
    <w:rsid w:val="001504E4"/>
    <w:rsid w:val="0015051F"/>
    <w:rsid w:val="00152881"/>
    <w:rsid w:val="0015463A"/>
    <w:rsid w:val="0016681F"/>
    <w:rsid w:val="00167777"/>
    <w:rsid w:val="0017278D"/>
    <w:rsid w:val="00174420"/>
    <w:rsid w:val="001746C3"/>
    <w:rsid w:val="00180B99"/>
    <w:rsid w:val="00182BC3"/>
    <w:rsid w:val="00182E97"/>
    <w:rsid w:val="001841CE"/>
    <w:rsid w:val="00194323"/>
    <w:rsid w:val="00196B12"/>
    <w:rsid w:val="001A2CB0"/>
    <w:rsid w:val="001A617B"/>
    <w:rsid w:val="001A7EA4"/>
    <w:rsid w:val="001B2918"/>
    <w:rsid w:val="001C2AEF"/>
    <w:rsid w:val="001C55F5"/>
    <w:rsid w:val="001C6697"/>
    <w:rsid w:val="001D058D"/>
    <w:rsid w:val="001D4CE1"/>
    <w:rsid w:val="001D588A"/>
    <w:rsid w:val="001D63A3"/>
    <w:rsid w:val="001D694B"/>
    <w:rsid w:val="001D6A51"/>
    <w:rsid w:val="001E5589"/>
    <w:rsid w:val="001E5A4A"/>
    <w:rsid w:val="001F5DB5"/>
    <w:rsid w:val="00202794"/>
    <w:rsid w:val="002052D2"/>
    <w:rsid w:val="00207DCF"/>
    <w:rsid w:val="0022439B"/>
    <w:rsid w:val="00227952"/>
    <w:rsid w:val="002311CA"/>
    <w:rsid w:val="00231FD6"/>
    <w:rsid w:val="00241957"/>
    <w:rsid w:val="00243785"/>
    <w:rsid w:val="002474FC"/>
    <w:rsid w:val="00251E9B"/>
    <w:rsid w:val="00253C4D"/>
    <w:rsid w:val="002542F3"/>
    <w:rsid w:val="002618E1"/>
    <w:rsid w:val="002626F4"/>
    <w:rsid w:val="002629B3"/>
    <w:rsid w:val="00281F1E"/>
    <w:rsid w:val="00287225"/>
    <w:rsid w:val="002879FF"/>
    <w:rsid w:val="0029032F"/>
    <w:rsid w:val="00290C62"/>
    <w:rsid w:val="002936D7"/>
    <w:rsid w:val="00295BE4"/>
    <w:rsid w:val="00295C20"/>
    <w:rsid w:val="00295DC1"/>
    <w:rsid w:val="00296159"/>
    <w:rsid w:val="002A56D9"/>
    <w:rsid w:val="002B350C"/>
    <w:rsid w:val="002B3522"/>
    <w:rsid w:val="002B6335"/>
    <w:rsid w:val="002D34E2"/>
    <w:rsid w:val="002D3D87"/>
    <w:rsid w:val="002D3D90"/>
    <w:rsid w:val="002D4715"/>
    <w:rsid w:val="002D4BB8"/>
    <w:rsid w:val="002D4BC3"/>
    <w:rsid w:val="002E0AE4"/>
    <w:rsid w:val="002F2D28"/>
    <w:rsid w:val="002F2F4A"/>
    <w:rsid w:val="00304A85"/>
    <w:rsid w:val="003129CA"/>
    <w:rsid w:val="00314AA1"/>
    <w:rsid w:val="00316570"/>
    <w:rsid w:val="00326632"/>
    <w:rsid w:val="003275EF"/>
    <w:rsid w:val="00327903"/>
    <w:rsid w:val="00327B3A"/>
    <w:rsid w:val="00327EA5"/>
    <w:rsid w:val="003325E2"/>
    <w:rsid w:val="00344FF8"/>
    <w:rsid w:val="00345F3E"/>
    <w:rsid w:val="00351C59"/>
    <w:rsid w:val="00351D1D"/>
    <w:rsid w:val="00355DE8"/>
    <w:rsid w:val="003608B2"/>
    <w:rsid w:val="00361EFC"/>
    <w:rsid w:val="003633CB"/>
    <w:rsid w:val="003761A2"/>
    <w:rsid w:val="00382DF2"/>
    <w:rsid w:val="0038618F"/>
    <w:rsid w:val="003865D3"/>
    <w:rsid w:val="00390D0B"/>
    <w:rsid w:val="003956D1"/>
    <w:rsid w:val="003A3611"/>
    <w:rsid w:val="003A462B"/>
    <w:rsid w:val="003B77C7"/>
    <w:rsid w:val="003C2525"/>
    <w:rsid w:val="003C48CB"/>
    <w:rsid w:val="003C4C09"/>
    <w:rsid w:val="003C533E"/>
    <w:rsid w:val="003C69ED"/>
    <w:rsid w:val="003C7168"/>
    <w:rsid w:val="003D2ED1"/>
    <w:rsid w:val="003D3FEE"/>
    <w:rsid w:val="003F452E"/>
    <w:rsid w:val="003F4DA0"/>
    <w:rsid w:val="003F59FB"/>
    <w:rsid w:val="003F6773"/>
    <w:rsid w:val="00402A5F"/>
    <w:rsid w:val="004041DD"/>
    <w:rsid w:val="0040711C"/>
    <w:rsid w:val="004106EE"/>
    <w:rsid w:val="004145F5"/>
    <w:rsid w:val="00425E08"/>
    <w:rsid w:val="00433EA9"/>
    <w:rsid w:val="004342F3"/>
    <w:rsid w:val="00443837"/>
    <w:rsid w:val="00447017"/>
    <w:rsid w:val="004470B9"/>
    <w:rsid w:val="00452F37"/>
    <w:rsid w:val="00453749"/>
    <w:rsid w:val="00454CDC"/>
    <w:rsid w:val="00460313"/>
    <w:rsid w:val="004670B2"/>
    <w:rsid w:val="00467220"/>
    <w:rsid w:val="00482972"/>
    <w:rsid w:val="00497138"/>
    <w:rsid w:val="004A114C"/>
    <w:rsid w:val="004A65FF"/>
    <w:rsid w:val="004B197D"/>
    <w:rsid w:val="004B6254"/>
    <w:rsid w:val="004C7528"/>
    <w:rsid w:val="004D4D68"/>
    <w:rsid w:val="004D5B4F"/>
    <w:rsid w:val="004D6DCF"/>
    <w:rsid w:val="004F3581"/>
    <w:rsid w:val="004F39AB"/>
    <w:rsid w:val="004F5D4C"/>
    <w:rsid w:val="00502ECB"/>
    <w:rsid w:val="00520C4D"/>
    <w:rsid w:val="005318B9"/>
    <w:rsid w:val="00535FA8"/>
    <w:rsid w:val="00537DFE"/>
    <w:rsid w:val="005403C6"/>
    <w:rsid w:val="00540923"/>
    <w:rsid w:val="0054484C"/>
    <w:rsid w:val="00563774"/>
    <w:rsid w:val="00571CA8"/>
    <w:rsid w:val="005750C1"/>
    <w:rsid w:val="005754A6"/>
    <w:rsid w:val="005773C9"/>
    <w:rsid w:val="00577F32"/>
    <w:rsid w:val="00585CEE"/>
    <w:rsid w:val="005875EE"/>
    <w:rsid w:val="00591532"/>
    <w:rsid w:val="00591D8A"/>
    <w:rsid w:val="00592141"/>
    <w:rsid w:val="00593245"/>
    <w:rsid w:val="00595A5F"/>
    <w:rsid w:val="005A3B06"/>
    <w:rsid w:val="005A7663"/>
    <w:rsid w:val="005B27E3"/>
    <w:rsid w:val="005B7BA7"/>
    <w:rsid w:val="005C0456"/>
    <w:rsid w:val="005C119B"/>
    <w:rsid w:val="005C4D1D"/>
    <w:rsid w:val="005C725F"/>
    <w:rsid w:val="005D0593"/>
    <w:rsid w:val="005D0F16"/>
    <w:rsid w:val="005E4183"/>
    <w:rsid w:val="005F2148"/>
    <w:rsid w:val="00610EA4"/>
    <w:rsid w:val="00613FB6"/>
    <w:rsid w:val="00617427"/>
    <w:rsid w:val="00624826"/>
    <w:rsid w:val="006275C0"/>
    <w:rsid w:val="00636861"/>
    <w:rsid w:val="00640AF3"/>
    <w:rsid w:val="00647C52"/>
    <w:rsid w:val="0065291B"/>
    <w:rsid w:val="00654711"/>
    <w:rsid w:val="00663748"/>
    <w:rsid w:val="006768D6"/>
    <w:rsid w:val="00682211"/>
    <w:rsid w:val="006824FF"/>
    <w:rsid w:val="00691C81"/>
    <w:rsid w:val="00691E86"/>
    <w:rsid w:val="00694520"/>
    <w:rsid w:val="006978E4"/>
    <w:rsid w:val="006A0542"/>
    <w:rsid w:val="006A3917"/>
    <w:rsid w:val="006B24AA"/>
    <w:rsid w:val="006B714C"/>
    <w:rsid w:val="006C5706"/>
    <w:rsid w:val="006D33E7"/>
    <w:rsid w:val="006D3F9B"/>
    <w:rsid w:val="006D4C35"/>
    <w:rsid w:val="006D546B"/>
    <w:rsid w:val="00703A9B"/>
    <w:rsid w:val="00703F2A"/>
    <w:rsid w:val="00720162"/>
    <w:rsid w:val="00720680"/>
    <w:rsid w:val="007219FF"/>
    <w:rsid w:val="00723A69"/>
    <w:rsid w:val="00724B3D"/>
    <w:rsid w:val="0072591E"/>
    <w:rsid w:val="00731F8B"/>
    <w:rsid w:val="00732673"/>
    <w:rsid w:val="00743FD5"/>
    <w:rsid w:val="007513C2"/>
    <w:rsid w:val="00754452"/>
    <w:rsid w:val="00762293"/>
    <w:rsid w:val="007631EC"/>
    <w:rsid w:val="00770736"/>
    <w:rsid w:val="00771CB2"/>
    <w:rsid w:val="00773160"/>
    <w:rsid w:val="0078278A"/>
    <w:rsid w:val="00782CAB"/>
    <w:rsid w:val="007845F3"/>
    <w:rsid w:val="0078510D"/>
    <w:rsid w:val="00790ABF"/>
    <w:rsid w:val="00795176"/>
    <w:rsid w:val="007A019D"/>
    <w:rsid w:val="007A20FA"/>
    <w:rsid w:val="007A6956"/>
    <w:rsid w:val="007B44A3"/>
    <w:rsid w:val="007B5D9B"/>
    <w:rsid w:val="00826A6D"/>
    <w:rsid w:val="00827381"/>
    <w:rsid w:val="008317DC"/>
    <w:rsid w:val="00832266"/>
    <w:rsid w:val="00832821"/>
    <w:rsid w:val="00834D12"/>
    <w:rsid w:val="00842F15"/>
    <w:rsid w:val="0085196A"/>
    <w:rsid w:val="00856551"/>
    <w:rsid w:val="008717D2"/>
    <w:rsid w:val="00877843"/>
    <w:rsid w:val="008819ED"/>
    <w:rsid w:val="00885A8D"/>
    <w:rsid w:val="00894423"/>
    <w:rsid w:val="00894D0C"/>
    <w:rsid w:val="008951EF"/>
    <w:rsid w:val="008C04CE"/>
    <w:rsid w:val="008C40F8"/>
    <w:rsid w:val="008D6099"/>
    <w:rsid w:val="008D6B32"/>
    <w:rsid w:val="008E633E"/>
    <w:rsid w:val="008E6B12"/>
    <w:rsid w:val="008F13A9"/>
    <w:rsid w:val="008F1EB6"/>
    <w:rsid w:val="008F4653"/>
    <w:rsid w:val="008F5E97"/>
    <w:rsid w:val="0090386D"/>
    <w:rsid w:val="00904372"/>
    <w:rsid w:val="00913F8D"/>
    <w:rsid w:val="00914401"/>
    <w:rsid w:val="00916021"/>
    <w:rsid w:val="00920D5D"/>
    <w:rsid w:val="00925141"/>
    <w:rsid w:val="00942F0C"/>
    <w:rsid w:val="00971B10"/>
    <w:rsid w:val="00971DA0"/>
    <w:rsid w:val="0097263B"/>
    <w:rsid w:val="00975623"/>
    <w:rsid w:val="00976501"/>
    <w:rsid w:val="00976830"/>
    <w:rsid w:val="00982B24"/>
    <w:rsid w:val="0098613D"/>
    <w:rsid w:val="009A2989"/>
    <w:rsid w:val="009A5E0D"/>
    <w:rsid w:val="009A72CA"/>
    <w:rsid w:val="009B2A69"/>
    <w:rsid w:val="009B3B3F"/>
    <w:rsid w:val="009C4B48"/>
    <w:rsid w:val="009C5FEE"/>
    <w:rsid w:val="009D1CEB"/>
    <w:rsid w:val="009D2D9B"/>
    <w:rsid w:val="009D3066"/>
    <w:rsid w:val="009E3870"/>
    <w:rsid w:val="009E5321"/>
    <w:rsid w:val="009F2179"/>
    <w:rsid w:val="009F7DE1"/>
    <w:rsid w:val="00A00AF8"/>
    <w:rsid w:val="00A05C2D"/>
    <w:rsid w:val="00A06D20"/>
    <w:rsid w:val="00A07155"/>
    <w:rsid w:val="00A25091"/>
    <w:rsid w:val="00A3118A"/>
    <w:rsid w:val="00A32FA1"/>
    <w:rsid w:val="00A45DD0"/>
    <w:rsid w:val="00A4715F"/>
    <w:rsid w:val="00A52747"/>
    <w:rsid w:val="00A53FA2"/>
    <w:rsid w:val="00A62D67"/>
    <w:rsid w:val="00A64848"/>
    <w:rsid w:val="00A723EC"/>
    <w:rsid w:val="00A728BE"/>
    <w:rsid w:val="00A77EF8"/>
    <w:rsid w:val="00A8383F"/>
    <w:rsid w:val="00A83AAA"/>
    <w:rsid w:val="00A90E66"/>
    <w:rsid w:val="00A9409C"/>
    <w:rsid w:val="00A96630"/>
    <w:rsid w:val="00AA3C5B"/>
    <w:rsid w:val="00AB3469"/>
    <w:rsid w:val="00AE7885"/>
    <w:rsid w:val="00AF2A31"/>
    <w:rsid w:val="00AF2B30"/>
    <w:rsid w:val="00AF7918"/>
    <w:rsid w:val="00B0343A"/>
    <w:rsid w:val="00B05E48"/>
    <w:rsid w:val="00B11AE9"/>
    <w:rsid w:val="00B207B4"/>
    <w:rsid w:val="00B24571"/>
    <w:rsid w:val="00B26FC0"/>
    <w:rsid w:val="00B34EF1"/>
    <w:rsid w:val="00B37DF2"/>
    <w:rsid w:val="00B41AF2"/>
    <w:rsid w:val="00B505B7"/>
    <w:rsid w:val="00B5328B"/>
    <w:rsid w:val="00B54157"/>
    <w:rsid w:val="00B70129"/>
    <w:rsid w:val="00B831A9"/>
    <w:rsid w:val="00B85E7C"/>
    <w:rsid w:val="00B905E4"/>
    <w:rsid w:val="00B945C5"/>
    <w:rsid w:val="00BA0CC3"/>
    <w:rsid w:val="00BA7CB0"/>
    <w:rsid w:val="00BC1C7B"/>
    <w:rsid w:val="00BC71C4"/>
    <w:rsid w:val="00BD4A5F"/>
    <w:rsid w:val="00BE62AE"/>
    <w:rsid w:val="00BE6C5B"/>
    <w:rsid w:val="00BF1F5E"/>
    <w:rsid w:val="00C01D81"/>
    <w:rsid w:val="00C03DD5"/>
    <w:rsid w:val="00C15A6E"/>
    <w:rsid w:val="00C25F1D"/>
    <w:rsid w:val="00C27870"/>
    <w:rsid w:val="00C4115C"/>
    <w:rsid w:val="00C549A2"/>
    <w:rsid w:val="00C572CF"/>
    <w:rsid w:val="00C75047"/>
    <w:rsid w:val="00C75DA8"/>
    <w:rsid w:val="00C75EDB"/>
    <w:rsid w:val="00C7652F"/>
    <w:rsid w:val="00C76BC2"/>
    <w:rsid w:val="00C77308"/>
    <w:rsid w:val="00C808A5"/>
    <w:rsid w:val="00C8294B"/>
    <w:rsid w:val="00C867E9"/>
    <w:rsid w:val="00C86CE8"/>
    <w:rsid w:val="00C87188"/>
    <w:rsid w:val="00C96D96"/>
    <w:rsid w:val="00C97FDE"/>
    <w:rsid w:val="00CA315E"/>
    <w:rsid w:val="00CA4D71"/>
    <w:rsid w:val="00CB62F0"/>
    <w:rsid w:val="00CC0CAD"/>
    <w:rsid w:val="00CC2CDA"/>
    <w:rsid w:val="00CC32A5"/>
    <w:rsid w:val="00CE747C"/>
    <w:rsid w:val="00CF18E6"/>
    <w:rsid w:val="00CF1B21"/>
    <w:rsid w:val="00CF3E1A"/>
    <w:rsid w:val="00CF6064"/>
    <w:rsid w:val="00D15E08"/>
    <w:rsid w:val="00D16D55"/>
    <w:rsid w:val="00D16E91"/>
    <w:rsid w:val="00D17284"/>
    <w:rsid w:val="00D37A67"/>
    <w:rsid w:val="00D37D84"/>
    <w:rsid w:val="00D519DA"/>
    <w:rsid w:val="00D54D97"/>
    <w:rsid w:val="00D560D5"/>
    <w:rsid w:val="00D65E7E"/>
    <w:rsid w:val="00D669C6"/>
    <w:rsid w:val="00D67727"/>
    <w:rsid w:val="00D67E19"/>
    <w:rsid w:val="00D707C6"/>
    <w:rsid w:val="00D729CD"/>
    <w:rsid w:val="00D77087"/>
    <w:rsid w:val="00D816B4"/>
    <w:rsid w:val="00D8421D"/>
    <w:rsid w:val="00D85FF8"/>
    <w:rsid w:val="00D931A0"/>
    <w:rsid w:val="00DA12B6"/>
    <w:rsid w:val="00DA3300"/>
    <w:rsid w:val="00DA669C"/>
    <w:rsid w:val="00DA7028"/>
    <w:rsid w:val="00DB0F7A"/>
    <w:rsid w:val="00DB1D00"/>
    <w:rsid w:val="00DC02BA"/>
    <w:rsid w:val="00DC22A8"/>
    <w:rsid w:val="00DC54C3"/>
    <w:rsid w:val="00DC79DD"/>
    <w:rsid w:val="00DD0A13"/>
    <w:rsid w:val="00DD2239"/>
    <w:rsid w:val="00DD69D9"/>
    <w:rsid w:val="00DE2F0B"/>
    <w:rsid w:val="00DE526D"/>
    <w:rsid w:val="00DE5781"/>
    <w:rsid w:val="00DE5D60"/>
    <w:rsid w:val="00DF0CFD"/>
    <w:rsid w:val="00E04B20"/>
    <w:rsid w:val="00E07854"/>
    <w:rsid w:val="00E11630"/>
    <w:rsid w:val="00E13866"/>
    <w:rsid w:val="00E200DC"/>
    <w:rsid w:val="00E220CF"/>
    <w:rsid w:val="00E2643B"/>
    <w:rsid w:val="00E27AC1"/>
    <w:rsid w:val="00E533EC"/>
    <w:rsid w:val="00E56F75"/>
    <w:rsid w:val="00E635EC"/>
    <w:rsid w:val="00E645D3"/>
    <w:rsid w:val="00E7180B"/>
    <w:rsid w:val="00E72479"/>
    <w:rsid w:val="00E9093B"/>
    <w:rsid w:val="00E9151A"/>
    <w:rsid w:val="00EA0551"/>
    <w:rsid w:val="00EA1914"/>
    <w:rsid w:val="00EA1F95"/>
    <w:rsid w:val="00EA37EF"/>
    <w:rsid w:val="00EA45CF"/>
    <w:rsid w:val="00EA6559"/>
    <w:rsid w:val="00EB0514"/>
    <w:rsid w:val="00EC013B"/>
    <w:rsid w:val="00EC0E59"/>
    <w:rsid w:val="00ED0BCF"/>
    <w:rsid w:val="00ED2ED7"/>
    <w:rsid w:val="00ED4AD1"/>
    <w:rsid w:val="00EE7926"/>
    <w:rsid w:val="00F17B68"/>
    <w:rsid w:val="00F21EC7"/>
    <w:rsid w:val="00F26615"/>
    <w:rsid w:val="00F32157"/>
    <w:rsid w:val="00F41670"/>
    <w:rsid w:val="00F41688"/>
    <w:rsid w:val="00F42F85"/>
    <w:rsid w:val="00F53258"/>
    <w:rsid w:val="00F55437"/>
    <w:rsid w:val="00F55693"/>
    <w:rsid w:val="00F55E2B"/>
    <w:rsid w:val="00F61D46"/>
    <w:rsid w:val="00F64356"/>
    <w:rsid w:val="00F6497D"/>
    <w:rsid w:val="00F86B3E"/>
    <w:rsid w:val="00F955C1"/>
    <w:rsid w:val="00FA1CFC"/>
    <w:rsid w:val="00FB1597"/>
    <w:rsid w:val="00FB3CB8"/>
    <w:rsid w:val="00FC4BE1"/>
    <w:rsid w:val="00FC51FA"/>
    <w:rsid w:val="00FD4FE0"/>
    <w:rsid w:val="00FE0CD1"/>
    <w:rsid w:val="00FE2A31"/>
    <w:rsid w:val="00FE37C6"/>
    <w:rsid w:val="00FE3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3908F-3A62-4875-AE73-4CAC509A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284"/>
    <w:pPr>
      <w:ind w:left="720"/>
      <w:contextualSpacing/>
    </w:pPr>
  </w:style>
  <w:style w:type="paragraph" w:styleId="FootnoteText">
    <w:name w:val="footnote text"/>
    <w:basedOn w:val="Normal"/>
    <w:link w:val="FootnoteTextChar"/>
    <w:uiPriority w:val="99"/>
    <w:semiHidden/>
    <w:unhideWhenUsed/>
    <w:rsid w:val="00D37A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A67"/>
    <w:rPr>
      <w:sz w:val="20"/>
      <w:szCs w:val="20"/>
    </w:rPr>
  </w:style>
  <w:style w:type="character" w:styleId="FootnoteReference">
    <w:name w:val="footnote reference"/>
    <w:basedOn w:val="DefaultParagraphFont"/>
    <w:uiPriority w:val="99"/>
    <w:semiHidden/>
    <w:unhideWhenUsed/>
    <w:rsid w:val="00D37A67"/>
    <w:rPr>
      <w:vertAlign w:val="superscript"/>
    </w:rPr>
  </w:style>
  <w:style w:type="paragraph" w:styleId="Header">
    <w:name w:val="header"/>
    <w:basedOn w:val="Normal"/>
    <w:link w:val="HeaderChar"/>
    <w:uiPriority w:val="99"/>
    <w:unhideWhenUsed/>
    <w:rsid w:val="00856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551"/>
  </w:style>
  <w:style w:type="paragraph" w:styleId="Footer">
    <w:name w:val="footer"/>
    <w:basedOn w:val="Normal"/>
    <w:link w:val="FooterChar"/>
    <w:uiPriority w:val="99"/>
    <w:unhideWhenUsed/>
    <w:rsid w:val="00856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551"/>
  </w:style>
  <w:style w:type="paragraph" w:styleId="BalloonText">
    <w:name w:val="Balloon Text"/>
    <w:basedOn w:val="Normal"/>
    <w:link w:val="BalloonTextChar"/>
    <w:uiPriority w:val="99"/>
    <w:semiHidden/>
    <w:unhideWhenUsed/>
    <w:rsid w:val="00167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644">
      <w:bodyDiv w:val="1"/>
      <w:marLeft w:val="0"/>
      <w:marRight w:val="0"/>
      <w:marTop w:val="0"/>
      <w:marBottom w:val="0"/>
      <w:divBdr>
        <w:top w:val="none" w:sz="0" w:space="0" w:color="auto"/>
        <w:left w:val="none" w:sz="0" w:space="0" w:color="auto"/>
        <w:bottom w:val="none" w:sz="0" w:space="0" w:color="auto"/>
        <w:right w:val="none" w:sz="0" w:space="0" w:color="auto"/>
      </w:divBdr>
    </w:div>
    <w:div w:id="35205617">
      <w:bodyDiv w:val="1"/>
      <w:marLeft w:val="0"/>
      <w:marRight w:val="0"/>
      <w:marTop w:val="0"/>
      <w:marBottom w:val="0"/>
      <w:divBdr>
        <w:top w:val="none" w:sz="0" w:space="0" w:color="auto"/>
        <w:left w:val="none" w:sz="0" w:space="0" w:color="auto"/>
        <w:bottom w:val="none" w:sz="0" w:space="0" w:color="auto"/>
        <w:right w:val="none" w:sz="0" w:space="0" w:color="auto"/>
      </w:divBdr>
    </w:div>
    <w:div w:id="121198850">
      <w:bodyDiv w:val="1"/>
      <w:marLeft w:val="0"/>
      <w:marRight w:val="0"/>
      <w:marTop w:val="0"/>
      <w:marBottom w:val="0"/>
      <w:divBdr>
        <w:top w:val="none" w:sz="0" w:space="0" w:color="auto"/>
        <w:left w:val="none" w:sz="0" w:space="0" w:color="auto"/>
        <w:bottom w:val="none" w:sz="0" w:space="0" w:color="auto"/>
        <w:right w:val="none" w:sz="0" w:space="0" w:color="auto"/>
      </w:divBdr>
    </w:div>
    <w:div w:id="122504026">
      <w:bodyDiv w:val="1"/>
      <w:marLeft w:val="0"/>
      <w:marRight w:val="0"/>
      <w:marTop w:val="0"/>
      <w:marBottom w:val="0"/>
      <w:divBdr>
        <w:top w:val="none" w:sz="0" w:space="0" w:color="auto"/>
        <w:left w:val="none" w:sz="0" w:space="0" w:color="auto"/>
        <w:bottom w:val="none" w:sz="0" w:space="0" w:color="auto"/>
        <w:right w:val="none" w:sz="0" w:space="0" w:color="auto"/>
      </w:divBdr>
    </w:div>
    <w:div w:id="189953651">
      <w:bodyDiv w:val="1"/>
      <w:marLeft w:val="0"/>
      <w:marRight w:val="0"/>
      <w:marTop w:val="0"/>
      <w:marBottom w:val="0"/>
      <w:divBdr>
        <w:top w:val="none" w:sz="0" w:space="0" w:color="auto"/>
        <w:left w:val="none" w:sz="0" w:space="0" w:color="auto"/>
        <w:bottom w:val="none" w:sz="0" w:space="0" w:color="auto"/>
        <w:right w:val="none" w:sz="0" w:space="0" w:color="auto"/>
      </w:divBdr>
    </w:div>
    <w:div w:id="223293632">
      <w:bodyDiv w:val="1"/>
      <w:marLeft w:val="0"/>
      <w:marRight w:val="0"/>
      <w:marTop w:val="0"/>
      <w:marBottom w:val="0"/>
      <w:divBdr>
        <w:top w:val="none" w:sz="0" w:space="0" w:color="auto"/>
        <w:left w:val="none" w:sz="0" w:space="0" w:color="auto"/>
        <w:bottom w:val="none" w:sz="0" w:space="0" w:color="auto"/>
        <w:right w:val="none" w:sz="0" w:space="0" w:color="auto"/>
      </w:divBdr>
    </w:div>
    <w:div w:id="273368809">
      <w:bodyDiv w:val="1"/>
      <w:marLeft w:val="0"/>
      <w:marRight w:val="0"/>
      <w:marTop w:val="0"/>
      <w:marBottom w:val="0"/>
      <w:divBdr>
        <w:top w:val="none" w:sz="0" w:space="0" w:color="auto"/>
        <w:left w:val="none" w:sz="0" w:space="0" w:color="auto"/>
        <w:bottom w:val="none" w:sz="0" w:space="0" w:color="auto"/>
        <w:right w:val="none" w:sz="0" w:space="0" w:color="auto"/>
      </w:divBdr>
    </w:div>
    <w:div w:id="303702375">
      <w:bodyDiv w:val="1"/>
      <w:marLeft w:val="0"/>
      <w:marRight w:val="0"/>
      <w:marTop w:val="0"/>
      <w:marBottom w:val="0"/>
      <w:divBdr>
        <w:top w:val="none" w:sz="0" w:space="0" w:color="auto"/>
        <w:left w:val="none" w:sz="0" w:space="0" w:color="auto"/>
        <w:bottom w:val="none" w:sz="0" w:space="0" w:color="auto"/>
        <w:right w:val="none" w:sz="0" w:space="0" w:color="auto"/>
      </w:divBdr>
    </w:div>
    <w:div w:id="313529759">
      <w:bodyDiv w:val="1"/>
      <w:marLeft w:val="0"/>
      <w:marRight w:val="0"/>
      <w:marTop w:val="0"/>
      <w:marBottom w:val="0"/>
      <w:divBdr>
        <w:top w:val="none" w:sz="0" w:space="0" w:color="auto"/>
        <w:left w:val="none" w:sz="0" w:space="0" w:color="auto"/>
        <w:bottom w:val="none" w:sz="0" w:space="0" w:color="auto"/>
        <w:right w:val="none" w:sz="0" w:space="0" w:color="auto"/>
      </w:divBdr>
    </w:div>
    <w:div w:id="314841278">
      <w:bodyDiv w:val="1"/>
      <w:marLeft w:val="0"/>
      <w:marRight w:val="0"/>
      <w:marTop w:val="0"/>
      <w:marBottom w:val="0"/>
      <w:divBdr>
        <w:top w:val="none" w:sz="0" w:space="0" w:color="auto"/>
        <w:left w:val="none" w:sz="0" w:space="0" w:color="auto"/>
        <w:bottom w:val="none" w:sz="0" w:space="0" w:color="auto"/>
        <w:right w:val="none" w:sz="0" w:space="0" w:color="auto"/>
      </w:divBdr>
    </w:div>
    <w:div w:id="623772824">
      <w:bodyDiv w:val="1"/>
      <w:marLeft w:val="0"/>
      <w:marRight w:val="0"/>
      <w:marTop w:val="0"/>
      <w:marBottom w:val="0"/>
      <w:divBdr>
        <w:top w:val="none" w:sz="0" w:space="0" w:color="auto"/>
        <w:left w:val="none" w:sz="0" w:space="0" w:color="auto"/>
        <w:bottom w:val="none" w:sz="0" w:space="0" w:color="auto"/>
        <w:right w:val="none" w:sz="0" w:space="0" w:color="auto"/>
      </w:divBdr>
    </w:div>
    <w:div w:id="757867421">
      <w:bodyDiv w:val="1"/>
      <w:marLeft w:val="0"/>
      <w:marRight w:val="0"/>
      <w:marTop w:val="0"/>
      <w:marBottom w:val="0"/>
      <w:divBdr>
        <w:top w:val="none" w:sz="0" w:space="0" w:color="auto"/>
        <w:left w:val="none" w:sz="0" w:space="0" w:color="auto"/>
        <w:bottom w:val="none" w:sz="0" w:space="0" w:color="auto"/>
        <w:right w:val="none" w:sz="0" w:space="0" w:color="auto"/>
      </w:divBdr>
    </w:div>
    <w:div w:id="767698226">
      <w:bodyDiv w:val="1"/>
      <w:marLeft w:val="0"/>
      <w:marRight w:val="0"/>
      <w:marTop w:val="0"/>
      <w:marBottom w:val="0"/>
      <w:divBdr>
        <w:top w:val="none" w:sz="0" w:space="0" w:color="auto"/>
        <w:left w:val="none" w:sz="0" w:space="0" w:color="auto"/>
        <w:bottom w:val="none" w:sz="0" w:space="0" w:color="auto"/>
        <w:right w:val="none" w:sz="0" w:space="0" w:color="auto"/>
      </w:divBdr>
    </w:div>
    <w:div w:id="957030015">
      <w:bodyDiv w:val="1"/>
      <w:marLeft w:val="0"/>
      <w:marRight w:val="0"/>
      <w:marTop w:val="0"/>
      <w:marBottom w:val="0"/>
      <w:divBdr>
        <w:top w:val="none" w:sz="0" w:space="0" w:color="auto"/>
        <w:left w:val="none" w:sz="0" w:space="0" w:color="auto"/>
        <w:bottom w:val="none" w:sz="0" w:space="0" w:color="auto"/>
        <w:right w:val="none" w:sz="0" w:space="0" w:color="auto"/>
      </w:divBdr>
    </w:div>
    <w:div w:id="987825837">
      <w:bodyDiv w:val="1"/>
      <w:marLeft w:val="0"/>
      <w:marRight w:val="0"/>
      <w:marTop w:val="0"/>
      <w:marBottom w:val="0"/>
      <w:divBdr>
        <w:top w:val="none" w:sz="0" w:space="0" w:color="auto"/>
        <w:left w:val="none" w:sz="0" w:space="0" w:color="auto"/>
        <w:bottom w:val="none" w:sz="0" w:space="0" w:color="auto"/>
        <w:right w:val="none" w:sz="0" w:space="0" w:color="auto"/>
      </w:divBdr>
    </w:div>
    <w:div w:id="1023703613">
      <w:bodyDiv w:val="1"/>
      <w:marLeft w:val="0"/>
      <w:marRight w:val="0"/>
      <w:marTop w:val="0"/>
      <w:marBottom w:val="0"/>
      <w:divBdr>
        <w:top w:val="none" w:sz="0" w:space="0" w:color="auto"/>
        <w:left w:val="none" w:sz="0" w:space="0" w:color="auto"/>
        <w:bottom w:val="none" w:sz="0" w:space="0" w:color="auto"/>
        <w:right w:val="none" w:sz="0" w:space="0" w:color="auto"/>
      </w:divBdr>
    </w:div>
    <w:div w:id="1092047096">
      <w:bodyDiv w:val="1"/>
      <w:marLeft w:val="0"/>
      <w:marRight w:val="0"/>
      <w:marTop w:val="0"/>
      <w:marBottom w:val="0"/>
      <w:divBdr>
        <w:top w:val="none" w:sz="0" w:space="0" w:color="auto"/>
        <w:left w:val="none" w:sz="0" w:space="0" w:color="auto"/>
        <w:bottom w:val="none" w:sz="0" w:space="0" w:color="auto"/>
        <w:right w:val="none" w:sz="0" w:space="0" w:color="auto"/>
      </w:divBdr>
    </w:div>
    <w:div w:id="1246644971">
      <w:bodyDiv w:val="1"/>
      <w:marLeft w:val="0"/>
      <w:marRight w:val="0"/>
      <w:marTop w:val="0"/>
      <w:marBottom w:val="0"/>
      <w:divBdr>
        <w:top w:val="none" w:sz="0" w:space="0" w:color="auto"/>
        <w:left w:val="none" w:sz="0" w:space="0" w:color="auto"/>
        <w:bottom w:val="none" w:sz="0" w:space="0" w:color="auto"/>
        <w:right w:val="none" w:sz="0" w:space="0" w:color="auto"/>
      </w:divBdr>
    </w:div>
    <w:div w:id="1597857800">
      <w:bodyDiv w:val="1"/>
      <w:marLeft w:val="0"/>
      <w:marRight w:val="0"/>
      <w:marTop w:val="0"/>
      <w:marBottom w:val="0"/>
      <w:divBdr>
        <w:top w:val="none" w:sz="0" w:space="0" w:color="auto"/>
        <w:left w:val="none" w:sz="0" w:space="0" w:color="auto"/>
        <w:bottom w:val="none" w:sz="0" w:space="0" w:color="auto"/>
        <w:right w:val="none" w:sz="0" w:space="0" w:color="auto"/>
      </w:divBdr>
    </w:div>
    <w:div w:id="1603343700">
      <w:bodyDiv w:val="1"/>
      <w:marLeft w:val="0"/>
      <w:marRight w:val="0"/>
      <w:marTop w:val="0"/>
      <w:marBottom w:val="0"/>
      <w:divBdr>
        <w:top w:val="none" w:sz="0" w:space="0" w:color="auto"/>
        <w:left w:val="none" w:sz="0" w:space="0" w:color="auto"/>
        <w:bottom w:val="none" w:sz="0" w:space="0" w:color="auto"/>
        <w:right w:val="none" w:sz="0" w:space="0" w:color="auto"/>
      </w:divBdr>
    </w:div>
    <w:div w:id="1750888309">
      <w:bodyDiv w:val="1"/>
      <w:marLeft w:val="0"/>
      <w:marRight w:val="0"/>
      <w:marTop w:val="0"/>
      <w:marBottom w:val="0"/>
      <w:divBdr>
        <w:top w:val="none" w:sz="0" w:space="0" w:color="auto"/>
        <w:left w:val="none" w:sz="0" w:space="0" w:color="auto"/>
        <w:bottom w:val="none" w:sz="0" w:space="0" w:color="auto"/>
        <w:right w:val="none" w:sz="0" w:space="0" w:color="auto"/>
      </w:divBdr>
    </w:div>
    <w:div w:id="20470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ul\Documents\Mastercard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Documents\Mastercardfig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ul\Documents\PrivatescattersdataJan22figuresfina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1: Imputed overall drop out rates for lower secondary education in selected countries in SSA, 2018/lya</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datadropout!$A$1:$A$19</c:f>
              <c:strCache>
                <c:ptCount val="19"/>
                <c:pt idx="0">
                  <c:v>Kenya</c:v>
                </c:pt>
                <c:pt idx="1">
                  <c:v>Tanzania</c:v>
                </c:pt>
                <c:pt idx="2">
                  <c:v>Sierra Leone</c:v>
                </c:pt>
                <c:pt idx="3">
                  <c:v>Sudan</c:v>
                </c:pt>
                <c:pt idx="4">
                  <c:v>Guinea</c:v>
                </c:pt>
                <c:pt idx="5">
                  <c:v>Gambia</c:v>
                </c:pt>
                <c:pt idx="6">
                  <c:v>Zambia</c:v>
                </c:pt>
                <c:pt idx="7">
                  <c:v>Cameroon</c:v>
                </c:pt>
                <c:pt idx="8">
                  <c:v>Rwanda</c:v>
                </c:pt>
                <c:pt idx="9">
                  <c:v>Togo</c:v>
                </c:pt>
                <c:pt idx="10">
                  <c:v>Lesotho</c:v>
                </c:pt>
                <c:pt idx="11">
                  <c:v>Madagascar</c:v>
                </c:pt>
                <c:pt idx="12">
                  <c:v>Ghana </c:v>
                </c:pt>
                <c:pt idx="13">
                  <c:v>Cote d'Ivoire</c:v>
                </c:pt>
                <c:pt idx="14">
                  <c:v>Ethiopia</c:v>
                </c:pt>
                <c:pt idx="15">
                  <c:v>Burundi</c:v>
                </c:pt>
                <c:pt idx="16">
                  <c:v>Malawi</c:v>
                </c:pt>
                <c:pt idx="17">
                  <c:v>Senegal</c:v>
                </c:pt>
                <c:pt idx="18">
                  <c:v>Benin</c:v>
                </c:pt>
              </c:strCache>
            </c:strRef>
          </c:cat>
          <c:val>
            <c:numRef>
              <c:f>datadropout!$B$1:$B$19</c:f>
              <c:numCache>
                <c:formatCode>General</c:formatCode>
                <c:ptCount val="19"/>
                <c:pt idx="0">
                  <c:v>21.6</c:v>
                </c:pt>
                <c:pt idx="1">
                  <c:v>21.6</c:v>
                </c:pt>
                <c:pt idx="2">
                  <c:v>24.9</c:v>
                </c:pt>
                <c:pt idx="3">
                  <c:v>25.2</c:v>
                </c:pt>
                <c:pt idx="4">
                  <c:v>26</c:v>
                </c:pt>
                <c:pt idx="5">
                  <c:v>28.1</c:v>
                </c:pt>
                <c:pt idx="6">
                  <c:v>30.9</c:v>
                </c:pt>
                <c:pt idx="7">
                  <c:v>32.6</c:v>
                </c:pt>
                <c:pt idx="8">
                  <c:v>35.6</c:v>
                </c:pt>
                <c:pt idx="9">
                  <c:v>38.799999999999997</c:v>
                </c:pt>
                <c:pt idx="10">
                  <c:v>40.200000000000003</c:v>
                </c:pt>
                <c:pt idx="11">
                  <c:v>42.8</c:v>
                </c:pt>
                <c:pt idx="12">
                  <c:v>44.5</c:v>
                </c:pt>
                <c:pt idx="13">
                  <c:v>50.1</c:v>
                </c:pt>
                <c:pt idx="14">
                  <c:v>50.6</c:v>
                </c:pt>
                <c:pt idx="15">
                  <c:v>52</c:v>
                </c:pt>
                <c:pt idx="16">
                  <c:v>53.8</c:v>
                </c:pt>
                <c:pt idx="17">
                  <c:v>59.9</c:v>
                </c:pt>
                <c:pt idx="18">
                  <c:v>74.8</c:v>
                </c:pt>
              </c:numCache>
            </c:numRef>
          </c:val>
        </c:ser>
        <c:dLbls>
          <c:showLegendKey val="0"/>
          <c:showVal val="0"/>
          <c:showCatName val="0"/>
          <c:showSerName val="0"/>
          <c:showPercent val="0"/>
          <c:showBubbleSize val="0"/>
        </c:dLbls>
        <c:gapWidth val="219"/>
        <c:overlap val="-27"/>
        <c:axId val="261114368"/>
        <c:axId val="261111104"/>
      </c:barChart>
      <c:catAx>
        <c:axId val="26111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111104"/>
        <c:crosses val="autoZero"/>
        <c:auto val="1"/>
        <c:lblAlgn val="ctr"/>
        <c:lblOffset val="100"/>
        <c:noMultiLvlLbl val="0"/>
      </c:catAx>
      <c:valAx>
        <c:axId val="26111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114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2</a:t>
            </a:r>
            <a:r>
              <a:rPr lang="en-GB" baseline="0"/>
              <a:t>: Public expenditure on secondary education as a percentage of GDP, 2018/latest year available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'[UISeducationspending%GDP.xml]Sheet3'!$A$4:$A$34</c:f>
              <c:strCache>
                <c:ptCount val="31"/>
                <c:pt idx="0">
                  <c:v>DRC</c:v>
                </c:pt>
                <c:pt idx="1">
                  <c:v>CAR</c:v>
                </c:pt>
                <c:pt idx="2">
                  <c:v>Uganda</c:v>
                </c:pt>
                <c:pt idx="3">
                  <c:v>Niger</c:v>
                </c:pt>
                <c:pt idx="4">
                  <c:v>Chad</c:v>
                </c:pt>
                <c:pt idx="5">
                  <c:v>Guinea</c:v>
                </c:pt>
                <c:pt idx="6">
                  <c:v>Madagascar</c:v>
                </c:pt>
                <c:pt idx="7">
                  <c:v>Guinea-Bissau</c:v>
                </c:pt>
                <c:pt idx="8">
                  <c:v>Tanzania</c:v>
                </c:pt>
                <c:pt idx="9">
                  <c:v>Benin</c:v>
                </c:pt>
                <c:pt idx="10">
                  <c:v>Gabon</c:v>
                </c:pt>
                <c:pt idx="11">
                  <c:v>Senegal</c:v>
                </c:pt>
                <c:pt idx="12">
                  <c:v>Ethiopia</c:v>
                </c:pt>
                <c:pt idx="13">
                  <c:v>Zambia</c:v>
                </c:pt>
                <c:pt idx="14">
                  <c:v>Côte d'Ivoire</c:v>
                </c:pt>
                <c:pt idx="15">
                  <c:v>Rwanda</c:v>
                </c:pt>
                <c:pt idx="16">
                  <c:v>Sierra Leone</c:v>
                </c:pt>
                <c:pt idx="17">
                  <c:v>Malawi</c:v>
                </c:pt>
                <c:pt idx="18">
                  <c:v>Burundi</c:v>
                </c:pt>
                <c:pt idx="19">
                  <c:v>Liberia</c:v>
                </c:pt>
                <c:pt idx="20">
                  <c:v>Mali</c:v>
                </c:pt>
                <c:pt idx="21">
                  <c:v>Ghana</c:v>
                </c:pt>
                <c:pt idx="22">
                  <c:v>Burkina Faso</c:v>
                </c:pt>
                <c:pt idx="23">
                  <c:v>Cameroon</c:v>
                </c:pt>
                <c:pt idx="24">
                  <c:v>Mozambique</c:v>
                </c:pt>
                <c:pt idx="25">
                  <c:v>South Africa</c:v>
                </c:pt>
                <c:pt idx="26">
                  <c:v>Congo</c:v>
                </c:pt>
                <c:pt idx="27">
                  <c:v>Namibia</c:v>
                </c:pt>
                <c:pt idx="28">
                  <c:v>Lesotho</c:v>
                </c:pt>
                <c:pt idx="29">
                  <c:v>Kenya</c:v>
                </c:pt>
                <c:pt idx="30">
                  <c:v>Eswatini</c:v>
                </c:pt>
              </c:strCache>
            </c:strRef>
          </c:cat>
          <c:val>
            <c:numRef>
              <c:f>'[UISeducationspending%GDP.xml]Sheet3'!$B$4:$B$34</c:f>
              <c:numCache>
                <c:formatCode>0.0</c:formatCode>
                <c:ptCount val="31"/>
                <c:pt idx="0">
                  <c:v>0.2</c:v>
                </c:pt>
                <c:pt idx="1">
                  <c:v>0.26</c:v>
                </c:pt>
                <c:pt idx="2">
                  <c:v>0.38349360000000005</c:v>
                </c:pt>
                <c:pt idx="3">
                  <c:v>0.42566520000000002</c:v>
                </c:pt>
                <c:pt idx="4">
                  <c:v>0.48</c:v>
                </c:pt>
                <c:pt idx="5">
                  <c:v>0.48634739999999999</c:v>
                </c:pt>
                <c:pt idx="6">
                  <c:v>0.54531956999999998</c:v>
                </c:pt>
                <c:pt idx="7">
                  <c:v>0.63</c:v>
                </c:pt>
                <c:pt idx="8">
                  <c:v>0.67644852</c:v>
                </c:pt>
                <c:pt idx="9">
                  <c:v>0.69535088999999994</c:v>
                </c:pt>
                <c:pt idx="10">
                  <c:v>0.78</c:v>
                </c:pt>
                <c:pt idx="11">
                  <c:v>0.81199104000000011</c:v>
                </c:pt>
                <c:pt idx="12">
                  <c:v>0.85</c:v>
                </c:pt>
                <c:pt idx="13">
                  <c:v>1.0760149699999999</c:v>
                </c:pt>
                <c:pt idx="14">
                  <c:v>1.1428665299999998</c:v>
                </c:pt>
                <c:pt idx="15">
                  <c:v>1.1741725000000001</c:v>
                </c:pt>
                <c:pt idx="16">
                  <c:v>1.3350193299999999</c:v>
                </c:pt>
                <c:pt idx="17">
                  <c:v>1.3484442399999998</c:v>
                </c:pt>
                <c:pt idx="18">
                  <c:v>1.3610781999999999</c:v>
                </c:pt>
                <c:pt idx="19">
                  <c:v>1.3773359600000001</c:v>
                </c:pt>
                <c:pt idx="20">
                  <c:v>1.4</c:v>
                </c:pt>
                <c:pt idx="21">
                  <c:v>1.4760928</c:v>
                </c:pt>
                <c:pt idx="22">
                  <c:v>1.4913098300000003</c:v>
                </c:pt>
                <c:pt idx="23">
                  <c:v>1.6470112000000001</c:v>
                </c:pt>
                <c:pt idx="24">
                  <c:v>1.6829541000000001</c:v>
                </c:pt>
                <c:pt idx="25">
                  <c:v>1.83537902</c:v>
                </c:pt>
                <c:pt idx="26">
                  <c:v>1.87138965</c:v>
                </c:pt>
                <c:pt idx="27">
                  <c:v>1.95</c:v>
                </c:pt>
                <c:pt idx="28">
                  <c:v>2.0955569999999999</c:v>
                </c:pt>
                <c:pt idx="29">
                  <c:v>2.2180124999999999</c:v>
                </c:pt>
                <c:pt idx="30">
                  <c:v>2.4</c:v>
                </c:pt>
              </c:numCache>
            </c:numRef>
          </c:val>
        </c:ser>
        <c:dLbls>
          <c:showLegendKey val="0"/>
          <c:showVal val="0"/>
          <c:showCatName val="0"/>
          <c:showSerName val="0"/>
          <c:showPercent val="0"/>
          <c:showBubbleSize val="0"/>
        </c:dLbls>
        <c:gapWidth val="219"/>
        <c:overlap val="-27"/>
        <c:axId val="261119808"/>
        <c:axId val="261120352"/>
      </c:barChart>
      <c:catAx>
        <c:axId val="26111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120352"/>
        <c:crosses val="autoZero"/>
        <c:auto val="1"/>
        <c:lblAlgn val="ctr"/>
        <c:lblOffset val="100"/>
        <c:noMultiLvlLbl val="0"/>
      </c:catAx>
      <c:valAx>
        <c:axId val="2611203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119808"/>
        <c:crosses val="autoZero"/>
        <c:crossBetween val="between"/>
      </c:valAx>
      <c:spPr>
        <a:noFill/>
        <a:ln w="3175">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3: Share of private school students in total secondary school enrolments in SSA, 2018/lya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Sheet2!$B$3</c:f>
              <c:strCache>
                <c:ptCount val="1"/>
                <c:pt idx="0">
                  <c:v>aa</c:v>
                </c:pt>
              </c:strCache>
            </c:strRef>
          </c:tx>
          <c:spPr>
            <a:solidFill>
              <a:schemeClr val="accent1"/>
            </a:solidFill>
            <a:ln>
              <a:noFill/>
            </a:ln>
            <a:effectLst/>
          </c:spPr>
          <c:invertIfNegative val="0"/>
          <c:cat>
            <c:strRef>
              <c:f>Sheet2!$A$4:$A$39</c:f>
              <c:strCache>
                <c:ptCount val="36"/>
                <c:pt idx="0">
                  <c:v>Eswatini</c:v>
                </c:pt>
                <c:pt idx="1">
                  <c:v>Botswana</c:v>
                </c:pt>
                <c:pt idx="2">
                  <c:v>South Africa</c:v>
                </c:pt>
                <c:pt idx="3">
                  <c:v>Namibia</c:v>
                </c:pt>
                <c:pt idx="4">
                  <c:v>Ethiopia</c:v>
                </c:pt>
                <c:pt idx="5">
                  <c:v>Burundi</c:v>
                </c:pt>
                <c:pt idx="6">
                  <c:v>Lesotho</c:v>
                </c:pt>
                <c:pt idx="7">
                  <c:v>Guinea</c:v>
                </c:pt>
                <c:pt idx="8">
                  <c:v>Zimbabwe</c:v>
                </c:pt>
                <c:pt idx="9">
                  <c:v>Malawi</c:v>
                </c:pt>
                <c:pt idx="10">
                  <c:v>Rwanda</c:v>
                </c:pt>
                <c:pt idx="11">
                  <c:v>Kenya</c:v>
                </c:pt>
                <c:pt idx="12">
                  <c:v>Mozambique</c:v>
                </c:pt>
                <c:pt idx="13">
                  <c:v>Sierra Leone</c:v>
                </c:pt>
                <c:pt idx="14">
                  <c:v>Niger</c:v>
                </c:pt>
                <c:pt idx="15">
                  <c:v>Chad</c:v>
                </c:pt>
                <c:pt idx="16">
                  <c:v>Ghana</c:v>
                </c:pt>
                <c:pt idx="17">
                  <c:v>Benin</c:v>
                </c:pt>
                <c:pt idx="18">
                  <c:v>Tanzania</c:v>
                </c:pt>
                <c:pt idx="19">
                  <c:v>Nigeria</c:v>
                </c:pt>
                <c:pt idx="20">
                  <c:v>DRC</c:v>
                </c:pt>
                <c:pt idx="21">
                  <c:v>Sudan</c:v>
                </c:pt>
                <c:pt idx="22">
                  <c:v>Angola</c:v>
                </c:pt>
                <c:pt idx="23">
                  <c:v>Senegal</c:v>
                </c:pt>
                <c:pt idx="24">
                  <c:v>Congo</c:v>
                </c:pt>
                <c:pt idx="25">
                  <c:v>Central African Republic</c:v>
                </c:pt>
                <c:pt idx="26">
                  <c:v>Togo</c:v>
                </c:pt>
                <c:pt idx="27">
                  <c:v>Cameroon</c:v>
                </c:pt>
                <c:pt idx="28">
                  <c:v>Gabon</c:v>
                </c:pt>
                <c:pt idx="29">
                  <c:v>Madagascar</c:v>
                </c:pt>
                <c:pt idx="30">
                  <c:v>Burkina Faso</c:v>
                </c:pt>
                <c:pt idx="31">
                  <c:v>Mali</c:v>
                </c:pt>
                <c:pt idx="32">
                  <c:v>Guinea-Bissau</c:v>
                </c:pt>
                <c:pt idx="33">
                  <c:v>Uganda</c:v>
                </c:pt>
                <c:pt idx="34">
                  <c:v>Côte d'Ivoire</c:v>
                </c:pt>
                <c:pt idx="35">
                  <c:v>Liberia</c:v>
                </c:pt>
              </c:strCache>
            </c:strRef>
          </c:cat>
          <c:val>
            <c:numRef>
              <c:f>Sheet2!$B$4:$B$39</c:f>
              <c:numCache>
                <c:formatCode>0</c:formatCode>
                <c:ptCount val="36"/>
                <c:pt idx="0">
                  <c:v>2.2986399999999998</c:v>
                </c:pt>
                <c:pt idx="1">
                  <c:v>4</c:v>
                </c:pt>
                <c:pt idx="2">
                  <c:v>4.2</c:v>
                </c:pt>
                <c:pt idx="3">
                  <c:v>5</c:v>
                </c:pt>
                <c:pt idx="4">
                  <c:v>6.6197499999999998</c:v>
                </c:pt>
                <c:pt idx="5">
                  <c:v>7.2</c:v>
                </c:pt>
                <c:pt idx="6">
                  <c:v>8</c:v>
                </c:pt>
                <c:pt idx="7">
                  <c:v>9</c:v>
                </c:pt>
                <c:pt idx="8" formatCode="General">
                  <c:v>10</c:v>
                </c:pt>
                <c:pt idx="9">
                  <c:v>10.199999999999999</c:v>
                </c:pt>
                <c:pt idx="10">
                  <c:v>12.4</c:v>
                </c:pt>
                <c:pt idx="11">
                  <c:v>13</c:v>
                </c:pt>
                <c:pt idx="12">
                  <c:v>13.3</c:v>
                </c:pt>
                <c:pt idx="13">
                  <c:v>14</c:v>
                </c:pt>
                <c:pt idx="14">
                  <c:v>14.8</c:v>
                </c:pt>
                <c:pt idx="15">
                  <c:v>15.37405</c:v>
                </c:pt>
                <c:pt idx="16">
                  <c:v>15.5</c:v>
                </c:pt>
                <c:pt idx="17">
                  <c:v>15.505710000000001</c:v>
                </c:pt>
                <c:pt idx="18">
                  <c:v>18</c:v>
                </c:pt>
                <c:pt idx="19">
                  <c:v>19</c:v>
                </c:pt>
                <c:pt idx="20">
                  <c:v>20</c:v>
                </c:pt>
                <c:pt idx="21">
                  <c:v>20.3</c:v>
                </c:pt>
                <c:pt idx="22">
                  <c:v>21.5</c:v>
                </c:pt>
                <c:pt idx="23">
                  <c:v>21.9</c:v>
                </c:pt>
                <c:pt idx="24">
                  <c:v>22</c:v>
                </c:pt>
                <c:pt idx="25">
                  <c:v>23.5</c:v>
                </c:pt>
                <c:pt idx="26">
                  <c:v>27</c:v>
                </c:pt>
                <c:pt idx="27">
                  <c:v>28.3</c:v>
                </c:pt>
                <c:pt idx="28">
                  <c:v>29</c:v>
                </c:pt>
                <c:pt idx="29">
                  <c:v>38</c:v>
                </c:pt>
                <c:pt idx="30">
                  <c:v>39.9</c:v>
                </c:pt>
                <c:pt idx="31">
                  <c:v>43.8</c:v>
                </c:pt>
                <c:pt idx="32">
                  <c:v>45</c:v>
                </c:pt>
                <c:pt idx="33">
                  <c:v>45</c:v>
                </c:pt>
                <c:pt idx="34">
                  <c:v>50.6</c:v>
                </c:pt>
                <c:pt idx="35">
                  <c:v>58.368310000000001</c:v>
                </c:pt>
              </c:numCache>
            </c:numRef>
          </c:val>
        </c:ser>
        <c:dLbls>
          <c:showLegendKey val="0"/>
          <c:showVal val="0"/>
          <c:showCatName val="0"/>
          <c:showSerName val="0"/>
          <c:showPercent val="0"/>
          <c:showBubbleSize val="0"/>
        </c:dLbls>
        <c:gapWidth val="219"/>
        <c:overlap val="-27"/>
        <c:axId val="261113280"/>
        <c:axId val="261123616"/>
      </c:barChart>
      <c:catAx>
        <c:axId val="26111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123616"/>
        <c:crosses val="autoZero"/>
        <c:auto val="1"/>
        <c:lblAlgn val="ctr"/>
        <c:lblOffset val="100"/>
        <c:noMultiLvlLbl val="0"/>
      </c:catAx>
      <c:valAx>
        <c:axId val="261123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113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8D3E5-8C7A-4CBA-800D-E4717BD5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13357</Words>
  <Characters>76140</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4</cp:revision>
  <cp:lastPrinted>2021-05-02T11:28:00Z</cp:lastPrinted>
  <dcterms:created xsi:type="dcterms:W3CDTF">2021-05-02T11:48:00Z</dcterms:created>
  <dcterms:modified xsi:type="dcterms:W3CDTF">2021-05-02T11:53:00Z</dcterms:modified>
</cp:coreProperties>
</file>