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BE2D5" w14:textId="77777777" w:rsidR="00534F8F" w:rsidRDefault="00534F8F" w:rsidP="009E7402">
      <w:pPr>
        <w:jc w:val="center"/>
        <w:rPr>
          <w:sz w:val="32"/>
          <w:szCs w:val="32"/>
        </w:rPr>
      </w:pPr>
    </w:p>
    <w:p w14:paraId="10D9FC85" w14:textId="77777777" w:rsidR="009E7402" w:rsidRPr="008F5027" w:rsidRDefault="001F5366" w:rsidP="008F5027">
      <w:pPr>
        <w:jc w:val="center"/>
        <w:rPr>
          <w:rFonts w:asciiTheme="majorHAnsi" w:hAnsiTheme="majorHAnsi" w:cstheme="majorHAnsi"/>
          <w:b/>
          <w:sz w:val="32"/>
          <w:szCs w:val="32"/>
        </w:rPr>
      </w:pPr>
      <w:r w:rsidRPr="008F5027">
        <w:rPr>
          <w:rFonts w:asciiTheme="majorHAnsi" w:hAnsiTheme="majorHAnsi" w:cstheme="majorHAnsi"/>
          <w:b/>
          <w:sz w:val="32"/>
          <w:szCs w:val="32"/>
        </w:rPr>
        <w:t>OUT OF THE SHADOW</w:t>
      </w:r>
      <w:r w:rsidR="00534F8F" w:rsidRPr="008F5027">
        <w:rPr>
          <w:rFonts w:asciiTheme="majorHAnsi" w:hAnsiTheme="majorHAnsi" w:cstheme="majorHAnsi"/>
          <w:b/>
          <w:sz w:val="32"/>
          <w:szCs w:val="32"/>
        </w:rPr>
        <w:t>S</w:t>
      </w:r>
      <w:r w:rsidR="000B10B0" w:rsidRPr="008F5027">
        <w:rPr>
          <w:rFonts w:asciiTheme="majorHAnsi" w:hAnsiTheme="majorHAnsi" w:cstheme="majorHAnsi"/>
          <w:b/>
          <w:sz w:val="32"/>
          <w:szCs w:val="32"/>
        </w:rPr>
        <w:t xml:space="preserve">: </w:t>
      </w:r>
      <w:r w:rsidR="00D95392" w:rsidRPr="008F5027">
        <w:rPr>
          <w:rFonts w:asciiTheme="majorHAnsi" w:hAnsiTheme="majorHAnsi" w:cstheme="majorHAnsi"/>
          <w:b/>
          <w:sz w:val="32"/>
          <w:szCs w:val="32"/>
        </w:rPr>
        <w:t xml:space="preserve">THE </w:t>
      </w:r>
      <w:r w:rsidR="000B10B0" w:rsidRPr="008F5027">
        <w:rPr>
          <w:rFonts w:asciiTheme="majorHAnsi" w:hAnsiTheme="majorHAnsi" w:cstheme="majorHAnsi"/>
          <w:b/>
          <w:sz w:val="32"/>
          <w:szCs w:val="32"/>
        </w:rPr>
        <w:t>INCIDENCE</w:t>
      </w:r>
      <w:r w:rsidR="00D95392" w:rsidRPr="008F5027">
        <w:rPr>
          <w:rFonts w:asciiTheme="majorHAnsi" w:hAnsiTheme="majorHAnsi" w:cstheme="majorHAnsi"/>
          <w:b/>
          <w:sz w:val="32"/>
          <w:szCs w:val="32"/>
        </w:rPr>
        <w:t xml:space="preserve"> AND </w:t>
      </w:r>
      <w:r w:rsidR="009E7402" w:rsidRPr="008F5027">
        <w:rPr>
          <w:rFonts w:asciiTheme="majorHAnsi" w:hAnsiTheme="majorHAnsi" w:cstheme="majorHAnsi"/>
          <w:b/>
          <w:sz w:val="32"/>
          <w:szCs w:val="32"/>
        </w:rPr>
        <w:t xml:space="preserve">PATTERNS </w:t>
      </w:r>
      <w:r w:rsidR="00D95392" w:rsidRPr="008F5027">
        <w:rPr>
          <w:rFonts w:asciiTheme="majorHAnsi" w:hAnsiTheme="majorHAnsi" w:cstheme="majorHAnsi"/>
          <w:b/>
          <w:sz w:val="32"/>
          <w:szCs w:val="32"/>
        </w:rPr>
        <w:t xml:space="preserve">OF PRIVATE </w:t>
      </w:r>
      <w:r w:rsidR="003E4B91" w:rsidRPr="008F5027">
        <w:rPr>
          <w:rFonts w:asciiTheme="majorHAnsi" w:hAnsiTheme="majorHAnsi" w:cstheme="majorHAnsi"/>
          <w:b/>
          <w:sz w:val="32"/>
          <w:szCs w:val="32"/>
        </w:rPr>
        <w:t>TUITION</w:t>
      </w:r>
      <w:r w:rsidR="00D95392" w:rsidRPr="008F5027">
        <w:rPr>
          <w:rFonts w:asciiTheme="majorHAnsi" w:hAnsiTheme="majorHAnsi" w:cstheme="majorHAnsi"/>
          <w:b/>
          <w:sz w:val="32"/>
          <w:szCs w:val="32"/>
        </w:rPr>
        <w:t xml:space="preserve"> </w:t>
      </w:r>
      <w:r w:rsidR="00534F8F" w:rsidRPr="008F5027">
        <w:rPr>
          <w:rFonts w:asciiTheme="majorHAnsi" w:hAnsiTheme="majorHAnsi" w:cstheme="majorHAnsi"/>
          <w:b/>
          <w:sz w:val="32"/>
          <w:szCs w:val="32"/>
        </w:rPr>
        <w:t xml:space="preserve">PROVISION </w:t>
      </w:r>
      <w:r w:rsidR="00D95392" w:rsidRPr="008F5027">
        <w:rPr>
          <w:rFonts w:asciiTheme="majorHAnsi" w:hAnsiTheme="majorHAnsi" w:cstheme="majorHAnsi"/>
          <w:b/>
          <w:sz w:val="32"/>
          <w:szCs w:val="32"/>
        </w:rPr>
        <w:t>IN FRANCOPHONE WEST AFRICA</w:t>
      </w:r>
      <w:r w:rsidR="009E7402" w:rsidRPr="008F5027">
        <w:rPr>
          <w:rFonts w:asciiTheme="majorHAnsi" w:hAnsiTheme="majorHAnsi" w:cstheme="majorHAnsi"/>
          <w:b/>
          <w:sz w:val="32"/>
          <w:szCs w:val="32"/>
        </w:rPr>
        <w:t xml:space="preserve"> </w:t>
      </w:r>
    </w:p>
    <w:p w14:paraId="15B92674" w14:textId="77777777" w:rsidR="008D3C43" w:rsidRPr="00CA4714" w:rsidRDefault="008D3C43" w:rsidP="00D95392">
      <w:pPr>
        <w:rPr>
          <w:rFonts w:asciiTheme="majorHAnsi" w:hAnsiTheme="majorHAnsi" w:cstheme="majorHAnsi"/>
          <w:sz w:val="32"/>
          <w:szCs w:val="32"/>
        </w:rPr>
      </w:pPr>
    </w:p>
    <w:p w14:paraId="7B04E317" w14:textId="77777777" w:rsidR="009E7402" w:rsidRPr="00CA4714" w:rsidRDefault="009E7402" w:rsidP="009E7402">
      <w:pPr>
        <w:jc w:val="center"/>
        <w:rPr>
          <w:rFonts w:asciiTheme="majorHAnsi" w:hAnsiTheme="majorHAnsi" w:cstheme="majorHAnsi"/>
          <w:sz w:val="32"/>
          <w:szCs w:val="32"/>
        </w:rPr>
      </w:pPr>
    </w:p>
    <w:p w14:paraId="0588D6FB" w14:textId="77777777" w:rsidR="009E7402" w:rsidRPr="00CA4714" w:rsidRDefault="00E70893" w:rsidP="009E7402">
      <w:pPr>
        <w:pStyle w:val="ListParagraph"/>
        <w:numPr>
          <w:ilvl w:val="0"/>
          <w:numId w:val="1"/>
        </w:numPr>
        <w:rPr>
          <w:rFonts w:asciiTheme="majorHAnsi" w:hAnsiTheme="majorHAnsi" w:cstheme="majorHAnsi"/>
          <w:b/>
          <w:sz w:val="28"/>
          <w:szCs w:val="28"/>
        </w:rPr>
      </w:pPr>
      <w:r w:rsidRPr="00CA4714">
        <w:rPr>
          <w:rFonts w:asciiTheme="majorHAnsi" w:hAnsiTheme="majorHAnsi" w:cstheme="majorHAnsi"/>
          <w:b/>
          <w:sz w:val="28"/>
          <w:szCs w:val="28"/>
        </w:rPr>
        <w:t>Introduction</w:t>
      </w:r>
    </w:p>
    <w:p w14:paraId="7833F381" w14:textId="581611C0" w:rsidR="00832138" w:rsidRPr="00CA4714" w:rsidRDefault="00832138" w:rsidP="00832138">
      <w:pPr>
        <w:jc w:val="both"/>
        <w:rPr>
          <w:rFonts w:asciiTheme="majorHAnsi" w:hAnsiTheme="majorHAnsi" w:cstheme="majorHAnsi"/>
          <w:sz w:val="28"/>
          <w:szCs w:val="28"/>
        </w:rPr>
      </w:pPr>
      <w:r>
        <w:rPr>
          <w:rFonts w:asciiTheme="majorHAnsi" w:hAnsiTheme="majorHAnsi" w:cstheme="majorHAnsi"/>
          <w:sz w:val="28"/>
          <w:szCs w:val="28"/>
        </w:rPr>
        <w:t xml:space="preserve">This article presents the findings of the first comprehensive analysis of the  </w:t>
      </w:r>
      <w:r w:rsidR="00FC7877">
        <w:rPr>
          <w:rFonts w:asciiTheme="majorHAnsi" w:hAnsiTheme="majorHAnsi" w:cstheme="majorHAnsi"/>
          <w:sz w:val="28"/>
          <w:szCs w:val="28"/>
        </w:rPr>
        <w:t xml:space="preserve">overall </w:t>
      </w:r>
      <w:r>
        <w:rPr>
          <w:rFonts w:asciiTheme="majorHAnsi" w:hAnsiTheme="majorHAnsi" w:cstheme="majorHAnsi"/>
          <w:sz w:val="28"/>
          <w:szCs w:val="28"/>
        </w:rPr>
        <w:t xml:space="preserve">incidence and patterns of private tuition provision across a relatively large group of countries in Sub-Saharan Africa (SSA), namely in Francophone West Africa. </w:t>
      </w:r>
      <w:r w:rsidRPr="00CA4714">
        <w:rPr>
          <w:rFonts w:asciiTheme="majorHAnsi" w:hAnsiTheme="majorHAnsi" w:cstheme="majorHAnsi"/>
          <w:sz w:val="28"/>
          <w:szCs w:val="28"/>
        </w:rPr>
        <w:t xml:space="preserve">Comprehensive national surveys </w:t>
      </w:r>
      <w:r w:rsidR="00FC7877">
        <w:rPr>
          <w:rFonts w:asciiTheme="majorHAnsi" w:hAnsiTheme="majorHAnsi" w:cstheme="majorHAnsi"/>
          <w:sz w:val="28"/>
          <w:szCs w:val="28"/>
        </w:rPr>
        <w:t xml:space="preserve">of primary schools </w:t>
      </w:r>
      <w:r w:rsidRPr="00CA4714">
        <w:rPr>
          <w:rFonts w:asciiTheme="majorHAnsi" w:hAnsiTheme="majorHAnsi" w:cstheme="majorHAnsi"/>
          <w:sz w:val="28"/>
          <w:szCs w:val="28"/>
        </w:rPr>
        <w:t xml:space="preserve">were conducted in 2014 by the Programme </w:t>
      </w:r>
      <w:proofErr w:type="spellStart"/>
      <w:r w:rsidRPr="00CA4714">
        <w:rPr>
          <w:rFonts w:asciiTheme="majorHAnsi" w:hAnsiTheme="majorHAnsi" w:cstheme="majorHAnsi"/>
          <w:sz w:val="28"/>
          <w:szCs w:val="28"/>
        </w:rPr>
        <w:t>d’analyse</w:t>
      </w:r>
      <w:proofErr w:type="spellEnd"/>
      <w:r w:rsidRPr="00CA4714">
        <w:rPr>
          <w:rFonts w:asciiTheme="majorHAnsi" w:hAnsiTheme="majorHAnsi" w:cstheme="majorHAnsi"/>
          <w:sz w:val="28"/>
          <w:szCs w:val="28"/>
        </w:rPr>
        <w:t xml:space="preserve"> des </w:t>
      </w:r>
      <w:proofErr w:type="spellStart"/>
      <w:r w:rsidRPr="00CA4714">
        <w:rPr>
          <w:rFonts w:asciiTheme="majorHAnsi" w:hAnsiTheme="majorHAnsi" w:cstheme="majorHAnsi"/>
          <w:sz w:val="28"/>
          <w:szCs w:val="28"/>
        </w:rPr>
        <w:t>systemes</w:t>
      </w:r>
      <w:proofErr w:type="spellEnd"/>
      <w:r w:rsidRPr="00CA4714">
        <w:rPr>
          <w:rFonts w:asciiTheme="majorHAnsi" w:hAnsiTheme="majorHAnsi" w:cstheme="majorHAnsi"/>
          <w:sz w:val="28"/>
          <w:szCs w:val="28"/>
        </w:rPr>
        <w:t xml:space="preserve"> </w:t>
      </w:r>
      <w:proofErr w:type="spellStart"/>
      <w:r w:rsidRPr="00CA4714">
        <w:rPr>
          <w:rFonts w:asciiTheme="majorHAnsi" w:hAnsiTheme="majorHAnsi" w:cstheme="majorHAnsi"/>
          <w:sz w:val="28"/>
          <w:szCs w:val="28"/>
        </w:rPr>
        <w:t>educatifs</w:t>
      </w:r>
      <w:proofErr w:type="spellEnd"/>
      <w:r w:rsidRPr="00CA4714">
        <w:rPr>
          <w:rFonts w:asciiTheme="majorHAnsi" w:hAnsiTheme="majorHAnsi" w:cstheme="majorHAnsi"/>
          <w:sz w:val="28"/>
          <w:szCs w:val="28"/>
        </w:rPr>
        <w:t xml:space="preserve"> de la </w:t>
      </w:r>
      <w:proofErr w:type="spellStart"/>
      <w:r w:rsidRPr="00CA4714">
        <w:rPr>
          <w:rFonts w:asciiTheme="majorHAnsi" w:hAnsiTheme="majorHAnsi" w:cstheme="majorHAnsi"/>
          <w:sz w:val="28"/>
          <w:szCs w:val="28"/>
        </w:rPr>
        <w:t>confemen</w:t>
      </w:r>
      <w:proofErr w:type="spellEnd"/>
      <w:r w:rsidRPr="00CA4714">
        <w:rPr>
          <w:rFonts w:asciiTheme="majorHAnsi" w:hAnsiTheme="majorHAnsi" w:cstheme="majorHAnsi"/>
          <w:sz w:val="28"/>
          <w:szCs w:val="28"/>
        </w:rPr>
        <w:t xml:space="preserve"> (PASEC)</w:t>
      </w:r>
      <w:r w:rsidRPr="00CA4714">
        <w:rPr>
          <w:rStyle w:val="FootnoteReference"/>
          <w:rFonts w:asciiTheme="majorHAnsi" w:hAnsiTheme="majorHAnsi" w:cstheme="majorHAnsi"/>
          <w:sz w:val="28"/>
          <w:szCs w:val="28"/>
        </w:rPr>
        <w:footnoteReference w:id="1"/>
      </w:r>
      <w:r>
        <w:rPr>
          <w:rFonts w:asciiTheme="majorHAnsi" w:hAnsiTheme="majorHAnsi" w:cstheme="majorHAnsi"/>
          <w:sz w:val="28"/>
          <w:szCs w:val="28"/>
        </w:rPr>
        <w:t xml:space="preserve"> in the following nine countries:  Benin, Burkina Faso, Cameroon, Congo, Cote d’Ivoire, Niger, Senegal, Tchad, and Togo. </w:t>
      </w:r>
      <w:r w:rsidRPr="00CA4714">
        <w:rPr>
          <w:rFonts w:asciiTheme="majorHAnsi" w:hAnsiTheme="majorHAnsi" w:cstheme="majorHAnsi"/>
          <w:sz w:val="28"/>
          <w:szCs w:val="28"/>
        </w:rPr>
        <w:t>The</w:t>
      </w:r>
      <w:r>
        <w:rPr>
          <w:rFonts w:asciiTheme="majorHAnsi" w:hAnsiTheme="majorHAnsi" w:cstheme="majorHAnsi"/>
          <w:sz w:val="28"/>
          <w:szCs w:val="28"/>
        </w:rPr>
        <w:t xml:space="preserve"> PASEC </w:t>
      </w:r>
      <w:r w:rsidRPr="00CA4714">
        <w:rPr>
          <w:rFonts w:asciiTheme="majorHAnsi" w:hAnsiTheme="majorHAnsi" w:cstheme="majorHAnsi"/>
          <w:sz w:val="28"/>
          <w:szCs w:val="28"/>
        </w:rPr>
        <w:t xml:space="preserve">surveys include information on private tutoring which enables quite in-depth analysis to be undertaken of both the overall incidence of tutoring provision among primary school students and teachers as well as patterns of provision including possible inter-relationships with formal private schooling provision. </w:t>
      </w:r>
    </w:p>
    <w:p w14:paraId="5D394EEA" w14:textId="77777777" w:rsidR="00832138" w:rsidRPr="00355F33" w:rsidRDefault="00832138" w:rsidP="00832138">
      <w:pPr>
        <w:jc w:val="both"/>
        <w:rPr>
          <w:rFonts w:asciiTheme="majorHAnsi" w:hAnsiTheme="majorHAnsi" w:cstheme="majorHAnsi"/>
          <w:i/>
          <w:sz w:val="28"/>
          <w:szCs w:val="28"/>
        </w:rPr>
      </w:pPr>
      <w:r w:rsidRPr="00355F33">
        <w:rPr>
          <w:rFonts w:asciiTheme="majorHAnsi" w:hAnsiTheme="majorHAnsi" w:cstheme="majorHAnsi"/>
          <w:i/>
          <w:sz w:val="28"/>
          <w:szCs w:val="28"/>
        </w:rPr>
        <w:t xml:space="preserve">1.1 Private tuition in Sub-Saharan Africa  </w:t>
      </w:r>
    </w:p>
    <w:p w14:paraId="6DAC04C4" w14:textId="25F9AF7C" w:rsidR="0090368B" w:rsidRPr="00CA4714" w:rsidRDefault="00702DAB" w:rsidP="00BA5B8C">
      <w:pPr>
        <w:jc w:val="both"/>
        <w:rPr>
          <w:rFonts w:asciiTheme="majorHAnsi" w:hAnsiTheme="majorHAnsi" w:cstheme="majorHAnsi"/>
          <w:sz w:val="28"/>
          <w:szCs w:val="28"/>
        </w:rPr>
      </w:pPr>
      <w:r w:rsidRPr="00CA4714">
        <w:rPr>
          <w:rFonts w:asciiTheme="majorHAnsi" w:hAnsiTheme="majorHAnsi" w:cstheme="majorHAnsi"/>
          <w:sz w:val="28"/>
          <w:szCs w:val="28"/>
        </w:rPr>
        <w:t xml:space="preserve">The rapid </w:t>
      </w:r>
      <w:r w:rsidR="009E7402" w:rsidRPr="00CA4714">
        <w:rPr>
          <w:rFonts w:asciiTheme="majorHAnsi" w:hAnsiTheme="majorHAnsi" w:cstheme="majorHAnsi"/>
          <w:sz w:val="28"/>
          <w:szCs w:val="28"/>
        </w:rPr>
        <w:t xml:space="preserve">growth of private tutoring </w:t>
      </w:r>
      <w:r w:rsidR="00CA4714">
        <w:rPr>
          <w:rFonts w:asciiTheme="majorHAnsi" w:hAnsiTheme="majorHAnsi" w:cstheme="majorHAnsi"/>
          <w:sz w:val="28"/>
          <w:szCs w:val="28"/>
        </w:rPr>
        <w:t xml:space="preserve">has been </w:t>
      </w:r>
      <w:r w:rsidR="00336E5C" w:rsidRPr="00CA4714">
        <w:rPr>
          <w:rFonts w:asciiTheme="majorHAnsi" w:hAnsiTheme="majorHAnsi" w:cstheme="majorHAnsi"/>
          <w:sz w:val="28"/>
          <w:szCs w:val="28"/>
        </w:rPr>
        <w:t xml:space="preserve">one of </w:t>
      </w:r>
      <w:r w:rsidR="009E7402" w:rsidRPr="00CA4714">
        <w:rPr>
          <w:rFonts w:asciiTheme="majorHAnsi" w:hAnsiTheme="majorHAnsi" w:cstheme="majorHAnsi"/>
          <w:sz w:val="28"/>
          <w:szCs w:val="28"/>
        </w:rPr>
        <w:t xml:space="preserve">the most important </w:t>
      </w:r>
      <w:r w:rsidR="006B7317">
        <w:rPr>
          <w:rFonts w:asciiTheme="majorHAnsi" w:hAnsiTheme="majorHAnsi" w:cstheme="majorHAnsi"/>
          <w:sz w:val="28"/>
          <w:szCs w:val="28"/>
        </w:rPr>
        <w:t xml:space="preserve">features of educational provision in both developed and </w:t>
      </w:r>
      <w:r w:rsidR="009E7402" w:rsidRPr="00CA4714">
        <w:rPr>
          <w:rFonts w:asciiTheme="majorHAnsi" w:hAnsiTheme="majorHAnsi" w:cstheme="majorHAnsi"/>
          <w:sz w:val="28"/>
          <w:szCs w:val="28"/>
        </w:rPr>
        <w:t xml:space="preserve">developing </w:t>
      </w:r>
      <w:r w:rsidR="006B7317">
        <w:rPr>
          <w:rFonts w:asciiTheme="majorHAnsi" w:hAnsiTheme="majorHAnsi" w:cstheme="majorHAnsi"/>
          <w:sz w:val="28"/>
          <w:szCs w:val="28"/>
        </w:rPr>
        <w:t xml:space="preserve">countries </w:t>
      </w:r>
      <w:r w:rsidR="009E7402" w:rsidRPr="00CA4714">
        <w:rPr>
          <w:rFonts w:asciiTheme="majorHAnsi" w:hAnsiTheme="majorHAnsi" w:cstheme="majorHAnsi"/>
          <w:sz w:val="28"/>
          <w:szCs w:val="28"/>
        </w:rPr>
        <w:t>during the last three decades</w:t>
      </w:r>
      <w:r w:rsidR="00336E5C" w:rsidRPr="00CA4714">
        <w:rPr>
          <w:rFonts w:asciiTheme="majorHAnsi" w:hAnsiTheme="majorHAnsi" w:cstheme="majorHAnsi"/>
          <w:sz w:val="28"/>
          <w:szCs w:val="28"/>
        </w:rPr>
        <w:t xml:space="preserve"> which has generated considerable interest among both academic researchers and education policymakers</w:t>
      </w:r>
      <w:r w:rsidR="009E7402" w:rsidRPr="00CA4714">
        <w:rPr>
          <w:rFonts w:asciiTheme="majorHAnsi" w:hAnsiTheme="majorHAnsi" w:cstheme="majorHAnsi"/>
          <w:sz w:val="28"/>
          <w:szCs w:val="28"/>
        </w:rPr>
        <w:t xml:space="preserve">. </w:t>
      </w:r>
      <w:r w:rsidR="00336E5C" w:rsidRPr="00CA4714">
        <w:rPr>
          <w:rFonts w:asciiTheme="majorHAnsi" w:hAnsiTheme="majorHAnsi" w:cstheme="majorHAnsi"/>
          <w:sz w:val="28"/>
          <w:szCs w:val="28"/>
        </w:rPr>
        <w:t>Along with the rapid increase in private school</w:t>
      </w:r>
      <w:r w:rsidR="002B0725" w:rsidRPr="00CA4714">
        <w:rPr>
          <w:rFonts w:asciiTheme="majorHAnsi" w:hAnsiTheme="majorHAnsi" w:cstheme="majorHAnsi"/>
          <w:sz w:val="28"/>
          <w:szCs w:val="28"/>
        </w:rPr>
        <w:t xml:space="preserve"> enrolments</w:t>
      </w:r>
      <w:r w:rsidR="00336E5C" w:rsidRPr="00CA4714">
        <w:rPr>
          <w:rFonts w:asciiTheme="majorHAnsi" w:hAnsiTheme="majorHAnsi" w:cstheme="majorHAnsi"/>
          <w:sz w:val="28"/>
          <w:szCs w:val="28"/>
        </w:rPr>
        <w:t xml:space="preserve">, </w:t>
      </w:r>
      <w:r w:rsidR="00361AE8" w:rsidRPr="00CA4714">
        <w:rPr>
          <w:rFonts w:asciiTheme="majorHAnsi" w:hAnsiTheme="majorHAnsi" w:cstheme="majorHAnsi"/>
          <w:sz w:val="28"/>
          <w:szCs w:val="28"/>
        </w:rPr>
        <w:t>th</w:t>
      </w:r>
      <w:r w:rsidR="0090368B" w:rsidRPr="00CA4714">
        <w:rPr>
          <w:rFonts w:asciiTheme="majorHAnsi" w:hAnsiTheme="majorHAnsi" w:cstheme="majorHAnsi"/>
          <w:sz w:val="28"/>
          <w:szCs w:val="28"/>
        </w:rPr>
        <w:t xml:space="preserve">e pervasiveness of private tutoring is widely seen as being symptomatic of a wider process of </w:t>
      </w:r>
      <w:r w:rsidR="00C40EA5" w:rsidRPr="00CA4714">
        <w:rPr>
          <w:rFonts w:asciiTheme="majorHAnsi" w:hAnsiTheme="majorHAnsi" w:cstheme="majorHAnsi"/>
          <w:sz w:val="28"/>
          <w:szCs w:val="28"/>
        </w:rPr>
        <w:t>education</w:t>
      </w:r>
      <w:r w:rsidR="00CA4714">
        <w:rPr>
          <w:rFonts w:asciiTheme="majorHAnsi" w:hAnsiTheme="majorHAnsi" w:cstheme="majorHAnsi"/>
          <w:sz w:val="28"/>
          <w:szCs w:val="28"/>
        </w:rPr>
        <w:t>al</w:t>
      </w:r>
      <w:r w:rsidR="00C40EA5" w:rsidRPr="00CA4714">
        <w:rPr>
          <w:rFonts w:asciiTheme="majorHAnsi" w:hAnsiTheme="majorHAnsi" w:cstheme="majorHAnsi"/>
          <w:sz w:val="28"/>
          <w:szCs w:val="28"/>
        </w:rPr>
        <w:t xml:space="preserve"> </w:t>
      </w:r>
      <w:r w:rsidR="0090368B" w:rsidRPr="00CA4714">
        <w:rPr>
          <w:rFonts w:asciiTheme="majorHAnsi" w:hAnsiTheme="majorHAnsi" w:cstheme="majorHAnsi"/>
          <w:sz w:val="28"/>
          <w:szCs w:val="28"/>
        </w:rPr>
        <w:t xml:space="preserve">privatisation </w:t>
      </w:r>
      <w:r w:rsidR="006B7317">
        <w:rPr>
          <w:rFonts w:asciiTheme="majorHAnsi" w:hAnsiTheme="majorHAnsi" w:cstheme="majorHAnsi"/>
          <w:sz w:val="28"/>
          <w:szCs w:val="28"/>
        </w:rPr>
        <w:t>worldwide</w:t>
      </w:r>
      <w:r w:rsidR="0090368B" w:rsidRPr="00CA4714">
        <w:rPr>
          <w:rFonts w:asciiTheme="majorHAnsi" w:hAnsiTheme="majorHAnsi" w:cstheme="majorHAnsi"/>
          <w:sz w:val="28"/>
          <w:szCs w:val="28"/>
        </w:rPr>
        <w:t xml:space="preserve">. </w:t>
      </w:r>
    </w:p>
    <w:p w14:paraId="21F4EF19" w14:textId="77777777" w:rsidR="00355F33" w:rsidRDefault="00587248" w:rsidP="00152627">
      <w:pPr>
        <w:jc w:val="both"/>
        <w:rPr>
          <w:rFonts w:asciiTheme="majorHAnsi" w:hAnsiTheme="majorHAnsi" w:cstheme="majorHAnsi"/>
          <w:sz w:val="28"/>
          <w:szCs w:val="28"/>
        </w:rPr>
      </w:pPr>
      <w:r w:rsidRPr="00CA4714">
        <w:rPr>
          <w:rFonts w:asciiTheme="majorHAnsi" w:hAnsiTheme="majorHAnsi" w:cstheme="majorHAnsi"/>
          <w:sz w:val="28"/>
          <w:szCs w:val="28"/>
        </w:rPr>
        <w:t xml:space="preserve">The </w:t>
      </w:r>
      <w:r w:rsidR="00CC53AC">
        <w:rPr>
          <w:rFonts w:asciiTheme="majorHAnsi" w:hAnsiTheme="majorHAnsi" w:cstheme="majorHAnsi"/>
          <w:sz w:val="28"/>
          <w:szCs w:val="28"/>
        </w:rPr>
        <w:t xml:space="preserve">simplest definition of private </w:t>
      </w:r>
      <w:r w:rsidR="00CC53AC" w:rsidRPr="00CC53AC">
        <w:rPr>
          <w:rFonts w:asciiTheme="majorHAnsi" w:hAnsiTheme="majorHAnsi" w:cstheme="majorHAnsi"/>
          <w:sz w:val="28"/>
          <w:szCs w:val="28"/>
        </w:rPr>
        <w:t>tuition is</w:t>
      </w:r>
      <w:r w:rsidR="00CC53AC">
        <w:rPr>
          <w:rFonts w:asciiTheme="majorHAnsi" w:hAnsiTheme="majorHAnsi" w:cstheme="majorHAnsi"/>
          <w:sz w:val="28"/>
          <w:szCs w:val="28"/>
        </w:rPr>
        <w:t xml:space="preserve"> that is </w:t>
      </w:r>
      <w:r w:rsidR="00CC53AC" w:rsidRPr="00CC53AC">
        <w:rPr>
          <w:rFonts w:asciiTheme="majorHAnsi" w:hAnsiTheme="majorHAnsi" w:cstheme="majorHAnsi"/>
          <w:sz w:val="28"/>
          <w:szCs w:val="28"/>
        </w:rPr>
        <w:t xml:space="preserve">‘primarily concerned with tutoring provided by private entrepreneurs and individuals for profit-making purposes’ (Bray, 1999). </w:t>
      </w:r>
      <w:r w:rsidR="0029626E" w:rsidRPr="00CA4714">
        <w:rPr>
          <w:rFonts w:asciiTheme="majorHAnsi" w:hAnsiTheme="majorHAnsi" w:cstheme="majorHAnsi"/>
          <w:sz w:val="28"/>
          <w:szCs w:val="28"/>
        </w:rPr>
        <w:t>I</w:t>
      </w:r>
      <w:r w:rsidR="00DA2BBA" w:rsidRPr="00CA4714">
        <w:rPr>
          <w:rFonts w:asciiTheme="majorHAnsi" w:hAnsiTheme="majorHAnsi" w:cstheme="majorHAnsi"/>
          <w:sz w:val="28"/>
          <w:szCs w:val="28"/>
        </w:rPr>
        <w:t xml:space="preserve">t is </w:t>
      </w:r>
      <w:r w:rsidR="00336E5C" w:rsidRPr="00CA4714">
        <w:rPr>
          <w:rFonts w:asciiTheme="majorHAnsi" w:hAnsiTheme="majorHAnsi" w:cstheme="majorHAnsi"/>
          <w:sz w:val="28"/>
          <w:szCs w:val="28"/>
        </w:rPr>
        <w:t xml:space="preserve">widely </w:t>
      </w:r>
      <w:r w:rsidR="00DA2BBA" w:rsidRPr="00CA4714">
        <w:rPr>
          <w:rFonts w:asciiTheme="majorHAnsi" w:hAnsiTheme="majorHAnsi" w:cstheme="majorHAnsi"/>
          <w:sz w:val="28"/>
          <w:szCs w:val="28"/>
        </w:rPr>
        <w:t xml:space="preserve">contended that </w:t>
      </w:r>
      <w:r w:rsidR="009E7402" w:rsidRPr="00CA4714">
        <w:rPr>
          <w:rFonts w:asciiTheme="majorHAnsi" w:hAnsiTheme="majorHAnsi" w:cstheme="majorHAnsi"/>
          <w:sz w:val="28"/>
          <w:szCs w:val="28"/>
        </w:rPr>
        <w:t>th</w:t>
      </w:r>
      <w:r w:rsidR="00336E5C" w:rsidRPr="00CA4714">
        <w:rPr>
          <w:rFonts w:asciiTheme="majorHAnsi" w:hAnsiTheme="majorHAnsi" w:cstheme="majorHAnsi"/>
          <w:sz w:val="28"/>
          <w:szCs w:val="28"/>
        </w:rPr>
        <w:t xml:space="preserve">e extent of private tutoring </w:t>
      </w:r>
      <w:r w:rsidR="0029626E" w:rsidRPr="00CA4714">
        <w:rPr>
          <w:rFonts w:asciiTheme="majorHAnsi" w:hAnsiTheme="majorHAnsi" w:cstheme="majorHAnsi"/>
          <w:sz w:val="28"/>
          <w:szCs w:val="28"/>
        </w:rPr>
        <w:t xml:space="preserve">among </w:t>
      </w:r>
      <w:r w:rsidR="00336E5C" w:rsidRPr="00CA4714">
        <w:rPr>
          <w:rFonts w:asciiTheme="majorHAnsi" w:hAnsiTheme="majorHAnsi" w:cstheme="majorHAnsi"/>
          <w:sz w:val="28"/>
          <w:szCs w:val="28"/>
        </w:rPr>
        <w:t xml:space="preserve">both primary and secondary </w:t>
      </w:r>
      <w:r w:rsidR="002B0725" w:rsidRPr="00CA4714">
        <w:rPr>
          <w:rFonts w:asciiTheme="majorHAnsi" w:hAnsiTheme="majorHAnsi" w:cstheme="majorHAnsi"/>
          <w:sz w:val="28"/>
          <w:szCs w:val="28"/>
        </w:rPr>
        <w:t xml:space="preserve">school </w:t>
      </w:r>
      <w:r w:rsidR="00336E5C" w:rsidRPr="00CA4714">
        <w:rPr>
          <w:rFonts w:asciiTheme="majorHAnsi" w:hAnsiTheme="majorHAnsi" w:cstheme="majorHAnsi"/>
          <w:sz w:val="28"/>
          <w:szCs w:val="28"/>
        </w:rPr>
        <w:t xml:space="preserve">students </w:t>
      </w:r>
      <w:r w:rsidR="009E7402" w:rsidRPr="00CA4714">
        <w:rPr>
          <w:rFonts w:asciiTheme="majorHAnsi" w:hAnsiTheme="majorHAnsi" w:cstheme="majorHAnsi"/>
          <w:sz w:val="28"/>
          <w:szCs w:val="28"/>
        </w:rPr>
        <w:t xml:space="preserve">is </w:t>
      </w:r>
      <w:r w:rsidR="0090368B" w:rsidRPr="00CA4714">
        <w:rPr>
          <w:rFonts w:asciiTheme="majorHAnsi" w:hAnsiTheme="majorHAnsi" w:cstheme="majorHAnsi"/>
          <w:sz w:val="28"/>
          <w:szCs w:val="28"/>
        </w:rPr>
        <w:t>such that</w:t>
      </w:r>
      <w:r w:rsidR="0029626E" w:rsidRPr="00CA4714">
        <w:rPr>
          <w:rFonts w:asciiTheme="majorHAnsi" w:hAnsiTheme="majorHAnsi" w:cstheme="majorHAnsi"/>
          <w:sz w:val="28"/>
          <w:szCs w:val="28"/>
        </w:rPr>
        <w:t>,</w:t>
      </w:r>
      <w:r w:rsidR="0090368B" w:rsidRPr="00CA4714">
        <w:rPr>
          <w:rFonts w:asciiTheme="majorHAnsi" w:hAnsiTheme="majorHAnsi" w:cstheme="majorHAnsi"/>
          <w:sz w:val="28"/>
          <w:szCs w:val="28"/>
        </w:rPr>
        <w:t xml:space="preserve"> in many countries</w:t>
      </w:r>
      <w:r w:rsidR="0029626E" w:rsidRPr="00CA4714">
        <w:rPr>
          <w:rFonts w:asciiTheme="majorHAnsi" w:hAnsiTheme="majorHAnsi" w:cstheme="majorHAnsi"/>
          <w:sz w:val="28"/>
          <w:szCs w:val="28"/>
        </w:rPr>
        <w:t>,</w:t>
      </w:r>
      <w:r w:rsidR="0090368B" w:rsidRPr="00CA4714">
        <w:rPr>
          <w:rFonts w:asciiTheme="majorHAnsi" w:hAnsiTheme="majorHAnsi" w:cstheme="majorHAnsi"/>
          <w:sz w:val="28"/>
          <w:szCs w:val="28"/>
        </w:rPr>
        <w:t xml:space="preserve"> it </w:t>
      </w:r>
      <w:r w:rsidR="00336E5C" w:rsidRPr="00CA4714">
        <w:rPr>
          <w:rFonts w:asciiTheme="majorHAnsi" w:hAnsiTheme="majorHAnsi" w:cstheme="majorHAnsi"/>
          <w:sz w:val="28"/>
          <w:szCs w:val="28"/>
        </w:rPr>
        <w:t xml:space="preserve">represents a </w:t>
      </w:r>
      <w:r w:rsidR="00152627" w:rsidRPr="00CA4714">
        <w:rPr>
          <w:rFonts w:asciiTheme="majorHAnsi" w:hAnsiTheme="majorHAnsi" w:cstheme="majorHAnsi"/>
          <w:sz w:val="28"/>
          <w:szCs w:val="28"/>
        </w:rPr>
        <w:t>‘</w:t>
      </w:r>
      <w:r w:rsidR="00336E5C" w:rsidRPr="00CA4714">
        <w:rPr>
          <w:rFonts w:asciiTheme="majorHAnsi" w:hAnsiTheme="majorHAnsi" w:cstheme="majorHAnsi"/>
          <w:sz w:val="28"/>
          <w:szCs w:val="28"/>
        </w:rPr>
        <w:t>shadow</w:t>
      </w:r>
      <w:r w:rsidR="00152627" w:rsidRPr="00CA4714">
        <w:rPr>
          <w:rFonts w:asciiTheme="majorHAnsi" w:hAnsiTheme="majorHAnsi" w:cstheme="majorHAnsi"/>
          <w:sz w:val="28"/>
          <w:szCs w:val="28"/>
        </w:rPr>
        <w:t>’</w:t>
      </w:r>
      <w:r w:rsidR="00336E5C" w:rsidRPr="00CA4714">
        <w:rPr>
          <w:rFonts w:asciiTheme="majorHAnsi" w:hAnsiTheme="majorHAnsi" w:cstheme="majorHAnsi"/>
          <w:sz w:val="28"/>
          <w:szCs w:val="28"/>
        </w:rPr>
        <w:t xml:space="preserve"> education system operating in parallel to form</w:t>
      </w:r>
      <w:r w:rsidRPr="00CA4714">
        <w:rPr>
          <w:rFonts w:asciiTheme="majorHAnsi" w:hAnsiTheme="majorHAnsi" w:cstheme="majorHAnsi"/>
          <w:sz w:val="28"/>
          <w:szCs w:val="28"/>
        </w:rPr>
        <w:t>al</w:t>
      </w:r>
      <w:r w:rsidR="00336E5C" w:rsidRPr="00CA4714">
        <w:rPr>
          <w:rFonts w:asciiTheme="majorHAnsi" w:hAnsiTheme="majorHAnsi" w:cstheme="majorHAnsi"/>
          <w:sz w:val="28"/>
          <w:szCs w:val="28"/>
        </w:rPr>
        <w:t xml:space="preserve"> schooling provision.</w:t>
      </w:r>
    </w:p>
    <w:p w14:paraId="60157160" w14:textId="250D99D4" w:rsidR="00FC7877" w:rsidRDefault="00FF50F9" w:rsidP="00FC7877">
      <w:pPr>
        <w:jc w:val="both"/>
        <w:rPr>
          <w:rFonts w:asciiTheme="majorHAnsi" w:hAnsiTheme="majorHAnsi" w:cstheme="majorHAnsi"/>
          <w:sz w:val="28"/>
          <w:szCs w:val="28"/>
        </w:rPr>
      </w:pPr>
      <w:r w:rsidRPr="00CA4714">
        <w:rPr>
          <w:rFonts w:asciiTheme="majorHAnsi" w:hAnsiTheme="majorHAnsi" w:cstheme="majorHAnsi"/>
          <w:sz w:val="28"/>
          <w:szCs w:val="28"/>
        </w:rPr>
        <w:lastRenderedPageBreak/>
        <w:t>Mark Bray</w:t>
      </w:r>
      <w:r w:rsidR="00714319" w:rsidRPr="00CA4714">
        <w:rPr>
          <w:rFonts w:asciiTheme="majorHAnsi" w:hAnsiTheme="majorHAnsi" w:cstheme="majorHAnsi"/>
          <w:sz w:val="28"/>
          <w:szCs w:val="28"/>
        </w:rPr>
        <w:t xml:space="preserve">, the leading educational researcher in this area, </w:t>
      </w:r>
      <w:r w:rsidRPr="00CA4714">
        <w:rPr>
          <w:rFonts w:asciiTheme="majorHAnsi" w:hAnsiTheme="majorHAnsi" w:cstheme="majorHAnsi"/>
          <w:sz w:val="28"/>
          <w:szCs w:val="28"/>
        </w:rPr>
        <w:t xml:space="preserve">has recently comprehensively reviewed the available evidence on </w:t>
      </w:r>
      <w:r w:rsidR="00295711">
        <w:rPr>
          <w:rFonts w:asciiTheme="majorHAnsi" w:hAnsiTheme="majorHAnsi" w:cstheme="majorHAnsi"/>
          <w:sz w:val="28"/>
          <w:szCs w:val="28"/>
        </w:rPr>
        <w:t>shadow education</w:t>
      </w:r>
      <w:r w:rsidR="00E94C47" w:rsidRPr="00CA4714">
        <w:rPr>
          <w:rFonts w:asciiTheme="majorHAnsi" w:hAnsiTheme="majorHAnsi" w:cstheme="majorHAnsi"/>
          <w:sz w:val="28"/>
          <w:szCs w:val="28"/>
        </w:rPr>
        <w:t xml:space="preserve"> in </w:t>
      </w:r>
      <w:r w:rsidR="00152627" w:rsidRPr="00CA4714">
        <w:rPr>
          <w:rFonts w:asciiTheme="majorHAnsi" w:hAnsiTheme="majorHAnsi" w:cstheme="majorHAnsi"/>
          <w:sz w:val="28"/>
          <w:szCs w:val="28"/>
        </w:rPr>
        <w:t xml:space="preserve">Africa. </w:t>
      </w:r>
      <w:r w:rsidR="0029626E" w:rsidRPr="00CA4714">
        <w:rPr>
          <w:rFonts w:asciiTheme="majorHAnsi" w:hAnsiTheme="majorHAnsi" w:cstheme="majorHAnsi"/>
          <w:sz w:val="28"/>
          <w:szCs w:val="28"/>
        </w:rPr>
        <w:t>Wh</w:t>
      </w:r>
      <w:r w:rsidR="00CC53AC">
        <w:rPr>
          <w:rFonts w:asciiTheme="majorHAnsi" w:hAnsiTheme="majorHAnsi" w:cstheme="majorHAnsi"/>
          <w:sz w:val="28"/>
          <w:szCs w:val="28"/>
        </w:rPr>
        <w:t xml:space="preserve">at is most striking about this review is the </w:t>
      </w:r>
      <w:r w:rsidR="002D122A">
        <w:rPr>
          <w:rFonts w:asciiTheme="majorHAnsi" w:hAnsiTheme="majorHAnsi" w:cstheme="majorHAnsi"/>
          <w:sz w:val="28"/>
          <w:szCs w:val="28"/>
        </w:rPr>
        <w:t>paucity of robust evidence on both the overall incidence and patterns of private tuition</w:t>
      </w:r>
      <w:r w:rsidR="00C52673">
        <w:rPr>
          <w:rFonts w:asciiTheme="majorHAnsi" w:hAnsiTheme="majorHAnsi" w:cstheme="majorHAnsi"/>
          <w:sz w:val="28"/>
          <w:szCs w:val="28"/>
        </w:rPr>
        <w:t xml:space="preserve"> provision</w:t>
      </w:r>
      <w:r w:rsidR="002D122A">
        <w:rPr>
          <w:rFonts w:asciiTheme="majorHAnsi" w:hAnsiTheme="majorHAnsi" w:cstheme="majorHAnsi"/>
          <w:sz w:val="28"/>
          <w:szCs w:val="28"/>
        </w:rPr>
        <w:t xml:space="preserve"> across the continent and most especially in Sub-Saharan Africa. Bray himself notes that the </w:t>
      </w:r>
      <w:r w:rsidR="0029626E" w:rsidRPr="00CA4714">
        <w:rPr>
          <w:rFonts w:asciiTheme="majorHAnsi" w:hAnsiTheme="majorHAnsi" w:cstheme="majorHAnsi"/>
          <w:sz w:val="28"/>
          <w:szCs w:val="28"/>
        </w:rPr>
        <w:t>available data is based on ‘diverse studies with varying samples, research approaches and points in time’ (</w:t>
      </w:r>
      <w:r w:rsidR="002B0725" w:rsidRPr="00CA4714">
        <w:rPr>
          <w:rFonts w:asciiTheme="majorHAnsi" w:hAnsiTheme="majorHAnsi" w:cstheme="majorHAnsi"/>
          <w:sz w:val="28"/>
          <w:szCs w:val="28"/>
        </w:rPr>
        <w:t>2021</w:t>
      </w:r>
      <w:r w:rsidR="0029626E" w:rsidRPr="00CA4714">
        <w:rPr>
          <w:rFonts w:asciiTheme="majorHAnsi" w:hAnsiTheme="majorHAnsi" w:cstheme="majorHAnsi"/>
          <w:sz w:val="28"/>
          <w:szCs w:val="28"/>
        </w:rPr>
        <w:t>:50)</w:t>
      </w:r>
      <w:r w:rsidR="002D122A">
        <w:rPr>
          <w:rFonts w:asciiTheme="majorHAnsi" w:hAnsiTheme="majorHAnsi" w:cstheme="majorHAnsi"/>
          <w:sz w:val="28"/>
          <w:szCs w:val="28"/>
        </w:rPr>
        <w:t xml:space="preserve">. </w:t>
      </w:r>
      <w:r w:rsidR="001B218B">
        <w:rPr>
          <w:rFonts w:asciiTheme="majorHAnsi" w:hAnsiTheme="majorHAnsi" w:cstheme="majorHAnsi"/>
          <w:sz w:val="28"/>
          <w:szCs w:val="28"/>
        </w:rPr>
        <w:t>T</w:t>
      </w:r>
      <w:r w:rsidR="00562911" w:rsidRPr="00CA4714">
        <w:rPr>
          <w:rFonts w:asciiTheme="majorHAnsi" w:hAnsiTheme="majorHAnsi" w:cstheme="majorHAnsi"/>
          <w:sz w:val="28"/>
          <w:szCs w:val="28"/>
        </w:rPr>
        <w:t xml:space="preserve">he summary table of </w:t>
      </w:r>
      <w:r w:rsidR="001B218B">
        <w:rPr>
          <w:rFonts w:asciiTheme="majorHAnsi" w:hAnsiTheme="majorHAnsi" w:cstheme="majorHAnsi"/>
          <w:sz w:val="28"/>
          <w:szCs w:val="28"/>
        </w:rPr>
        <w:t xml:space="preserve">private </w:t>
      </w:r>
      <w:r w:rsidR="00562911">
        <w:rPr>
          <w:rFonts w:asciiTheme="majorHAnsi" w:hAnsiTheme="majorHAnsi" w:cstheme="majorHAnsi"/>
          <w:sz w:val="28"/>
          <w:szCs w:val="28"/>
        </w:rPr>
        <w:t xml:space="preserve">tutoring </w:t>
      </w:r>
      <w:r w:rsidR="00562911" w:rsidRPr="00CA4714">
        <w:rPr>
          <w:rFonts w:asciiTheme="majorHAnsi" w:hAnsiTheme="majorHAnsi" w:cstheme="majorHAnsi"/>
          <w:sz w:val="28"/>
          <w:szCs w:val="28"/>
        </w:rPr>
        <w:t>incidence presented in the Bray review covers only 21</w:t>
      </w:r>
      <w:r w:rsidR="00562911">
        <w:rPr>
          <w:rFonts w:asciiTheme="majorHAnsi" w:hAnsiTheme="majorHAnsi" w:cstheme="majorHAnsi"/>
          <w:sz w:val="28"/>
          <w:szCs w:val="28"/>
        </w:rPr>
        <w:t xml:space="preserve"> out of a total of 46 </w:t>
      </w:r>
      <w:r w:rsidR="00562911" w:rsidRPr="00CA4714">
        <w:rPr>
          <w:rFonts w:asciiTheme="majorHAnsi" w:hAnsiTheme="majorHAnsi" w:cstheme="majorHAnsi"/>
          <w:sz w:val="28"/>
          <w:szCs w:val="28"/>
        </w:rPr>
        <w:t>countries in the region.</w:t>
      </w:r>
      <w:r w:rsidR="00562911">
        <w:rPr>
          <w:rFonts w:asciiTheme="majorHAnsi" w:hAnsiTheme="majorHAnsi" w:cstheme="majorHAnsi"/>
          <w:sz w:val="28"/>
          <w:szCs w:val="28"/>
        </w:rPr>
        <w:t xml:space="preserve"> </w:t>
      </w:r>
      <w:r w:rsidR="00FC7877" w:rsidRPr="00562911">
        <w:rPr>
          <w:rFonts w:asciiTheme="majorHAnsi" w:hAnsiTheme="majorHAnsi" w:cstheme="majorHAnsi"/>
          <w:sz w:val="28"/>
          <w:szCs w:val="28"/>
        </w:rPr>
        <w:t xml:space="preserve">Much of the available evidence is also quite dated; the survey data in nine out of these 21 countries is more than 10 years old. </w:t>
      </w:r>
    </w:p>
    <w:p w14:paraId="5E5E31C8" w14:textId="5CF5C9BA" w:rsidR="00832138" w:rsidRDefault="008C6891" w:rsidP="00562911">
      <w:pPr>
        <w:jc w:val="both"/>
        <w:rPr>
          <w:rFonts w:asciiTheme="majorHAnsi" w:hAnsiTheme="majorHAnsi" w:cstheme="majorHAnsi"/>
          <w:sz w:val="28"/>
          <w:szCs w:val="28"/>
        </w:rPr>
      </w:pPr>
      <w:r>
        <w:rPr>
          <w:rFonts w:asciiTheme="majorHAnsi" w:hAnsiTheme="majorHAnsi" w:cstheme="majorHAnsi"/>
          <w:sz w:val="28"/>
          <w:szCs w:val="28"/>
        </w:rPr>
        <w:t>The</w:t>
      </w:r>
      <w:r w:rsidRPr="00562911">
        <w:rPr>
          <w:rFonts w:asciiTheme="majorHAnsi" w:hAnsiTheme="majorHAnsi" w:cstheme="majorHAnsi"/>
          <w:sz w:val="28"/>
          <w:szCs w:val="28"/>
        </w:rPr>
        <w:t xml:space="preserve"> </w:t>
      </w:r>
      <w:r w:rsidR="00FC7877">
        <w:rPr>
          <w:rFonts w:asciiTheme="majorHAnsi" w:hAnsiTheme="majorHAnsi" w:cstheme="majorHAnsi"/>
          <w:sz w:val="28"/>
          <w:szCs w:val="28"/>
        </w:rPr>
        <w:t xml:space="preserve">limited </w:t>
      </w:r>
      <w:r w:rsidRPr="00562911">
        <w:rPr>
          <w:rFonts w:asciiTheme="majorHAnsi" w:hAnsiTheme="majorHAnsi" w:cstheme="majorHAnsi"/>
          <w:sz w:val="28"/>
          <w:szCs w:val="28"/>
        </w:rPr>
        <w:t xml:space="preserve">data on private tutoring in SSA is most apparent in one </w:t>
      </w:r>
      <w:r>
        <w:rPr>
          <w:rFonts w:asciiTheme="majorHAnsi" w:hAnsiTheme="majorHAnsi" w:cstheme="majorHAnsi"/>
          <w:sz w:val="28"/>
          <w:szCs w:val="28"/>
        </w:rPr>
        <w:t>particular</w:t>
      </w:r>
      <w:r w:rsidRPr="00562911">
        <w:rPr>
          <w:rFonts w:asciiTheme="majorHAnsi" w:hAnsiTheme="majorHAnsi" w:cstheme="majorHAnsi"/>
          <w:sz w:val="28"/>
          <w:szCs w:val="28"/>
        </w:rPr>
        <w:t xml:space="preserve"> sub-region, namely Francophone West Africa</w:t>
      </w:r>
      <w:r w:rsidR="000F0500">
        <w:rPr>
          <w:rFonts w:asciiTheme="majorHAnsi" w:hAnsiTheme="majorHAnsi" w:cstheme="majorHAnsi"/>
          <w:sz w:val="28"/>
          <w:szCs w:val="28"/>
        </w:rPr>
        <w:t xml:space="preserve"> (FWA)</w:t>
      </w:r>
      <w:r w:rsidRPr="00562911">
        <w:rPr>
          <w:rFonts w:asciiTheme="majorHAnsi" w:hAnsiTheme="majorHAnsi" w:cstheme="majorHAnsi"/>
          <w:sz w:val="28"/>
          <w:szCs w:val="28"/>
        </w:rPr>
        <w:t xml:space="preserve">. </w:t>
      </w:r>
      <w:r>
        <w:rPr>
          <w:rFonts w:asciiTheme="majorHAnsi" w:hAnsiTheme="majorHAnsi" w:cstheme="majorHAnsi"/>
          <w:sz w:val="28"/>
          <w:szCs w:val="28"/>
        </w:rPr>
        <w:t>No national survey data is reported for these countries in the Bray review and only a handful of publications on private tuition are cited</w:t>
      </w:r>
      <w:r>
        <w:rPr>
          <w:rStyle w:val="FootnoteReference"/>
          <w:rFonts w:asciiTheme="majorHAnsi" w:hAnsiTheme="majorHAnsi" w:cstheme="majorHAnsi"/>
          <w:sz w:val="28"/>
          <w:szCs w:val="28"/>
        </w:rPr>
        <w:footnoteReference w:id="2"/>
      </w:r>
      <w:r>
        <w:rPr>
          <w:rFonts w:asciiTheme="majorHAnsi" w:hAnsiTheme="majorHAnsi" w:cstheme="majorHAnsi"/>
          <w:sz w:val="28"/>
          <w:szCs w:val="28"/>
        </w:rPr>
        <w:t xml:space="preserve">. </w:t>
      </w:r>
    </w:p>
    <w:p w14:paraId="4CD34660" w14:textId="0A784FBA" w:rsidR="008C6891" w:rsidRDefault="00832138" w:rsidP="00562911">
      <w:pPr>
        <w:jc w:val="both"/>
        <w:rPr>
          <w:rFonts w:asciiTheme="majorHAnsi" w:hAnsiTheme="majorHAnsi" w:cstheme="majorHAnsi"/>
          <w:sz w:val="28"/>
          <w:szCs w:val="28"/>
        </w:rPr>
      </w:pPr>
      <w:r>
        <w:rPr>
          <w:rFonts w:asciiTheme="majorHAnsi" w:hAnsiTheme="majorHAnsi" w:cstheme="majorHAnsi"/>
          <w:sz w:val="28"/>
          <w:szCs w:val="28"/>
        </w:rPr>
        <w:t>I</w:t>
      </w:r>
      <w:r w:rsidR="00562911">
        <w:rPr>
          <w:rFonts w:asciiTheme="majorHAnsi" w:hAnsiTheme="majorHAnsi" w:cstheme="majorHAnsi"/>
          <w:sz w:val="28"/>
          <w:szCs w:val="28"/>
        </w:rPr>
        <w:t xml:space="preserve">t is only possible to reach robust conclusions on the overall </w:t>
      </w:r>
      <w:r w:rsidR="007E2CCC">
        <w:rPr>
          <w:rFonts w:asciiTheme="majorHAnsi" w:hAnsiTheme="majorHAnsi" w:cstheme="majorHAnsi"/>
          <w:sz w:val="28"/>
          <w:szCs w:val="28"/>
        </w:rPr>
        <w:t xml:space="preserve">national </w:t>
      </w:r>
      <w:r w:rsidR="00562911">
        <w:rPr>
          <w:rFonts w:asciiTheme="majorHAnsi" w:hAnsiTheme="majorHAnsi" w:cstheme="majorHAnsi"/>
          <w:sz w:val="28"/>
          <w:szCs w:val="28"/>
        </w:rPr>
        <w:t xml:space="preserve">incidence and patterns of </w:t>
      </w:r>
      <w:r w:rsidR="007E2CCC">
        <w:rPr>
          <w:rFonts w:asciiTheme="majorHAnsi" w:hAnsiTheme="majorHAnsi" w:cstheme="majorHAnsi"/>
          <w:sz w:val="28"/>
          <w:szCs w:val="28"/>
        </w:rPr>
        <w:t xml:space="preserve">private </w:t>
      </w:r>
      <w:r w:rsidR="00562911">
        <w:rPr>
          <w:rFonts w:asciiTheme="majorHAnsi" w:hAnsiTheme="majorHAnsi" w:cstheme="majorHAnsi"/>
          <w:sz w:val="28"/>
          <w:szCs w:val="28"/>
        </w:rPr>
        <w:t xml:space="preserve">tuition provision on the basis of </w:t>
      </w:r>
      <w:r>
        <w:rPr>
          <w:rFonts w:asciiTheme="majorHAnsi" w:hAnsiTheme="majorHAnsi" w:cstheme="majorHAnsi"/>
          <w:sz w:val="28"/>
          <w:szCs w:val="28"/>
        </w:rPr>
        <w:t xml:space="preserve">sufficiently </w:t>
      </w:r>
      <w:r w:rsidR="00562911">
        <w:rPr>
          <w:rFonts w:asciiTheme="majorHAnsi" w:hAnsiTheme="majorHAnsi" w:cstheme="majorHAnsi"/>
          <w:sz w:val="28"/>
          <w:szCs w:val="28"/>
        </w:rPr>
        <w:t>large, national</w:t>
      </w:r>
      <w:r w:rsidR="00355F33">
        <w:rPr>
          <w:rFonts w:asciiTheme="majorHAnsi" w:hAnsiTheme="majorHAnsi" w:cstheme="majorHAnsi"/>
          <w:sz w:val="28"/>
          <w:szCs w:val="28"/>
        </w:rPr>
        <w:t>ly representative</w:t>
      </w:r>
      <w:r w:rsidR="00562911">
        <w:rPr>
          <w:rFonts w:asciiTheme="majorHAnsi" w:hAnsiTheme="majorHAnsi" w:cstheme="majorHAnsi"/>
          <w:sz w:val="28"/>
          <w:szCs w:val="28"/>
        </w:rPr>
        <w:t xml:space="preserve"> school surveys. The Bray review indicates that these </w:t>
      </w:r>
      <w:r>
        <w:rPr>
          <w:rFonts w:asciiTheme="majorHAnsi" w:hAnsiTheme="majorHAnsi" w:cstheme="majorHAnsi"/>
          <w:sz w:val="28"/>
          <w:szCs w:val="28"/>
        </w:rPr>
        <w:t xml:space="preserve">surveys </w:t>
      </w:r>
      <w:r w:rsidR="00562911">
        <w:rPr>
          <w:rFonts w:asciiTheme="majorHAnsi" w:hAnsiTheme="majorHAnsi" w:cstheme="majorHAnsi"/>
          <w:sz w:val="28"/>
          <w:szCs w:val="28"/>
        </w:rPr>
        <w:t xml:space="preserve">have been undertaken </w:t>
      </w:r>
      <w:r w:rsidR="003A23FC">
        <w:rPr>
          <w:rFonts w:asciiTheme="majorHAnsi" w:hAnsiTheme="majorHAnsi" w:cstheme="majorHAnsi"/>
          <w:sz w:val="28"/>
          <w:szCs w:val="28"/>
        </w:rPr>
        <w:t xml:space="preserve">for primary schooling </w:t>
      </w:r>
      <w:r w:rsidR="00562911">
        <w:rPr>
          <w:rFonts w:asciiTheme="majorHAnsi" w:hAnsiTheme="majorHAnsi" w:cstheme="majorHAnsi"/>
          <w:sz w:val="28"/>
          <w:szCs w:val="28"/>
        </w:rPr>
        <w:t xml:space="preserve">in only eight countries </w:t>
      </w:r>
      <w:r>
        <w:rPr>
          <w:rFonts w:asciiTheme="majorHAnsi" w:hAnsiTheme="majorHAnsi" w:cstheme="majorHAnsi"/>
          <w:sz w:val="28"/>
          <w:szCs w:val="28"/>
        </w:rPr>
        <w:t xml:space="preserve">in SSA </w:t>
      </w:r>
      <w:r w:rsidR="00562911">
        <w:rPr>
          <w:rFonts w:asciiTheme="majorHAnsi" w:hAnsiTheme="majorHAnsi" w:cstheme="majorHAnsi"/>
          <w:sz w:val="28"/>
          <w:szCs w:val="28"/>
        </w:rPr>
        <w:t>during the last 10 years</w:t>
      </w:r>
      <w:r w:rsidR="00C52673">
        <w:rPr>
          <w:rStyle w:val="FootnoteReference"/>
          <w:rFonts w:asciiTheme="majorHAnsi" w:hAnsiTheme="majorHAnsi" w:cstheme="majorHAnsi"/>
          <w:sz w:val="28"/>
          <w:szCs w:val="28"/>
        </w:rPr>
        <w:footnoteReference w:id="3"/>
      </w:r>
      <w:r w:rsidR="00562911">
        <w:rPr>
          <w:rFonts w:asciiTheme="majorHAnsi" w:hAnsiTheme="majorHAnsi" w:cstheme="majorHAnsi"/>
          <w:sz w:val="28"/>
          <w:szCs w:val="28"/>
        </w:rPr>
        <w:t>. All of these countries are in Anglophone East</w:t>
      </w:r>
      <w:r>
        <w:rPr>
          <w:rFonts w:asciiTheme="majorHAnsi" w:hAnsiTheme="majorHAnsi" w:cstheme="majorHAnsi"/>
          <w:sz w:val="28"/>
          <w:szCs w:val="28"/>
        </w:rPr>
        <w:t>, Central</w:t>
      </w:r>
      <w:r w:rsidR="00562911">
        <w:rPr>
          <w:rFonts w:asciiTheme="majorHAnsi" w:hAnsiTheme="majorHAnsi" w:cstheme="majorHAnsi"/>
          <w:sz w:val="28"/>
          <w:szCs w:val="28"/>
        </w:rPr>
        <w:t xml:space="preserve"> and Southern Africa</w:t>
      </w:r>
      <w:r w:rsidR="007E2CCC">
        <w:rPr>
          <w:rFonts w:asciiTheme="majorHAnsi" w:hAnsiTheme="majorHAnsi" w:cstheme="majorHAnsi"/>
          <w:sz w:val="28"/>
          <w:szCs w:val="28"/>
        </w:rPr>
        <w:t>, five out of the eight have very small populations and six of them have relatively high per capita incomes by SSA standards</w:t>
      </w:r>
      <w:r w:rsidR="001B218B">
        <w:rPr>
          <w:rStyle w:val="FootnoteReference"/>
          <w:rFonts w:asciiTheme="majorHAnsi" w:hAnsiTheme="majorHAnsi" w:cstheme="majorHAnsi"/>
          <w:sz w:val="28"/>
          <w:szCs w:val="28"/>
        </w:rPr>
        <w:footnoteReference w:id="4"/>
      </w:r>
      <w:r w:rsidR="007E2CCC">
        <w:rPr>
          <w:rFonts w:asciiTheme="majorHAnsi" w:hAnsiTheme="majorHAnsi" w:cstheme="majorHAnsi"/>
          <w:sz w:val="28"/>
          <w:szCs w:val="28"/>
        </w:rPr>
        <w:t>.</w:t>
      </w:r>
      <w:r w:rsidR="007E2CCC" w:rsidRPr="007E2CCC">
        <w:rPr>
          <w:rFonts w:asciiTheme="majorHAnsi" w:hAnsiTheme="majorHAnsi" w:cstheme="majorHAnsi"/>
          <w:sz w:val="28"/>
          <w:szCs w:val="28"/>
        </w:rPr>
        <w:t xml:space="preserve"> </w:t>
      </w:r>
      <w:r w:rsidR="003A23FC">
        <w:rPr>
          <w:rFonts w:asciiTheme="majorHAnsi" w:hAnsiTheme="majorHAnsi" w:cstheme="majorHAnsi"/>
          <w:sz w:val="28"/>
          <w:szCs w:val="28"/>
        </w:rPr>
        <w:t xml:space="preserve">Moreover, while the necessary survey data was collected that would </w:t>
      </w:r>
      <w:r>
        <w:rPr>
          <w:rFonts w:asciiTheme="majorHAnsi" w:hAnsiTheme="majorHAnsi" w:cstheme="majorHAnsi"/>
          <w:sz w:val="28"/>
          <w:szCs w:val="28"/>
        </w:rPr>
        <w:t xml:space="preserve">enable </w:t>
      </w:r>
      <w:r w:rsidR="003A23FC">
        <w:rPr>
          <w:rFonts w:asciiTheme="majorHAnsi" w:hAnsiTheme="majorHAnsi" w:cstheme="majorHAnsi"/>
          <w:sz w:val="28"/>
          <w:szCs w:val="28"/>
        </w:rPr>
        <w:t>fairly detailed assessments of the patterns of private tuition (with respect to gender, school location, school ownership, and socio-economic status)</w:t>
      </w:r>
      <w:r w:rsidR="008C6891">
        <w:rPr>
          <w:rFonts w:asciiTheme="majorHAnsi" w:hAnsiTheme="majorHAnsi" w:cstheme="majorHAnsi"/>
          <w:sz w:val="28"/>
          <w:szCs w:val="28"/>
        </w:rPr>
        <w:t xml:space="preserve"> to be undertaken</w:t>
      </w:r>
      <w:r w:rsidR="003A23FC">
        <w:rPr>
          <w:rFonts w:asciiTheme="majorHAnsi" w:hAnsiTheme="majorHAnsi" w:cstheme="majorHAnsi"/>
          <w:sz w:val="28"/>
          <w:szCs w:val="28"/>
        </w:rPr>
        <w:t xml:space="preserve">, none </w:t>
      </w:r>
      <w:r w:rsidR="003A23FC">
        <w:rPr>
          <w:rFonts w:asciiTheme="majorHAnsi" w:hAnsiTheme="majorHAnsi" w:cstheme="majorHAnsi"/>
          <w:sz w:val="28"/>
          <w:szCs w:val="28"/>
        </w:rPr>
        <w:lastRenderedPageBreak/>
        <w:t>of the country survey reports present this information.</w:t>
      </w:r>
      <w:r w:rsidR="00FC7877">
        <w:rPr>
          <w:rFonts w:asciiTheme="majorHAnsi" w:hAnsiTheme="majorHAnsi" w:cstheme="majorHAnsi"/>
          <w:sz w:val="28"/>
          <w:szCs w:val="28"/>
        </w:rPr>
        <w:t xml:space="preserve"> </w:t>
      </w:r>
      <w:r w:rsidR="006A4BD7">
        <w:rPr>
          <w:rFonts w:asciiTheme="majorHAnsi" w:hAnsiTheme="majorHAnsi" w:cstheme="majorHAnsi"/>
          <w:sz w:val="28"/>
          <w:szCs w:val="28"/>
        </w:rPr>
        <w:t>National school survey data on private tuition among secondary school students is non-existent in SSA.</w:t>
      </w:r>
    </w:p>
    <w:p w14:paraId="2D56C311" w14:textId="77777777" w:rsidR="009A7FAC" w:rsidRPr="00562911" w:rsidRDefault="009A7FAC" w:rsidP="009A7FAC">
      <w:pPr>
        <w:jc w:val="both"/>
        <w:rPr>
          <w:rFonts w:asciiTheme="majorHAnsi" w:hAnsiTheme="majorHAnsi" w:cstheme="majorHAnsi"/>
          <w:sz w:val="28"/>
          <w:szCs w:val="28"/>
        </w:rPr>
      </w:pPr>
      <w:r>
        <w:rPr>
          <w:rFonts w:asciiTheme="majorHAnsi" w:hAnsiTheme="majorHAnsi" w:cstheme="majorHAnsi"/>
          <w:sz w:val="28"/>
          <w:szCs w:val="28"/>
        </w:rPr>
        <w:t xml:space="preserve">Given this overall lack of good quality evidence, it </w:t>
      </w:r>
      <w:r w:rsidRPr="00CA4714">
        <w:rPr>
          <w:rFonts w:asciiTheme="majorHAnsi" w:hAnsiTheme="majorHAnsi" w:cstheme="majorHAnsi"/>
          <w:sz w:val="28"/>
          <w:szCs w:val="28"/>
        </w:rPr>
        <w:t xml:space="preserve">is </w:t>
      </w:r>
      <w:r>
        <w:rPr>
          <w:rFonts w:asciiTheme="majorHAnsi" w:hAnsiTheme="majorHAnsi" w:cstheme="majorHAnsi"/>
          <w:sz w:val="28"/>
          <w:szCs w:val="28"/>
        </w:rPr>
        <w:t xml:space="preserve">not possible </w:t>
      </w:r>
      <w:r w:rsidRPr="00CA4714">
        <w:rPr>
          <w:rFonts w:asciiTheme="majorHAnsi" w:hAnsiTheme="majorHAnsi" w:cstheme="majorHAnsi"/>
          <w:sz w:val="28"/>
          <w:szCs w:val="28"/>
        </w:rPr>
        <w:t xml:space="preserve">to reach any robust conclusions about the overall incidence and patterns of tutoring provision and trends over time across </w:t>
      </w:r>
      <w:r>
        <w:rPr>
          <w:rFonts w:asciiTheme="majorHAnsi" w:hAnsiTheme="majorHAnsi" w:cstheme="majorHAnsi"/>
          <w:sz w:val="28"/>
          <w:szCs w:val="28"/>
        </w:rPr>
        <w:t xml:space="preserve">SSA </w:t>
      </w:r>
      <w:r w:rsidRPr="00CA4714">
        <w:rPr>
          <w:rFonts w:asciiTheme="majorHAnsi" w:hAnsiTheme="majorHAnsi" w:cstheme="majorHAnsi"/>
          <w:sz w:val="28"/>
          <w:szCs w:val="28"/>
        </w:rPr>
        <w:t>as a whole.</w:t>
      </w:r>
      <w:r>
        <w:rPr>
          <w:rFonts w:asciiTheme="majorHAnsi" w:hAnsiTheme="majorHAnsi" w:cstheme="majorHAnsi"/>
          <w:sz w:val="28"/>
          <w:szCs w:val="28"/>
        </w:rPr>
        <w:t xml:space="preserve">      </w:t>
      </w:r>
    </w:p>
    <w:p w14:paraId="3A6BBB9A" w14:textId="0E41F36D" w:rsidR="001E6180" w:rsidRPr="00CA4714" w:rsidRDefault="00434A3F" w:rsidP="004545BF">
      <w:pPr>
        <w:jc w:val="both"/>
        <w:rPr>
          <w:rFonts w:asciiTheme="majorHAnsi" w:hAnsiTheme="majorHAnsi" w:cstheme="majorHAnsi"/>
          <w:i/>
          <w:sz w:val="28"/>
          <w:szCs w:val="28"/>
        </w:rPr>
      </w:pPr>
      <w:r>
        <w:rPr>
          <w:rFonts w:asciiTheme="majorHAnsi" w:hAnsiTheme="majorHAnsi" w:cstheme="majorHAnsi"/>
          <w:i/>
          <w:sz w:val="28"/>
          <w:szCs w:val="28"/>
        </w:rPr>
        <w:t xml:space="preserve">1.3 Discussion </w:t>
      </w:r>
      <w:r w:rsidR="001E6180" w:rsidRPr="00CA4714">
        <w:rPr>
          <w:rFonts w:asciiTheme="majorHAnsi" w:hAnsiTheme="majorHAnsi" w:cstheme="majorHAnsi"/>
          <w:i/>
          <w:sz w:val="28"/>
          <w:szCs w:val="28"/>
        </w:rPr>
        <w:t>organisation</w:t>
      </w:r>
    </w:p>
    <w:p w14:paraId="38B78071" w14:textId="7143900A" w:rsidR="005833B8" w:rsidRPr="00CA4714" w:rsidRDefault="00450D13" w:rsidP="00434A3F">
      <w:pPr>
        <w:jc w:val="both"/>
        <w:rPr>
          <w:rFonts w:asciiTheme="majorHAnsi" w:hAnsiTheme="majorHAnsi" w:cstheme="majorHAnsi"/>
          <w:sz w:val="28"/>
          <w:szCs w:val="28"/>
        </w:rPr>
      </w:pPr>
      <w:r w:rsidRPr="00CA4714">
        <w:rPr>
          <w:rFonts w:asciiTheme="majorHAnsi" w:hAnsiTheme="majorHAnsi" w:cstheme="majorHAnsi"/>
          <w:sz w:val="28"/>
          <w:szCs w:val="28"/>
        </w:rPr>
        <w:t xml:space="preserve">The discussion is organised as follows. The broad analytical </w:t>
      </w:r>
      <w:r w:rsidR="00E94C47" w:rsidRPr="00CA4714">
        <w:rPr>
          <w:rFonts w:asciiTheme="majorHAnsi" w:hAnsiTheme="majorHAnsi" w:cstheme="majorHAnsi"/>
          <w:sz w:val="28"/>
          <w:szCs w:val="28"/>
        </w:rPr>
        <w:t>framework</w:t>
      </w:r>
      <w:r w:rsidRPr="00CA4714">
        <w:rPr>
          <w:rFonts w:asciiTheme="majorHAnsi" w:hAnsiTheme="majorHAnsi" w:cstheme="majorHAnsi"/>
          <w:sz w:val="28"/>
          <w:szCs w:val="28"/>
        </w:rPr>
        <w:t xml:space="preserve"> and methodology </w:t>
      </w:r>
      <w:r w:rsidR="00534F8F" w:rsidRPr="00CA4714">
        <w:rPr>
          <w:rFonts w:asciiTheme="majorHAnsi" w:hAnsiTheme="majorHAnsi" w:cstheme="majorHAnsi"/>
          <w:sz w:val="28"/>
          <w:szCs w:val="28"/>
        </w:rPr>
        <w:t xml:space="preserve">as well as basic background information on the nine survey countries </w:t>
      </w:r>
      <w:r w:rsidRPr="00CA4714">
        <w:rPr>
          <w:rFonts w:asciiTheme="majorHAnsi" w:hAnsiTheme="majorHAnsi" w:cstheme="majorHAnsi"/>
          <w:sz w:val="28"/>
          <w:szCs w:val="28"/>
        </w:rPr>
        <w:t>are presented in section 2</w:t>
      </w:r>
      <w:r w:rsidR="00534F8F" w:rsidRPr="00CA4714">
        <w:rPr>
          <w:rFonts w:asciiTheme="majorHAnsi" w:hAnsiTheme="majorHAnsi" w:cstheme="majorHAnsi"/>
          <w:sz w:val="28"/>
          <w:szCs w:val="28"/>
        </w:rPr>
        <w:t xml:space="preserve">. Sections 3 and 4 then present the main survey findings on the incidence and patterns of tutoring provision with respect to students and tutors/teachers. </w:t>
      </w:r>
      <w:r w:rsidR="00C11910" w:rsidRPr="00CA4714">
        <w:rPr>
          <w:rFonts w:asciiTheme="majorHAnsi" w:hAnsiTheme="majorHAnsi" w:cstheme="majorHAnsi"/>
          <w:sz w:val="28"/>
          <w:szCs w:val="28"/>
        </w:rPr>
        <w:t xml:space="preserve">Section 5 briefly examines </w:t>
      </w:r>
      <w:r w:rsidR="00081A95" w:rsidRPr="00CA4714">
        <w:rPr>
          <w:rFonts w:asciiTheme="majorHAnsi" w:hAnsiTheme="majorHAnsi" w:cstheme="majorHAnsi"/>
          <w:sz w:val="28"/>
          <w:szCs w:val="28"/>
        </w:rPr>
        <w:t>the extent</w:t>
      </w:r>
      <w:r w:rsidR="005A382A" w:rsidRPr="00CA4714">
        <w:rPr>
          <w:rFonts w:asciiTheme="majorHAnsi" w:hAnsiTheme="majorHAnsi" w:cstheme="majorHAnsi"/>
          <w:sz w:val="28"/>
          <w:szCs w:val="28"/>
        </w:rPr>
        <w:t xml:space="preserve"> and nature</w:t>
      </w:r>
      <w:r w:rsidR="00081A95" w:rsidRPr="00CA4714">
        <w:rPr>
          <w:rFonts w:asciiTheme="majorHAnsi" w:hAnsiTheme="majorHAnsi" w:cstheme="majorHAnsi"/>
          <w:sz w:val="28"/>
          <w:szCs w:val="28"/>
        </w:rPr>
        <w:t xml:space="preserve"> of differences in the test sc</w:t>
      </w:r>
      <w:r w:rsidR="005A382A" w:rsidRPr="00CA4714">
        <w:rPr>
          <w:rFonts w:asciiTheme="majorHAnsi" w:hAnsiTheme="majorHAnsi" w:cstheme="majorHAnsi"/>
          <w:sz w:val="28"/>
          <w:szCs w:val="28"/>
        </w:rPr>
        <w:t>ores</w:t>
      </w:r>
      <w:r w:rsidR="00081A95" w:rsidRPr="00CA4714">
        <w:rPr>
          <w:rFonts w:asciiTheme="majorHAnsi" w:hAnsiTheme="majorHAnsi" w:cstheme="majorHAnsi"/>
          <w:sz w:val="28"/>
          <w:szCs w:val="28"/>
        </w:rPr>
        <w:t xml:space="preserve"> of Grade 6 students who have and have not received tutorial support. Finally, t</w:t>
      </w:r>
      <w:r w:rsidR="00534F8F" w:rsidRPr="00CA4714">
        <w:rPr>
          <w:rFonts w:asciiTheme="majorHAnsi" w:hAnsiTheme="majorHAnsi" w:cstheme="majorHAnsi"/>
          <w:sz w:val="28"/>
          <w:szCs w:val="28"/>
        </w:rPr>
        <w:t xml:space="preserve">he conclusion discusses the implications of this research </w:t>
      </w:r>
      <w:r w:rsidR="0029626E" w:rsidRPr="00CA4714">
        <w:rPr>
          <w:rFonts w:asciiTheme="majorHAnsi" w:hAnsiTheme="majorHAnsi" w:cstheme="majorHAnsi"/>
          <w:sz w:val="28"/>
          <w:szCs w:val="28"/>
        </w:rPr>
        <w:t xml:space="preserve">and, in particular, </w:t>
      </w:r>
      <w:r w:rsidR="00081A95" w:rsidRPr="00CA4714">
        <w:rPr>
          <w:rFonts w:asciiTheme="majorHAnsi" w:hAnsiTheme="majorHAnsi" w:cstheme="majorHAnsi"/>
          <w:sz w:val="28"/>
          <w:szCs w:val="28"/>
        </w:rPr>
        <w:t xml:space="preserve">how </w:t>
      </w:r>
      <w:r w:rsidR="00534F8F" w:rsidRPr="00CA4714">
        <w:rPr>
          <w:rFonts w:asciiTheme="majorHAnsi" w:hAnsiTheme="majorHAnsi" w:cstheme="majorHAnsi"/>
          <w:sz w:val="28"/>
          <w:szCs w:val="28"/>
        </w:rPr>
        <w:t>the overall quality of research in this key are of education provision</w:t>
      </w:r>
      <w:r w:rsidR="00081A95" w:rsidRPr="00CA4714">
        <w:rPr>
          <w:rFonts w:asciiTheme="majorHAnsi" w:hAnsiTheme="majorHAnsi" w:cstheme="majorHAnsi"/>
          <w:sz w:val="28"/>
          <w:szCs w:val="28"/>
        </w:rPr>
        <w:t xml:space="preserve"> can be improved in the future</w:t>
      </w:r>
      <w:r w:rsidR="00534F8F" w:rsidRPr="00CA4714">
        <w:rPr>
          <w:rFonts w:asciiTheme="majorHAnsi" w:hAnsiTheme="majorHAnsi" w:cstheme="majorHAnsi"/>
          <w:sz w:val="28"/>
          <w:szCs w:val="28"/>
        </w:rPr>
        <w:t>.</w:t>
      </w:r>
    </w:p>
    <w:p w14:paraId="72C74CDC" w14:textId="77777777" w:rsidR="00314DAA" w:rsidRPr="00CA4714" w:rsidRDefault="0023757F" w:rsidP="001E6180">
      <w:pPr>
        <w:pStyle w:val="ListParagraph"/>
        <w:numPr>
          <w:ilvl w:val="0"/>
          <w:numId w:val="1"/>
        </w:numPr>
        <w:jc w:val="both"/>
        <w:rPr>
          <w:rFonts w:asciiTheme="majorHAnsi" w:hAnsiTheme="majorHAnsi" w:cstheme="majorHAnsi"/>
          <w:b/>
          <w:sz w:val="28"/>
          <w:szCs w:val="28"/>
        </w:rPr>
      </w:pPr>
      <w:r w:rsidRPr="00CA4714">
        <w:rPr>
          <w:rFonts w:asciiTheme="majorHAnsi" w:hAnsiTheme="majorHAnsi" w:cstheme="majorHAnsi"/>
          <w:b/>
          <w:sz w:val="28"/>
          <w:szCs w:val="28"/>
        </w:rPr>
        <w:t xml:space="preserve">Conceptual </w:t>
      </w:r>
      <w:r w:rsidR="001E6180" w:rsidRPr="00CA4714">
        <w:rPr>
          <w:rFonts w:asciiTheme="majorHAnsi" w:hAnsiTheme="majorHAnsi" w:cstheme="majorHAnsi"/>
          <w:b/>
          <w:sz w:val="28"/>
          <w:szCs w:val="28"/>
        </w:rPr>
        <w:t>framework</w:t>
      </w:r>
      <w:r w:rsidR="00534F8F" w:rsidRPr="00CA4714">
        <w:rPr>
          <w:rFonts w:asciiTheme="majorHAnsi" w:hAnsiTheme="majorHAnsi" w:cstheme="majorHAnsi"/>
          <w:b/>
          <w:sz w:val="28"/>
          <w:szCs w:val="28"/>
        </w:rPr>
        <w:t xml:space="preserve"> and methodology</w:t>
      </w:r>
    </w:p>
    <w:p w14:paraId="62DC7DA5" w14:textId="77777777" w:rsidR="00F20E8A" w:rsidRPr="00CA4714" w:rsidRDefault="00F20E8A" w:rsidP="0023757F">
      <w:pPr>
        <w:ind w:left="72"/>
        <w:jc w:val="both"/>
        <w:rPr>
          <w:rFonts w:asciiTheme="majorHAnsi" w:hAnsiTheme="majorHAnsi" w:cstheme="majorHAnsi"/>
          <w:i/>
          <w:sz w:val="28"/>
          <w:szCs w:val="28"/>
        </w:rPr>
      </w:pPr>
      <w:r w:rsidRPr="00CA4714">
        <w:rPr>
          <w:rFonts w:asciiTheme="majorHAnsi" w:hAnsiTheme="majorHAnsi" w:cstheme="majorHAnsi"/>
          <w:i/>
          <w:sz w:val="28"/>
          <w:szCs w:val="28"/>
        </w:rPr>
        <w:t xml:space="preserve">2.1 Demand and supply factors and inter-relationships </w:t>
      </w:r>
    </w:p>
    <w:p w14:paraId="3FCD082B" w14:textId="0BFBB864" w:rsidR="002C7D05" w:rsidRPr="00CA4714" w:rsidRDefault="005B6C42" w:rsidP="0023757F">
      <w:pPr>
        <w:ind w:left="72"/>
        <w:jc w:val="both"/>
        <w:rPr>
          <w:rFonts w:asciiTheme="majorHAnsi" w:hAnsiTheme="majorHAnsi" w:cstheme="majorHAnsi"/>
          <w:sz w:val="28"/>
          <w:szCs w:val="28"/>
        </w:rPr>
      </w:pPr>
      <w:r w:rsidRPr="00CA4714">
        <w:rPr>
          <w:rFonts w:asciiTheme="majorHAnsi" w:hAnsiTheme="majorHAnsi" w:cstheme="majorHAnsi"/>
          <w:sz w:val="28"/>
          <w:szCs w:val="28"/>
        </w:rPr>
        <w:t>Th</w:t>
      </w:r>
      <w:r w:rsidR="0023757F" w:rsidRPr="00CA4714">
        <w:rPr>
          <w:rFonts w:asciiTheme="majorHAnsi" w:hAnsiTheme="majorHAnsi" w:cstheme="majorHAnsi"/>
          <w:sz w:val="28"/>
          <w:szCs w:val="28"/>
        </w:rPr>
        <w:t xml:space="preserve">is study’s conceptual framework is broadly in line with most other research on private tutoring which focuses on the </w:t>
      </w:r>
      <w:r w:rsidR="002C7D05" w:rsidRPr="00CA4714">
        <w:rPr>
          <w:rFonts w:asciiTheme="majorHAnsi" w:hAnsiTheme="majorHAnsi" w:cstheme="majorHAnsi"/>
          <w:sz w:val="28"/>
          <w:szCs w:val="28"/>
        </w:rPr>
        <w:t xml:space="preserve">analysis of </w:t>
      </w:r>
      <w:r w:rsidR="0023757F" w:rsidRPr="00CA4714">
        <w:rPr>
          <w:rFonts w:asciiTheme="majorHAnsi" w:hAnsiTheme="majorHAnsi" w:cstheme="majorHAnsi"/>
          <w:sz w:val="28"/>
          <w:szCs w:val="28"/>
        </w:rPr>
        <w:t xml:space="preserve">key </w:t>
      </w:r>
      <w:r w:rsidR="002C7D05" w:rsidRPr="00CA4714">
        <w:rPr>
          <w:rFonts w:asciiTheme="majorHAnsi" w:hAnsiTheme="majorHAnsi" w:cstheme="majorHAnsi"/>
          <w:sz w:val="28"/>
          <w:szCs w:val="28"/>
        </w:rPr>
        <w:t xml:space="preserve">demand and supply factors. </w:t>
      </w:r>
      <w:r w:rsidR="0023757F" w:rsidRPr="00CA4714">
        <w:rPr>
          <w:rFonts w:asciiTheme="majorHAnsi" w:hAnsiTheme="majorHAnsi" w:cstheme="majorHAnsi"/>
          <w:sz w:val="28"/>
          <w:szCs w:val="28"/>
        </w:rPr>
        <w:t xml:space="preserve">With respect to demand, </w:t>
      </w:r>
      <w:r w:rsidR="002C7D05" w:rsidRPr="00CA4714">
        <w:rPr>
          <w:rFonts w:asciiTheme="majorHAnsi" w:hAnsiTheme="majorHAnsi" w:cstheme="majorHAnsi"/>
          <w:sz w:val="28"/>
          <w:szCs w:val="28"/>
        </w:rPr>
        <w:t xml:space="preserve">the </w:t>
      </w:r>
      <w:r w:rsidR="0023757F" w:rsidRPr="00CA4714">
        <w:rPr>
          <w:rFonts w:asciiTheme="majorHAnsi" w:hAnsiTheme="majorHAnsi" w:cstheme="majorHAnsi"/>
          <w:sz w:val="28"/>
          <w:szCs w:val="28"/>
        </w:rPr>
        <w:t xml:space="preserve">standard explanation for </w:t>
      </w:r>
      <w:r w:rsidR="002C7D05" w:rsidRPr="00CA4714">
        <w:rPr>
          <w:rFonts w:asciiTheme="majorHAnsi" w:hAnsiTheme="majorHAnsi" w:cstheme="majorHAnsi"/>
          <w:sz w:val="28"/>
          <w:szCs w:val="28"/>
        </w:rPr>
        <w:t>the burgeoning demand for private education provision</w:t>
      </w:r>
      <w:r w:rsidR="00DF7225" w:rsidRPr="00CA4714">
        <w:rPr>
          <w:rFonts w:asciiTheme="majorHAnsi" w:hAnsiTheme="majorHAnsi" w:cstheme="majorHAnsi"/>
          <w:sz w:val="28"/>
          <w:szCs w:val="28"/>
        </w:rPr>
        <w:t xml:space="preserve"> </w:t>
      </w:r>
      <w:r w:rsidR="008F5027">
        <w:rPr>
          <w:rFonts w:asciiTheme="majorHAnsi" w:hAnsiTheme="majorHAnsi" w:cstheme="majorHAnsi"/>
          <w:sz w:val="28"/>
          <w:szCs w:val="28"/>
        </w:rPr>
        <w:t>(</w:t>
      </w:r>
      <w:r w:rsidR="008F5027" w:rsidRPr="00CA4714">
        <w:rPr>
          <w:rFonts w:asciiTheme="majorHAnsi" w:hAnsiTheme="majorHAnsi" w:cstheme="majorHAnsi"/>
          <w:sz w:val="28"/>
          <w:szCs w:val="28"/>
        </w:rPr>
        <w:t>both formal schooling and private tutoring</w:t>
      </w:r>
      <w:r w:rsidR="008F5027">
        <w:rPr>
          <w:rFonts w:asciiTheme="majorHAnsi" w:hAnsiTheme="majorHAnsi" w:cstheme="majorHAnsi"/>
          <w:sz w:val="28"/>
          <w:szCs w:val="28"/>
        </w:rPr>
        <w:t>)</w:t>
      </w:r>
      <w:r w:rsidR="008F5027" w:rsidRPr="00CA4714">
        <w:rPr>
          <w:rFonts w:asciiTheme="majorHAnsi" w:hAnsiTheme="majorHAnsi" w:cstheme="majorHAnsi"/>
          <w:sz w:val="28"/>
          <w:szCs w:val="28"/>
        </w:rPr>
        <w:t xml:space="preserve"> </w:t>
      </w:r>
      <w:r w:rsidR="006A4BD7">
        <w:rPr>
          <w:rFonts w:asciiTheme="majorHAnsi" w:hAnsiTheme="majorHAnsi" w:cstheme="majorHAnsi"/>
          <w:sz w:val="28"/>
          <w:szCs w:val="28"/>
        </w:rPr>
        <w:t>in</w:t>
      </w:r>
      <w:r w:rsidR="00434A3F">
        <w:rPr>
          <w:rFonts w:asciiTheme="majorHAnsi" w:hAnsiTheme="majorHAnsi" w:cstheme="majorHAnsi"/>
          <w:sz w:val="28"/>
          <w:szCs w:val="28"/>
        </w:rPr>
        <w:t xml:space="preserve"> SSA </w:t>
      </w:r>
      <w:r w:rsidR="002C7D05" w:rsidRPr="00CA4714">
        <w:rPr>
          <w:rFonts w:asciiTheme="majorHAnsi" w:hAnsiTheme="majorHAnsi" w:cstheme="majorHAnsi"/>
          <w:sz w:val="28"/>
          <w:szCs w:val="28"/>
        </w:rPr>
        <w:t xml:space="preserve">is the low and, in some instances, declining quality of learning outcomes in </w:t>
      </w:r>
      <w:r w:rsidR="0023757F" w:rsidRPr="00CA4714">
        <w:rPr>
          <w:rFonts w:asciiTheme="majorHAnsi" w:hAnsiTheme="majorHAnsi" w:cstheme="majorHAnsi"/>
          <w:sz w:val="28"/>
          <w:szCs w:val="28"/>
        </w:rPr>
        <w:t xml:space="preserve">public </w:t>
      </w:r>
      <w:r w:rsidR="002C7D05" w:rsidRPr="00CA4714">
        <w:rPr>
          <w:rFonts w:asciiTheme="majorHAnsi" w:hAnsiTheme="majorHAnsi" w:cstheme="majorHAnsi"/>
          <w:sz w:val="28"/>
          <w:szCs w:val="28"/>
        </w:rPr>
        <w:t xml:space="preserve">schools with invariably low parental expectations of any </w:t>
      </w:r>
      <w:r w:rsidR="005F50BD" w:rsidRPr="00CA4714">
        <w:rPr>
          <w:rFonts w:asciiTheme="majorHAnsi" w:hAnsiTheme="majorHAnsi" w:cstheme="majorHAnsi"/>
          <w:sz w:val="28"/>
          <w:szCs w:val="28"/>
        </w:rPr>
        <w:t xml:space="preserve">sizeable and </w:t>
      </w:r>
      <w:r w:rsidR="002C7D05" w:rsidRPr="00CA4714">
        <w:rPr>
          <w:rFonts w:asciiTheme="majorHAnsi" w:hAnsiTheme="majorHAnsi" w:cstheme="majorHAnsi"/>
          <w:sz w:val="28"/>
          <w:szCs w:val="28"/>
        </w:rPr>
        <w:t>sustained improvements in the short-medium term. With the implementation of Universal Primary Educat</w:t>
      </w:r>
      <w:r w:rsidR="005F50BD" w:rsidRPr="00CA4714">
        <w:rPr>
          <w:rFonts w:asciiTheme="majorHAnsi" w:hAnsiTheme="majorHAnsi" w:cstheme="majorHAnsi"/>
          <w:sz w:val="28"/>
          <w:szCs w:val="28"/>
        </w:rPr>
        <w:t>ion national strategies, mainly better-</w:t>
      </w:r>
      <w:r w:rsidR="002C7D05" w:rsidRPr="00CA4714">
        <w:rPr>
          <w:rFonts w:asciiTheme="majorHAnsi" w:hAnsiTheme="majorHAnsi" w:cstheme="majorHAnsi"/>
          <w:sz w:val="28"/>
          <w:szCs w:val="28"/>
        </w:rPr>
        <w:t>off socio-economic classes/groups have increasingly resorted to private education providers (both private schools and private tutors) in order to maintain sufficient education</w:t>
      </w:r>
      <w:r w:rsidR="00986E99">
        <w:rPr>
          <w:rFonts w:asciiTheme="majorHAnsi" w:hAnsiTheme="majorHAnsi" w:cstheme="majorHAnsi"/>
          <w:sz w:val="28"/>
          <w:szCs w:val="28"/>
        </w:rPr>
        <w:t>al</w:t>
      </w:r>
      <w:r w:rsidR="002C7D05" w:rsidRPr="00CA4714">
        <w:rPr>
          <w:rFonts w:asciiTheme="majorHAnsi" w:hAnsiTheme="majorHAnsi" w:cstheme="majorHAnsi"/>
          <w:sz w:val="28"/>
          <w:szCs w:val="28"/>
        </w:rPr>
        <w:t xml:space="preserve"> distance </w:t>
      </w:r>
      <w:r w:rsidR="005F50BD" w:rsidRPr="00CA4714">
        <w:rPr>
          <w:rFonts w:asciiTheme="majorHAnsi" w:hAnsiTheme="majorHAnsi" w:cstheme="majorHAnsi"/>
          <w:sz w:val="28"/>
          <w:szCs w:val="28"/>
        </w:rPr>
        <w:t xml:space="preserve">between their children and </w:t>
      </w:r>
      <w:r w:rsidR="002C7D05" w:rsidRPr="00CA4714">
        <w:rPr>
          <w:rFonts w:asciiTheme="majorHAnsi" w:hAnsiTheme="majorHAnsi" w:cstheme="majorHAnsi"/>
          <w:sz w:val="28"/>
          <w:szCs w:val="28"/>
        </w:rPr>
        <w:t xml:space="preserve">children from lower </w:t>
      </w:r>
      <w:r w:rsidR="005F50BD" w:rsidRPr="00CA4714">
        <w:rPr>
          <w:rFonts w:asciiTheme="majorHAnsi" w:hAnsiTheme="majorHAnsi" w:cstheme="majorHAnsi"/>
          <w:sz w:val="28"/>
          <w:szCs w:val="28"/>
        </w:rPr>
        <w:t>socio-</w:t>
      </w:r>
      <w:r w:rsidR="002C7D05" w:rsidRPr="00CA4714">
        <w:rPr>
          <w:rFonts w:asciiTheme="majorHAnsi" w:hAnsiTheme="majorHAnsi" w:cstheme="majorHAnsi"/>
          <w:sz w:val="28"/>
          <w:szCs w:val="28"/>
        </w:rPr>
        <w:t>economic s</w:t>
      </w:r>
      <w:r w:rsidR="008F5027">
        <w:rPr>
          <w:rFonts w:asciiTheme="majorHAnsi" w:hAnsiTheme="majorHAnsi" w:cstheme="majorHAnsi"/>
          <w:sz w:val="28"/>
          <w:szCs w:val="28"/>
        </w:rPr>
        <w:t>tatus groups (see A</w:t>
      </w:r>
      <w:r w:rsidR="006A4BD7">
        <w:rPr>
          <w:rFonts w:asciiTheme="majorHAnsi" w:hAnsiTheme="majorHAnsi" w:cstheme="majorHAnsi"/>
          <w:sz w:val="28"/>
          <w:szCs w:val="28"/>
        </w:rPr>
        <w:t>uthor</w:t>
      </w:r>
      <w:r w:rsidR="002C7D05" w:rsidRPr="00CA4714">
        <w:rPr>
          <w:rFonts w:asciiTheme="majorHAnsi" w:hAnsiTheme="majorHAnsi" w:cstheme="majorHAnsi"/>
          <w:sz w:val="28"/>
          <w:szCs w:val="28"/>
        </w:rPr>
        <w:t>).</w:t>
      </w:r>
    </w:p>
    <w:p w14:paraId="7486E0EA" w14:textId="77939210" w:rsidR="00A768A9" w:rsidRDefault="003E4FA2" w:rsidP="002C7D05">
      <w:pPr>
        <w:jc w:val="both"/>
        <w:rPr>
          <w:rFonts w:asciiTheme="majorHAnsi" w:hAnsiTheme="majorHAnsi" w:cstheme="majorHAnsi"/>
          <w:sz w:val="28"/>
          <w:szCs w:val="28"/>
        </w:rPr>
      </w:pPr>
      <w:r w:rsidRPr="00CA4714">
        <w:rPr>
          <w:rFonts w:asciiTheme="majorHAnsi" w:hAnsiTheme="majorHAnsi" w:cstheme="majorHAnsi"/>
          <w:sz w:val="28"/>
          <w:szCs w:val="28"/>
        </w:rPr>
        <w:t xml:space="preserve">The analysis of demand side factors </w:t>
      </w:r>
      <w:r w:rsidR="00E27A36" w:rsidRPr="00CA4714">
        <w:rPr>
          <w:rFonts w:asciiTheme="majorHAnsi" w:hAnsiTheme="majorHAnsi" w:cstheme="majorHAnsi"/>
          <w:sz w:val="28"/>
          <w:szCs w:val="28"/>
        </w:rPr>
        <w:t xml:space="preserve">in most surveys </w:t>
      </w:r>
      <w:r w:rsidR="00DF7225" w:rsidRPr="00CA4714">
        <w:rPr>
          <w:rFonts w:asciiTheme="majorHAnsi" w:hAnsiTheme="majorHAnsi" w:cstheme="majorHAnsi"/>
          <w:sz w:val="28"/>
          <w:szCs w:val="28"/>
        </w:rPr>
        <w:t xml:space="preserve">and other studies </w:t>
      </w:r>
      <w:r w:rsidR="00E27A36" w:rsidRPr="00CA4714">
        <w:rPr>
          <w:rFonts w:asciiTheme="majorHAnsi" w:hAnsiTheme="majorHAnsi" w:cstheme="majorHAnsi"/>
          <w:sz w:val="28"/>
          <w:szCs w:val="28"/>
        </w:rPr>
        <w:t xml:space="preserve">of private tuition provision </w:t>
      </w:r>
      <w:r w:rsidR="00986E99">
        <w:rPr>
          <w:rFonts w:asciiTheme="majorHAnsi" w:hAnsiTheme="majorHAnsi" w:cstheme="majorHAnsi"/>
          <w:sz w:val="28"/>
          <w:szCs w:val="28"/>
        </w:rPr>
        <w:t xml:space="preserve">in SSA </w:t>
      </w:r>
      <w:r w:rsidRPr="00CA4714">
        <w:rPr>
          <w:rFonts w:asciiTheme="majorHAnsi" w:hAnsiTheme="majorHAnsi" w:cstheme="majorHAnsi"/>
          <w:sz w:val="28"/>
          <w:szCs w:val="28"/>
        </w:rPr>
        <w:t xml:space="preserve">is </w:t>
      </w:r>
      <w:r w:rsidR="005A382A" w:rsidRPr="00CA4714">
        <w:rPr>
          <w:rFonts w:asciiTheme="majorHAnsi" w:hAnsiTheme="majorHAnsi" w:cstheme="majorHAnsi"/>
          <w:sz w:val="28"/>
          <w:szCs w:val="28"/>
        </w:rPr>
        <w:t>generally</w:t>
      </w:r>
      <w:r w:rsidRPr="00CA4714">
        <w:rPr>
          <w:rFonts w:asciiTheme="majorHAnsi" w:hAnsiTheme="majorHAnsi" w:cstheme="majorHAnsi"/>
          <w:sz w:val="28"/>
          <w:szCs w:val="28"/>
        </w:rPr>
        <w:t xml:space="preserve"> quite s</w:t>
      </w:r>
      <w:r w:rsidR="005A382A" w:rsidRPr="00CA4714">
        <w:rPr>
          <w:rFonts w:asciiTheme="majorHAnsi" w:hAnsiTheme="majorHAnsi" w:cstheme="majorHAnsi"/>
          <w:sz w:val="28"/>
          <w:szCs w:val="28"/>
        </w:rPr>
        <w:t xml:space="preserve">uperficial </w:t>
      </w:r>
      <w:r w:rsidR="005C0B0B">
        <w:rPr>
          <w:rFonts w:asciiTheme="majorHAnsi" w:hAnsiTheme="majorHAnsi" w:cstheme="majorHAnsi"/>
          <w:sz w:val="28"/>
          <w:szCs w:val="28"/>
        </w:rPr>
        <w:t xml:space="preserve">mainly </w:t>
      </w:r>
      <w:r w:rsidRPr="00CA4714">
        <w:rPr>
          <w:rFonts w:asciiTheme="majorHAnsi" w:hAnsiTheme="majorHAnsi" w:cstheme="majorHAnsi"/>
          <w:sz w:val="28"/>
          <w:szCs w:val="28"/>
        </w:rPr>
        <w:t>because key areas</w:t>
      </w:r>
      <w:r w:rsidR="005A382A" w:rsidRPr="00CA4714">
        <w:rPr>
          <w:rFonts w:asciiTheme="majorHAnsi" w:hAnsiTheme="majorHAnsi" w:cstheme="majorHAnsi"/>
          <w:sz w:val="28"/>
          <w:szCs w:val="28"/>
        </w:rPr>
        <w:t>/aspects</w:t>
      </w:r>
      <w:r w:rsidRPr="00CA4714">
        <w:rPr>
          <w:rFonts w:asciiTheme="majorHAnsi" w:hAnsiTheme="majorHAnsi" w:cstheme="majorHAnsi"/>
          <w:sz w:val="28"/>
          <w:szCs w:val="28"/>
        </w:rPr>
        <w:t xml:space="preserve"> of tuition demand </w:t>
      </w:r>
      <w:r w:rsidR="00E27A36" w:rsidRPr="00CA4714">
        <w:rPr>
          <w:rFonts w:asciiTheme="majorHAnsi" w:hAnsiTheme="majorHAnsi" w:cstheme="majorHAnsi"/>
          <w:sz w:val="28"/>
          <w:szCs w:val="28"/>
        </w:rPr>
        <w:t xml:space="preserve">are excluded. </w:t>
      </w:r>
      <w:r w:rsidR="005C0B0B">
        <w:rPr>
          <w:rFonts w:asciiTheme="majorHAnsi" w:hAnsiTheme="majorHAnsi" w:cstheme="majorHAnsi"/>
          <w:sz w:val="28"/>
          <w:szCs w:val="28"/>
        </w:rPr>
        <w:t>In pa</w:t>
      </w:r>
      <w:r w:rsidR="00DF7225" w:rsidRPr="00CA4714">
        <w:rPr>
          <w:rFonts w:asciiTheme="majorHAnsi" w:hAnsiTheme="majorHAnsi" w:cstheme="majorHAnsi"/>
          <w:sz w:val="28"/>
          <w:szCs w:val="28"/>
        </w:rPr>
        <w:t>rticular, p</w:t>
      </w:r>
      <w:r w:rsidR="005A382A" w:rsidRPr="00CA4714">
        <w:rPr>
          <w:rFonts w:asciiTheme="majorHAnsi" w:hAnsiTheme="majorHAnsi" w:cstheme="majorHAnsi"/>
          <w:sz w:val="28"/>
          <w:szCs w:val="28"/>
        </w:rPr>
        <w:t xml:space="preserve">otentially </w:t>
      </w:r>
      <w:r w:rsidRPr="00CA4714">
        <w:rPr>
          <w:rFonts w:asciiTheme="majorHAnsi" w:hAnsiTheme="majorHAnsi" w:cstheme="majorHAnsi"/>
          <w:sz w:val="28"/>
          <w:szCs w:val="28"/>
        </w:rPr>
        <w:t>important inter-relationships between private schooling and private tuition across various locations and especially rural and urban areas</w:t>
      </w:r>
      <w:r w:rsidR="00E27A36" w:rsidRPr="00CA4714">
        <w:rPr>
          <w:rFonts w:asciiTheme="majorHAnsi" w:hAnsiTheme="majorHAnsi" w:cstheme="majorHAnsi"/>
          <w:sz w:val="28"/>
          <w:szCs w:val="28"/>
        </w:rPr>
        <w:t xml:space="preserve"> are ignored altogether</w:t>
      </w:r>
      <w:r w:rsidRPr="00CA4714">
        <w:rPr>
          <w:rFonts w:asciiTheme="majorHAnsi" w:hAnsiTheme="majorHAnsi" w:cstheme="majorHAnsi"/>
          <w:sz w:val="28"/>
          <w:szCs w:val="28"/>
        </w:rPr>
        <w:t xml:space="preserve">. As will be </w:t>
      </w:r>
      <w:r w:rsidRPr="00CA4714">
        <w:rPr>
          <w:rFonts w:asciiTheme="majorHAnsi" w:hAnsiTheme="majorHAnsi" w:cstheme="majorHAnsi"/>
          <w:sz w:val="28"/>
          <w:szCs w:val="28"/>
        </w:rPr>
        <w:lastRenderedPageBreak/>
        <w:t xml:space="preserve">discussed below, the PASEC survey data </w:t>
      </w:r>
      <w:r w:rsidR="00DF7225" w:rsidRPr="00CA4714">
        <w:rPr>
          <w:rFonts w:asciiTheme="majorHAnsi" w:hAnsiTheme="majorHAnsi" w:cstheme="majorHAnsi"/>
          <w:sz w:val="28"/>
          <w:szCs w:val="28"/>
        </w:rPr>
        <w:t>reveals</w:t>
      </w:r>
      <w:r w:rsidR="00225D5E" w:rsidRPr="00CA4714">
        <w:rPr>
          <w:rFonts w:asciiTheme="majorHAnsi" w:hAnsiTheme="majorHAnsi" w:cstheme="majorHAnsi"/>
          <w:sz w:val="28"/>
          <w:szCs w:val="28"/>
        </w:rPr>
        <w:t xml:space="preserve"> </w:t>
      </w:r>
      <w:r w:rsidRPr="00CA4714">
        <w:rPr>
          <w:rFonts w:asciiTheme="majorHAnsi" w:hAnsiTheme="majorHAnsi" w:cstheme="majorHAnsi"/>
          <w:sz w:val="28"/>
          <w:szCs w:val="28"/>
        </w:rPr>
        <w:t xml:space="preserve">the </w:t>
      </w:r>
      <w:r w:rsidR="00225D5E" w:rsidRPr="00CA4714">
        <w:rPr>
          <w:rFonts w:asciiTheme="majorHAnsi" w:hAnsiTheme="majorHAnsi" w:cstheme="majorHAnsi"/>
          <w:sz w:val="28"/>
          <w:szCs w:val="28"/>
        </w:rPr>
        <w:t xml:space="preserve">extent to which the incidence of </w:t>
      </w:r>
      <w:r w:rsidRPr="00CA4714">
        <w:rPr>
          <w:rFonts w:asciiTheme="majorHAnsi" w:hAnsiTheme="majorHAnsi" w:cstheme="majorHAnsi"/>
          <w:sz w:val="28"/>
          <w:szCs w:val="28"/>
        </w:rPr>
        <w:t xml:space="preserve">private tutoring among students attending private schools </w:t>
      </w:r>
      <w:r w:rsidR="00225D5E" w:rsidRPr="00CA4714">
        <w:rPr>
          <w:rFonts w:asciiTheme="majorHAnsi" w:hAnsiTheme="majorHAnsi" w:cstheme="majorHAnsi"/>
          <w:sz w:val="28"/>
          <w:szCs w:val="28"/>
        </w:rPr>
        <w:t xml:space="preserve">is much higher than among public school students </w:t>
      </w:r>
      <w:r w:rsidRPr="00CA4714">
        <w:rPr>
          <w:rFonts w:asciiTheme="majorHAnsi" w:hAnsiTheme="majorHAnsi" w:cstheme="majorHAnsi"/>
          <w:sz w:val="28"/>
          <w:szCs w:val="28"/>
        </w:rPr>
        <w:t xml:space="preserve">which suggests that the demand relationships between </w:t>
      </w:r>
      <w:r w:rsidR="008F5027">
        <w:rPr>
          <w:rFonts w:asciiTheme="majorHAnsi" w:hAnsiTheme="majorHAnsi" w:cstheme="majorHAnsi"/>
          <w:sz w:val="28"/>
          <w:szCs w:val="28"/>
        </w:rPr>
        <w:t xml:space="preserve">these </w:t>
      </w:r>
      <w:r w:rsidRPr="00CA4714">
        <w:rPr>
          <w:rFonts w:asciiTheme="majorHAnsi" w:hAnsiTheme="majorHAnsi" w:cstheme="majorHAnsi"/>
          <w:sz w:val="28"/>
          <w:szCs w:val="28"/>
        </w:rPr>
        <w:t xml:space="preserve">two types of private education provision are </w:t>
      </w:r>
      <w:r w:rsidR="00F64B39">
        <w:rPr>
          <w:rFonts w:asciiTheme="majorHAnsi" w:hAnsiTheme="majorHAnsi" w:cstheme="majorHAnsi"/>
          <w:sz w:val="28"/>
          <w:szCs w:val="28"/>
        </w:rPr>
        <w:t xml:space="preserve">more </w:t>
      </w:r>
      <w:r w:rsidRPr="00CA4714">
        <w:rPr>
          <w:rFonts w:asciiTheme="majorHAnsi" w:hAnsiTheme="majorHAnsi" w:cstheme="majorHAnsi"/>
          <w:sz w:val="28"/>
          <w:szCs w:val="28"/>
        </w:rPr>
        <w:t xml:space="preserve">complementary </w:t>
      </w:r>
      <w:r w:rsidR="00F64B39">
        <w:rPr>
          <w:rFonts w:asciiTheme="majorHAnsi" w:hAnsiTheme="majorHAnsi" w:cstheme="majorHAnsi"/>
          <w:sz w:val="28"/>
          <w:szCs w:val="28"/>
        </w:rPr>
        <w:t xml:space="preserve">than </w:t>
      </w:r>
      <w:r w:rsidRPr="00CA4714">
        <w:rPr>
          <w:rFonts w:asciiTheme="majorHAnsi" w:hAnsiTheme="majorHAnsi" w:cstheme="majorHAnsi"/>
          <w:sz w:val="28"/>
          <w:szCs w:val="28"/>
        </w:rPr>
        <w:t>substitutive.</w:t>
      </w:r>
    </w:p>
    <w:p w14:paraId="15EB2852" w14:textId="16FF370C" w:rsidR="006D07A0" w:rsidRPr="00CA4714" w:rsidRDefault="006D07A0" w:rsidP="006D07A0">
      <w:pPr>
        <w:jc w:val="both"/>
        <w:rPr>
          <w:rFonts w:asciiTheme="majorHAnsi" w:hAnsiTheme="majorHAnsi" w:cstheme="majorHAnsi"/>
          <w:sz w:val="28"/>
          <w:szCs w:val="28"/>
        </w:rPr>
      </w:pPr>
      <w:r w:rsidRPr="00CA4714">
        <w:rPr>
          <w:rFonts w:asciiTheme="majorHAnsi" w:hAnsiTheme="majorHAnsi" w:cstheme="majorHAnsi"/>
          <w:sz w:val="28"/>
          <w:szCs w:val="28"/>
        </w:rPr>
        <w:t xml:space="preserve">On the </w:t>
      </w:r>
      <w:r w:rsidR="005C0B0B">
        <w:rPr>
          <w:rFonts w:asciiTheme="majorHAnsi" w:hAnsiTheme="majorHAnsi" w:cstheme="majorHAnsi"/>
          <w:sz w:val="28"/>
          <w:szCs w:val="28"/>
        </w:rPr>
        <w:t xml:space="preserve">supply side, the key </w:t>
      </w:r>
      <w:r w:rsidRPr="00CA4714">
        <w:rPr>
          <w:rFonts w:asciiTheme="majorHAnsi" w:hAnsiTheme="majorHAnsi" w:cstheme="majorHAnsi"/>
          <w:sz w:val="28"/>
          <w:szCs w:val="28"/>
        </w:rPr>
        <w:t xml:space="preserve">factors are the availability and cost of private education service providers. Most studies highlight the willingness of large numbers of government and other teachers (both employed and unemployed) to supplement their generally meagre pay with income from private tutoring as a key issue. Similarly, the Bray Africa review concludes </w:t>
      </w:r>
      <w:r>
        <w:rPr>
          <w:rFonts w:asciiTheme="majorHAnsi" w:hAnsiTheme="majorHAnsi" w:cstheme="majorHAnsi"/>
          <w:sz w:val="28"/>
          <w:szCs w:val="28"/>
        </w:rPr>
        <w:t xml:space="preserve">that </w:t>
      </w:r>
      <w:r w:rsidRPr="00CA4714">
        <w:rPr>
          <w:rFonts w:asciiTheme="majorHAnsi" w:hAnsiTheme="majorHAnsi" w:cstheme="majorHAnsi"/>
          <w:sz w:val="28"/>
          <w:szCs w:val="28"/>
        </w:rPr>
        <w:t xml:space="preserve">‘erosion of salaries in both Anglophone </w:t>
      </w:r>
      <w:r>
        <w:rPr>
          <w:rFonts w:asciiTheme="majorHAnsi" w:hAnsiTheme="majorHAnsi" w:cstheme="majorHAnsi"/>
          <w:sz w:val="28"/>
          <w:szCs w:val="28"/>
        </w:rPr>
        <w:t xml:space="preserve">and Francophone </w:t>
      </w:r>
      <w:r w:rsidRPr="00CA4714">
        <w:rPr>
          <w:rFonts w:asciiTheme="majorHAnsi" w:hAnsiTheme="majorHAnsi" w:cstheme="majorHAnsi"/>
          <w:sz w:val="28"/>
          <w:szCs w:val="28"/>
        </w:rPr>
        <w:t xml:space="preserve">countries has increased the pressure on teachers to engage in additional occupations, among which private tutoring is a common choice’ (p.12).  </w:t>
      </w:r>
    </w:p>
    <w:p w14:paraId="37BF42AC" w14:textId="57E9F98C" w:rsidR="00EA5EF5" w:rsidRPr="00A768A9" w:rsidRDefault="00A768A9" w:rsidP="000C1911">
      <w:pPr>
        <w:tabs>
          <w:tab w:val="left" w:pos="3432"/>
        </w:tabs>
        <w:jc w:val="both"/>
        <w:rPr>
          <w:rFonts w:asciiTheme="majorHAnsi" w:hAnsiTheme="majorHAnsi" w:cstheme="majorHAnsi"/>
          <w:i/>
          <w:sz w:val="28"/>
          <w:szCs w:val="28"/>
        </w:rPr>
      </w:pPr>
      <w:r>
        <w:rPr>
          <w:rFonts w:asciiTheme="majorHAnsi" w:hAnsiTheme="majorHAnsi" w:cstheme="majorHAnsi"/>
          <w:i/>
          <w:sz w:val="28"/>
          <w:szCs w:val="28"/>
        </w:rPr>
        <w:t xml:space="preserve">2.2 </w:t>
      </w:r>
      <w:r w:rsidRPr="00A768A9">
        <w:rPr>
          <w:rFonts w:asciiTheme="majorHAnsi" w:hAnsiTheme="majorHAnsi" w:cstheme="majorHAnsi"/>
          <w:i/>
          <w:sz w:val="28"/>
          <w:szCs w:val="28"/>
        </w:rPr>
        <w:t>Provision patterns</w:t>
      </w:r>
      <w:r w:rsidR="003E4FA2" w:rsidRPr="00A768A9">
        <w:rPr>
          <w:rFonts w:asciiTheme="majorHAnsi" w:hAnsiTheme="majorHAnsi" w:cstheme="majorHAnsi"/>
          <w:i/>
          <w:sz w:val="28"/>
          <w:szCs w:val="28"/>
        </w:rPr>
        <w:t xml:space="preserve">  </w:t>
      </w:r>
      <w:r w:rsidR="000C1911">
        <w:rPr>
          <w:rFonts w:asciiTheme="majorHAnsi" w:hAnsiTheme="majorHAnsi" w:cstheme="majorHAnsi"/>
          <w:i/>
          <w:sz w:val="28"/>
          <w:szCs w:val="28"/>
        </w:rPr>
        <w:tab/>
      </w:r>
    </w:p>
    <w:p w14:paraId="76FBBC9F" w14:textId="0207A5D4" w:rsidR="00A768A9" w:rsidRDefault="005C0B0B" w:rsidP="00DA2BBA">
      <w:pPr>
        <w:jc w:val="both"/>
        <w:rPr>
          <w:rFonts w:asciiTheme="majorHAnsi" w:hAnsiTheme="majorHAnsi" w:cstheme="majorHAnsi"/>
          <w:sz w:val="28"/>
          <w:szCs w:val="28"/>
        </w:rPr>
      </w:pPr>
      <w:r>
        <w:rPr>
          <w:rFonts w:asciiTheme="majorHAnsi" w:hAnsiTheme="majorHAnsi" w:cstheme="majorHAnsi"/>
          <w:sz w:val="28"/>
          <w:szCs w:val="28"/>
        </w:rPr>
        <w:t xml:space="preserve">The </w:t>
      </w:r>
      <w:r w:rsidR="00F53784">
        <w:rPr>
          <w:rFonts w:asciiTheme="majorHAnsi" w:hAnsiTheme="majorHAnsi" w:cstheme="majorHAnsi"/>
          <w:sz w:val="28"/>
          <w:szCs w:val="28"/>
        </w:rPr>
        <w:t xml:space="preserve">available </w:t>
      </w:r>
      <w:r w:rsidR="00A768A9">
        <w:rPr>
          <w:rFonts w:asciiTheme="majorHAnsi" w:hAnsiTheme="majorHAnsi" w:cstheme="majorHAnsi"/>
          <w:sz w:val="28"/>
          <w:szCs w:val="28"/>
        </w:rPr>
        <w:t xml:space="preserve">evidence </w:t>
      </w:r>
      <w:r>
        <w:rPr>
          <w:rFonts w:asciiTheme="majorHAnsi" w:hAnsiTheme="majorHAnsi" w:cstheme="majorHAnsi"/>
          <w:sz w:val="28"/>
          <w:szCs w:val="28"/>
        </w:rPr>
        <w:t xml:space="preserve">presented in the Bray review </w:t>
      </w:r>
      <w:r w:rsidR="00A768A9">
        <w:rPr>
          <w:rFonts w:asciiTheme="majorHAnsi" w:hAnsiTheme="majorHAnsi" w:cstheme="majorHAnsi"/>
          <w:sz w:val="28"/>
          <w:szCs w:val="28"/>
        </w:rPr>
        <w:t xml:space="preserve">on the patterns of private tuition provision </w:t>
      </w:r>
      <w:r>
        <w:rPr>
          <w:rFonts w:asciiTheme="majorHAnsi" w:hAnsiTheme="majorHAnsi" w:cstheme="majorHAnsi"/>
          <w:sz w:val="28"/>
          <w:szCs w:val="28"/>
        </w:rPr>
        <w:t xml:space="preserve">in SSA </w:t>
      </w:r>
      <w:r w:rsidR="00A768A9">
        <w:rPr>
          <w:rFonts w:asciiTheme="majorHAnsi" w:hAnsiTheme="majorHAnsi" w:cstheme="majorHAnsi"/>
          <w:sz w:val="28"/>
          <w:szCs w:val="28"/>
        </w:rPr>
        <w:t>is both limited and dated.</w:t>
      </w:r>
      <w:r w:rsidR="00F64B39">
        <w:rPr>
          <w:rFonts w:asciiTheme="majorHAnsi" w:hAnsiTheme="majorHAnsi" w:cstheme="majorHAnsi"/>
          <w:sz w:val="28"/>
          <w:szCs w:val="28"/>
        </w:rPr>
        <w:t xml:space="preserve"> </w:t>
      </w:r>
      <w:r w:rsidR="00A768A9">
        <w:rPr>
          <w:rFonts w:asciiTheme="majorHAnsi" w:hAnsiTheme="majorHAnsi" w:cstheme="majorHAnsi"/>
          <w:sz w:val="28"/>
          <w:szCs w:val="28"/>
        </w:rPr>
        <w:t xml:space="preserve">   </w:t>
      </w:r>
    </w:p>
    <w:p w14:paraId="5B457953" w14:textId="53E1AC15" w:rsidR="00A768A9" w:rsidRDefault="00A768A9" w:rsidP="00DA2BBA">
      <w:pPr>
        <w:jc w:val="both"/>
        <w:rPr>
          <w:rFonts w:asciiTheme="majorHAnsi" w:hAnsiTheme="majorHAnsi" w:cstheme="majorHAnsi"/>
          <w:sz w:val="28"/>
          <w:szCs w:val="28"/>
        </w:rPr>
      </w:pPr>
      <w:r>
        <w:rPr>
          <w:rFonts w:asciiTheme="majorHAnsi" w:hAnsiTheme="majorHAnsi" w:cstheme="majorHAnsi"/>
          <w:sz w:val="28"/>
          <w:szCs w:val="28"/>
        </w:rPr>
        <w:t xml:space="preserve">Gender: The </w:t>
      </w:r>
      <w:r w:rsidR="00741A05" w:rsidRPr="00CA4714">
        <w:rPr>
          <w:rFonts w:asciiTheme="majorHAnsi" w:hAnsiTheme="majorHAnsi" w:cstheme="majorHAnsi"/>
          <w:sz w:val="28"/>
          <w:szCs w:val="28"/>
        </w:rPr>
        <w:t xml:space="preserve">Bray review </w:t>
      </w:r>
      <w:r>
        <w:rPr>
          <w:rFonts w:asciiTheme="majorHAnsi" w:hAnsiTheme="majorHAnsi" w:cstheme="majorHAnsi"/>
          <w:sz w:val="28"/>
          <w:szCs w:val="28"/>
        </w:rPr>
        <w:t xml:space="preserve">cites evidence from </w:t>
      </w:r>
      <w:r w:rsidR="00490015">
        <w:rPr>
          <w:rFonts w:asciiTheme="majorHAnsi" w:hAnsiTheme="majorHAnsi" w:cstheme="majorHAnsi"/>
          <w:sz w:val="28"/>
          <w:szCs w:val="28"/>
        </w:rPr>
        <w:t xml:space="preserve">six </w:t>
      </w:r>
      <w:r>
        <w:rPr>
          <w:rFonts w:asciiTheme="majorHAnsi" w:hAnsiTheme="majorHAnsi" w:cstheme="majorHAnsi"/>
          <w:sz w:val="28"/>
          <w:szCs w:val="28"/>
        </w:rPr>
        <w:t xml:space="preserve">studies, </w:t>
      </w:r>
      <w:r w:rsidR="00490015">
        <w:rPr>
          <w:rFonts w:asciiTheme="majorHAnsi" w:hAnsiTheme="majorHAnsi" w:cstheme="majorHAnsi"/>
          <w:sz w:val="28"/>
          <w:szCs w:val="28"/>
        </w:rPr>
        <w:t>five</w:t>
      </w:r>
      <w:r>
        <w:rPr>
          <w:rFonts w:asciiTheme="majorHAnsi" w:hAnsiTheme="majorHAnsi" w:cstheme="majorHAnsi"/>
          <w:sz w:val="28"/>
          <w:szCs w:val="28"/>
        </w:rPr>
        <w:t xml:space="preserve"> of which report </w:t>
      </w:r>
      <w:r w:rsidR="00741A05" w:rsidRPr="00CA4714">
        <w:rPr>
          <w:rFonts w:asciiTheme="majorHAnsi" w:hAnsiTheme="majorHAnsi" w:cstheme="majorHAnsi"/>
          <w:sz w:val="28"/>
          <w:szCs w:val="28"/>
        </w:rPr>
        <w:t xml:space="preserve">that the </w:t>
      </w:r>
      <w:r w:rsidR="005A382A" w:rsidRPr="00CA4714">
        <w:rPr>
          <w:rFonts w:asciiTheme="majorHAnsi" w:hAnsiTheme="majorHAnsi" w:cstheme="majorHAnsi"/>
          <w:sz w:val="28"/>
          <w:szCs w:val="28"/>
        </w:rPr>
        <w:t xml:space="preserve">overall </w:t>
      </w:r>
      <w:r w:rsidR="00741A05" w:rsidRPr="00CA4714">
        <w:rPr>
          <w:rFonts w:asciiTheme="majorHAnsi" w:hAnsiTheme="majorHAnsi" w:cstheme="majorHAnsi"/>
          <w:sz w:val="28"/>
          <w:szCs w:val="28"/>
        </w:rPr>
        <w:t xml:space="preserve">incidence of girls receiving private tuition </w:t>
      </w:r>
      <w:r w:rsidR="005A382A" w:rsidRPr="00CA4714">
        <w:rPr>
          <w:rFonts w:asciiTheme="majorHAnsi" w:hAnsiTheme="majorHAnsi" w:cstheme="majorHAnsi"/>
          <w:sz w:val="28"/>
          <w:szCs w:val="28"/>
        </w:rPr>
        <w:t xml:space="preserve">in </w:t>
      </w:r>
      <w:r>
        <w:rPr>
          <w:rFonts w:asciiTheme="majorHAnsi" w:hAnsiTheme="majorHAnsi" w:cstheme="majorHAnsi"/>
          <w:sz w:val="28"/>
          <w:szCs w:val="28"/>
        </w:rPr>
        <w:t>SSA</w:t>
      </w:r>
      <w:r w:rsidR="005A382A" w:rsidRPr="00CA4714">
        <w:rPr>
          <w:rFonts w:asciiTheme="majorHAnsi" w:hAnsiTheme="majorHAnsi" w:cstheme="majorHAnsi"/>
          <w:sz w:val="28"/>
          <w:szCs w:val="28"/>
        </w:rPr>
        <w:t xml:space="preserve"> </w:t>
      </w:r>
      <w:r w:rsidR="00741A05" w:rsidRPr="00CA4714">
        <w:rPr>
          <w:rFonts w:asciiTheme="majorHAnsi" w:hAnsiTheme="majorHAnsi" w:cstheme="majorHAnsi"/>
          <w:sz w:val="28"/>
          <w:szCs w:val="28"/>
        </w:rPr>
        <w:t>is higher than among boys</w:t>
      </w:r>
      <w:r>
        <w:rPr>
          <w:rFonts w:asciiTheme="majorHAnsi" w:hAnsiTheme="majorHAnsi" w:cstheme="majorHAnsi"/>
          <w:sz w:val="28"/>
          <w:szCs w:val="28"/>
        </w:rPr>
        <w:t xml:space="preserve">. Three of these studies are over 15 years old and none </w:t>
      </w:r>
      <w:r w:rsidR="00F64B39">
        <w:rPr>
          <w:rFonts w:asciiTheme="majorHAnsi" w:hAnsiTheme="majorHAnsi" w:cstheme="majorHAnsi"/>
          <w:sz w:val="28"/>
          <w:szCs w:val="28"/>
        </w:rPr>
        <w:t>of them provide any explanation</w:t>
      </w:r>
      <w:r>
        <w:rPr>
          <w:rFonts w:asciiTheme="majorHAnsi" w:hAnsiTheme="majorHAnsi" w:cstheme="majorHAnsi"/>
          <w:sz w:val="28"/>
          <w:szCs w:val="28"/>
        </w:rPr>
        <w:t xml:space="preserve"> for the observed gender disparities</w:t>
      </w:r>
      <w:r w:rsidR="00490015">
        <w:rPr>
          <w:rFonts w:asciiTheme="majorHAnsi" w:hAnsiTheme="majorHAnsi" w:cstheme="majorHAnsi"/>
          <w:sz w:val="28"/>
          <w:szCs w:val="28"/>
        </w:rPr>
        <w:t xml:space="preserve"> (See Buchmann 1999; Getange and Obar 2016; Melese and Abebe 2017; Montgomery et al. 2010 and ORC 2003 and 2004).</w:t>
      </w:r>
    </w:p>
    <w:p w14:paraId="34A0E53B" w14:textId="70966A58" w:rsidR="006D07A0" w:rsidRDefault="0018374B" w:rsidP="00DA2BBA">
      <w:pPr>
        <w:jc w:val="both"/>
        <w:rPr>
          <w:rFonts w:asciiTheme="majorHAnsi" w:hAnsiTheme="majorHAnsi" w:cstheme="majorHAnsi"/>
          <w:sz w:val="28"/>
          <w:szCs w:val="28"/>
        </w:rPr>
      </w:pPr>
      <w:r w:rsidRPr="00CA4714">
        <w:rPr>
          <w:rFonts w:asciiTheme="majorHAnsi" w:hAnsiTheme="majorHAnsi" w:cstheme="majorHAnsi"/>
          <w:sz w:val="28"/>
          <w:szCs w:val="28"/>
        </w:rPr>
        <w:t>Location</w:t>
      </w:r>
      <w:r w:rsidR="00A768A9">
        <w:rPr>
          <w:rFonts w:asciiTheme="majorHAnsi" w:hAnsiTheme="majorHAnsi" w:cstheme="majorHAnsi"/>
          <w:sz w:val="28"/>
          <w:szCs w:val="28"/>
        </w:rPr>
        <w:t xml:space="preserve">: </w:t>
      </w:r>
      <w:r w:rsidRPr="00CA4714">
        <w:rPr>
          <w:rFonts w:asciiTheme="majorHAnsi" w:hAnsiTheme="majorHAnsi" w:cstheme="majorHAnsi"/>
          <w:sz w:val="28"/>
          <w:szCs w:val="28"/>
        </w:rPr>
        <w:t xml:space="preserve"> </w:t>
      </w:r>
      <w:r w:rsidR="00A768A9">
        <w:rPr>
          <w:rFonts w:asciiTheme="majorHAnsi" w:hAnsiTheme="majorHAnsi" w:cstheme="majorHAnsi"/>
          <w:sz w:val="28"/>
          <w:szCs w:val="28"/>
        </w:rPr>
        <w:t>Four studies</w:t>
      </w:r>
      <w:r w:rsidR="006D07A0">
        <w:rPr>
          <w:rFonts w:asciiTheme="majorHAnsi" w:hAnsiTheme="majorHAnsi" w:cstheme="majorHAnsi"/>
          <w:sz w:val="28"/>
          <w:szCs w:val="28"/>
        </w:rPr>
        <w:t>,</w:t>
      </w:r>
      <w:r w:rsidR="00A768A9">
        <w:rPr>
          <w:rFonts w:asciiTheme="majorHAnsi" w:hAnsiTheme="majorHAnsi" w:cstheme="majorHAnsi"/>
          <w:sz w:val="28"/>
          <w:szCs w:val="28"/>
        </w:rPr>
        <w:t xml:space="preserve"> all of which rely on data which is over 15 years old</w:t>
      </w:r>
      <w:r w:rsidR="006D07A0">
        <w:rPr>
          <w:rFonts w:asciiTheme="majorHAnsi" w:hAnsiTheme="majorHAnsi" w:cstheme="majorHAnsi"/>
          <w:sz w:val="28"/>
          <w:szCs w:val="28"/>
        </w:rPr>
        <w:t>,</w:t>
      </w:r>
      <w:r w:rsidR="00A768A9">
        <w:rPr>
          <w:rFonts w:asciiTheme="majorHAnsi" w:hAnsiTheme="majorHAnsi" w:cstheme="majorHAnsi"/>
          <w:sz w:val="28"/>
          <w:szCs w:val="28"/>
        </w:rPr>
        <w:t xml:space="preserve"> report that </w:t>
      </w:r>
      <w:r w:rsidRPr="00CA4714">
        <w:rPr>
          <w:rFonts w:asciiTheme="majorHAnsi" w:hAnsiTheme="majorHAnsi" w:cstheme="majorHAnsi"/>
          <w:sz w:val="28"/>
          <w:szCs w:val="28"/>
        </w:rPr>
        <w:t>the incide</w:t>
      </w:r>
      <w:r w:rsidR="00490015">
        <w:rPr>
          <w:rFonts w:asciiTheme="majorHAnsi" w:hAnsiTheme="majorHAnsi" w:cstheme="majorHAnsi"/>
          <w:sz w:val="28"/>
          <w:szCs w:val="28"/>
        </w:rPr>
        <w:t xml:space="preserve">nce of private tutoring is </w:t>
      </w:r>
      <w:r w:rsidRPr="00CA4714">
        <w:rPr>
          <w:rFonts w:asciiTheme="majorHAnsi" w:hAnsiTheme="majorHAnsi" w:cstheme="majorHAnsi"/>
          <w:sz w:val="28"/>
          <w:szCs w:val="28"/>
        </w:rPr>
        <w:t>higher in urban areas than in rural areas</w:t>
      </w:r>
      <w:r w:rsidR="00490015">
        <w:rPr>
          <w:rFonts w:asciiTheme="majorHAnsi" w:hAnsiTheme="majorHAnsi" w:cstheme="majorHAnsi"/>
          <w:sz w:val="28"/>
          <w:szCs w:val="28"/>
        </w:rPr>
        <w:t xml:space="preserve"> (see Buchmann 1999; Pare-Kabore 2008; ORC Macro 2004 and 2003)</w:t>
      </w:r>
      <w:r w:rsidRPr="00CA4714">
        <w:rPr>
          <w:rFonts w:asciiTheme="majorHAnsi" w:hAnsiTheme="majorHAnsi" w:cstheme="majorHAnsi"/>
          <w:sz w:val="28"/>
          <w:szCs w:val="28"/>
        </w:rPr>
        <w:t xml:space="preserve">. </w:t>
      </w:r>
      <w:r w:rsidR="00CF10C9">
        <w:rPr>
          <w:rFonts w:asciiTheme="majorHAnsi" w:hAnsiTheme="majorHAnsi" w:cstheme="majorHAnsi"/>
          <w:sz w:val="28"/>
          <w:szCs w:val="28"/>
        </w:rPr>
        <w:t>Bray concludes that ‘urban areas have higher (private tuition) enrolment rates because population density provides enough clients for tutorial enterprises to be viable, and supply to some extent creates demand. Further, children in rural areas have less time for extra educational activities because they commonly walk to school and are expected to help with farm work’ (p.</w:t>
      </w:r>
      <w:r w:rsidR="000C1911">
        <w:rPr>
          <w:rFonts w:asciiTheme="majorHAnsi" w:hAnsiTheme="majorHAnsi" w:cstheme="majorHAnsi"/>
          <w:sz w:val="28"/>
          <w:szCs w:val="28"/>
        </w:rPr>
        <w:t>18</w:t>
      </w:r>
      <w:r w:rsidR="00CF10C9">
        <w:rPr>
          <w:rFonts w:asciiTheme="majorHAnsi" w:hAnsiTheme="majorHAnsi" w:cstheme="majorHAnsi"/>
          <w:sz w:val="28"/>
          <w:szCs w:val="28"/>
        </w:rPr>
        <w:t xml:space="preserve">). </w:t>
      </w:r>
    </w:p>
    <w:p w14:paraId="1B075082" w14:textId="3750D608" w:rsidR="006D07A0" w:rsidRDefault="005C0B0B" w:rsidP="00DA2BBA">
      <w:pPr>
        <w:jc w:val="both"/>
        <w:rPr>
          <w:rFonts w:asciiTheme="majorHAnsi" w:hAnsiTheme="majorHAnsi" w:cstheme="majorHAnsi"/>
          <w:sz w:val="28"/>
          <w:szCs w:val="28"/>
        </w:rPr>
      </w:pPr>
      <w:r>
        <w:rPr>
          <w:rFonts w:asciiTheme="majorHAnsi" w:hAnsiTheme="majorHAnsi" w:cstheme="majorHAnsi"/>
          <w:sz w:val="28"/>
          <w:szCs w:val="28"/>
        </w:rPr>
        <w:t xml:space="preserve">Socio-economic status: Only </w:t>
      </w:r>
      <w:r w:rsidR="006D07A0">
        <w:rPr>
          <w:rFonts w:asciiTheme="majorHAnsi" w:hAnsiTheme="majorHAnsi" w:cstheme="majorHAnsi"/>
          <w:sz w:val="28"/>
          <w:szCs w:val="28"/>
        </w:rPr>
        <w:t>on</w:t>
      </w:r>
      <w:r>
        <w:rPr>
          <w:rFonts w:asciiTheme="majorHAnsi" w:hAnsiTheme="majorHAnsi" w:cstheme="majorHAnsi"/>
          <w:sz w:val="28"/>
          <w:szCs w:val="28"/>
        </w:rPr>
        <w:t>e</w:t>
      </w:r>
      <w:r w:rsidR="006D07A0">
        <w:rPr>
          <w:rFonts w:asciiTheme="majorHAnsi" w:hAnsiTheme="majorHAnsi" w:cstheme="majorHAnsi"/>
          <w:sz w:val="28"/>
          <w:szCs w:val="28"/>
        </w:rPr>
        <w:t>, very dated study provides evidence to show that the incidence of private tuition</w:t>
      </w:r>
      <w:r w:rsidR="00490015">
        <w:rPr>
          <w:rFonts w:asciiTheme="majorHAnsi" w:hAnsiTheme="majorHAnsi" w:cstheme="majorHAnsi"/>
          <w:sz w:val="28"/>
          <w:szCs w:val="28"/>
        </w:rPr>
        <w:t xml:space="preserve"> (in Kenya) </w:t>
      </w:r>
      <w:r w:rsidR="006D07A0">
        <w:rPr>
          <w:rFonts w:asciiTheme="majorHAnsi" w:hAnsiTheme="majorHAnsi" w:cstheme="majorHAnsi"/>
          <w:sz w:val="28"/>
          <w:szCs w:val="28"/>
        </w:rPr>
        <w:t>is higher among children from wealthier households</w:t>
      </w:r>
      <w:r w:rsidR="00490015">
        <w:rPr>
          <w:rFonts w:asciiTheme="majorHAnsi" w:hAnsiTheme="majorHAnsi" w:cstheme="majorHAnsi"/>
          <w:sz w:val="28"/>
          <w:szCs w:val="28"/>
        </w:rPr>
        <w:t xml:space="preserve"> (see Buchmann 2002)</w:t>
      </w:r>
      <w:r w:rsidR="006D07A0">
        <w:rPr>
          <w:rFonts w:asciiTheme="majorHAnsi" w:hAnsiTheme="majorHAnsi" w:cstheme="majorHAnsi"/>
          <w:sz w:val="28"/>
          <w:szCs w:val="28"/>
        </w:rPr>
        <w:t>.</w:t>
      </w:r>
    </w:p>
    <w:p w14:paraId="31BCAB29" w14:textId="4A8C46D7" w:rsidR="006D07A0" w:rsidRDefault="00490015" w:rsidP="00DA2BBA">
      <w:pPr>
        <w:jc w:val="both"/>
        <w:rPr>
          <w:rFonts w:asciiTheme="majorHAnsi" w:hAnsiTheme="majorHAnsi" w:cstheme="majorHAnsi"/>
          <w:sz w:val="28"/>
          <w:szCs w:val="28"/>
        </w:rPr>
      </w:pPr>
      <w:r>
        <w:rPr>
          <w:rFonts w:asciiTheme="majorHAnsi" w:hAnsiTheme="majorHAnsi" w:cstheme="majorHAnsi"/>
          <w:sz w:val="28"/>
          <w:szCs w:val="28"/>
        </w:rPr>
        <w:lastRenderedPageBreak/>
        <w:t>Type of school attended</w:t>
      </w:r>
      <w:r w:rsidR="006D07A0">
        <w:rPr>
          <w:rFonts w:asciiTheme="majorHAnsi" w:hAnsiTheme="majorHAnsi" w:cstheme="majorHAnsi"/>
          <w:sz w:val="28"/>
          <w:szCs w:val="28"/>
        </w:rPr>
        <w:t xml:space="preserve">: No evidence is presented in the Bray review on the incidence of private tutoring </w:t>
      </w:r>
      <w:r w:rsidR="009309D4">
        <w:rPr>
          <w:rFonts w:asciiTheme="majorHAnsi" w:hAnsiTheme="majorHAnsi" w:cstheme="majorHAnsi"/>
          <w:sz w:val="28"/>
          <w:szCs w:val="28"/>
        </w:rPr>
        <w:t xml:space="preserve">among school students </w:t>
      </w:r>
      <w:r w:rsidR="006D07A0">
        <w:rPr>
          <w:rFonts w:asciiTheme="majorHAnsi" w:hAnsiTheme="majorHAnsi" w:cstheme="majorHAnsi"/>
          <w:sz w:val="28"/>
          <w:szCs w:val="28"/>
        </w:rPr>
        <w:t xml:space="preserve">with respect to </w:t>
      </w:r>
      <w:r w:rsidR="009309D4">
        <w:rPr>
          <w:rFonts w:asciiTheme="majorHAnsi" w:hAnsiTheme="majorHAnsi" w:cstheme="majorHAnsi"/>
          <w:sz w:val="28"/>
          <w:szCs w:val="28"/>
        </w:rPr>
        <w:t>the type of school attended. Research in Asia and elsewhere indicates that the incidence is higher among students enrolled in private schools (</w:t>
      </w:r>
      <w:r w:rsidR="00F64B39">
        <w:rPr>
          <w:rFonts w:asciiTheme="majorHAnsi" w:hAnsiTheme="majorHAnsi" w:cstheme="majorHAnsi"/>
          <w:sz w:val="28"/>
          <w:szCs w:val="28"/>
        </w:rPr>
        <w:t>see Bray, 2012 and 2020</w:t>
      </w:r>
      <w:r w:rsidR="009309D4">
        <w:rPr>
          <w:rFonts w:asciiTheme="majorHAnsi" w:hAnsiTheme="majorHAnsi" w:cstheme="majorHAnsi"/>
          <w:sz w:val="28"/>
          <w:szCs w:val="28"/>
        </w:rPr>
        <w:t xml:space="preserve">). </w:t>
      </w:r>
    </w:p>
    <w:p w14:paraId="79768197" w14:textId="5CB94ED5" w:rsidR="006D07A0" w:rsidRDefault="006D07A0" w:rsidP="00DA2BBA">
      <w:pPr>
        <w:jc w:val="both"/>
        <w:rPr>
          <w:rFonts w:asciiTheme="majorHAnsi" w:hAnsiTheme="majorHAnsi" w:cstheme="majorHAnsi"/>
          <w:sz w:val="28"/>
          <w:szCs w:val="28"/>
        </w:rPr>
      </w:pPr>
      <w:r>
        <w:rPr>
          <w:rFonts w:asciiTheme="majorHAnsi" w:hAnsiTheme="majorHAnsi" w:cstheme="majorHAnsi"/>
          <w:sz w:val="28"/>
          <w:szCs w:val="28"/>
        </w:rPr>
        <w:t>Type of tuition:  With inf</w:t>
      </w:r>
      <w:r w:rsidR="009309D4">
        <w:rPr>
          <w:rFonts w:asciiTheme="majorHAnsi" w:hAnsiTheme="majorHAnsi" w:cstheme="majorHAnsi"/>
          <w:sz w:val="28"/>
          <w:szCs w:val="28"/>
        </w:rPr>
        <w:t>ormation from only five studies, it i</w:t>
      </w:r>
      <w:r w:rsidR="00F64B39">
        <w:rPr>
          <w:rFonts w:asciiTheme="majorHAnsi" w:hAnsiTheme="majorHAnsi" w:cstheme="majorHAnsi"/>
          <w:sz w:val="28"/>
          <w:szCs w:val="28"/>
        </w:rPr>
        <w:t xml:space="preserve">s difficult to reach any </w:t>
      </w:r>
      <w:r w:rsidR="009309D4">
        <w:rPr>
          <w:rFonts w:asciiTheme="majorHAnsi" w:hAnsiTheme="majorHAnsi" w:cstheme="majorHAnsi"/>
          <w:sz w:val="28"/>
          <w:szCs w:val="28"/>
        </w:rPr>
        <w:t>conclusions concerning the type</w:t>
      </w:r>
      <w:r w:rsidR="00BE6295">
        <w:rPr>
          <w:rFonts w:asciiTheme="majorHAnsi" w:hAnsiTheme="majorHAnsi" w:cstheme="majorHAnsi"/>
          <w:sz w:val="28"/>
          <w:szCs w:val="28"/>
        </w:rPr>
        <w:t>/modality</w:t>
      </w:r>
      <w:r w:rsidR="009309D4">
        <w:rPr>
          <w:rFonts w:asciiTheme="majorHAnsi" w:hAnsiTheme="majorHAnsi" w:cstheme="majorHAnsi"/>
          <w:sz w:val="28"/>
          <w:szCs w:val="28"/>
        </w:rPr>
        <w:t xml:space="preserve"> of </w:t>
      </w:r>
      <w:r w:rsidR="00BE6295">
        <w:rPr>
          <w:rFonts w:asciiTheme="majorHAnsi" w:hAnsiTheme="majorHAnsi" w:cstheme="majorHAnsi"/>
          <w:sz w:val="28"/>
          <w:szCs w:val="28"/>
        </w:rPr>
        <w:t xml:space="preserve">private </w:t>
      </w:r>
      <w:r w:rsidR="009309D4">
        <w:rPr>
          <w:rFonts w:asciiTheme="majorHAnsi" w:hAnsiTheme="majorHAnsi" w:cstheme="majorHAnsi"/>
          <w:sz w:val="28"/>
          <w:szCs w:val="28"/>
        </w:rPr>
        <w:t>tuition</w:t>
      </w:r>
      <w:r w:rsidR="00BE6295">
        <w:rPr>
          <w:rFonts w:asciiTheme="majorHAnsi" w:hAnsiTheme="majorHAnsi" w:cstheme="majorHAnsi"/>
          <w:sz w:val="28"/>
          <w:szCs w:val="28"/>
        </w:rPr>
        <w:t xml:space="preserve"> provision</w:t>
      </w:r>
      <w:r w:rsidR="00F64B39">
        <w:rPr>
          <w:rFonts w:asciiTheme="majorHAnsi" w:hAnsiTheme="majorHAnsi" w:cstheme="majorHAnsi"/>
          <w:sz w:val="28"/>
          <w:szCs w:val="28"/>
        </w:rPr>
        <w:t xml:space="preserve"> in SSA</w:t>
      </w:r>
      <w:r w:rsidR="009309D4">
        <w:rPr>
          <w:rFonts w:asciiTheme="majorHAnsi" w:hAnsiTheme="majorHAnsi" w:cstheme="majorHAnsi"/>
          <w:sz w:val="28"/>
          <w:szCs w:val="28"/>
        </w:rPr>
        <w:t xml:space="preserve"> </w:t>
      </w:r>
      <w:r w:rsidR="00BE6295">
        <w:rPr>
          <w:rFonts w:asciiTheme="majorHAnsi" w:hAnsiTheme="majorHAnsi" w:cstheme="majorHAnsi"/>
          <w:sz w:val="28"/>
          <w:szCs w:val="28"/>
        </w:rPr>
        <w:t>(see Chionga 2018; King 2012; Munyao 2015; Eilor 2007; Simbarashe and Edlight 2011)</w:t>
      </w:r>
      <w:r w:rsidR="009309D4">
        <w:rPr>
          <w:rFonts w:asciiTheme="majorHAnsi" w:hAnsiTheme="majorHAnsi" w:cstheme="majorHAnsi"/>
          <w:sz w:val="28"/>
          <w:szCs w:val="28"/>
        </w:rPr>
        <w:t xml:space="preserve">.  The </w:t>
      </w:r>
      <w:r w:rsidR="005C0B0B">
        <w:rPr>
          <w:rFonts w:asciiTheme="majorHAnsi" w:hAnsiTheme="majorHAnsi" w:cstheme="majorHAnsi"/>
          <w:sz w:val="28"/>
          <w:szCs w:val="28"/>
        </w:rPr>
        <w:t xml:space="preserve">Bray </w:t>
      </w:r>
      <w:r w:rsidR="009309D4">
        <w:rPr>
          <w:rFonts w:asciiTheme="majorHAnsi" w:hAnsiTheme="majorHAnsi" w:cstheme="majorHAnsi"/>
          <w:sz w:val="28"/>
          <w:szCs w:val="28"/>
        </w:rPr>
        <w:t>Review merely notes that ‘much private tutoring … occurs on school premises though it is usually done in the face of official disapproval…Other tutoring is provided in churches, mosques, cafes, libraries</w:t>
      </w:r>
      <w:r w:rsidR="000C1911">
        <w:rPr>
          <w:rFonts w:asciiTheme="majorHAnsi" w:hAnsiTheme="majorHAnsi" w:cstheme="majorHAnsi"/>
          <w:sz w:val="28"/>
          <w:szCs w:val="28"/>
        </w:rPr>
        <w:t xml:space="preserve"> and other public locations’ (p.22</w:t>
      </w:r>
      <w:r w:rsidR="009309D4">
        <w:rPr>
          <w:rFonts w:asciiTheme="majorHAnsi" w:hAnsiTheme="majorHAnsi" w:cstheme="majorHAnsi"/>
          <w:sz w:val="28"/>
          <w:szCs w:val="28"/>
        </w:rPr>
        <w:t>).</w:t>
      </w:r>
    </w:p>
    <w:p w14:paraId="07B6FFB9" w14:textId="5AD8E2CA" w:rsidR="00CF10C9" w:rsidRDefault="009309D4" w:rsidP="00DA2BBA">
      <w:pPr>
        <w:jc w:val="both"/>
        <w:rPr>
          <w:rFonts w:asciiTheme="majorHAnsi" w:hAnsiTheme="majorHAnsi" w:cstheme="majorHAnsi"/>
          <w:sz w:val="28"/>
          <w:szCs w:val="28"/>
        </w:rPr>
      </w:pPr>
      <w:r>
        <w:rPr>
          <w:rFonts w:asciiTheme="majorHAnsi" w:hAnsiTheme="majorHAnsi" w:cstheme="majorHAnsi"/>
          <w:sz w:val="28"/>
          <w:szCs w:val="28"/>
        </w:rPr>
        <w:t xml:space="preserve">Private tutors: No information is presented </w:t>
      </w:r>
      <w:r w:rsidR="00BE6295">
        <w:rPr>
          <w:rFonts w:asciiTheme="majorHAnsi" w:hAnsiTheme="majorHAnsi" w:cstheme="majorHAnsi"/>
          <w:sz w:val="28"/>
          <w:szCs w:val="28"/>
        </w:rPr>
        <w:t xml:space="preserve">in the Bray review </w:t>
      </w:r>
      <w:r>
        <w:rPr>
          <w:rFonts w:asciiTheme="majorHAnsi" w:hAnsiTheme="majorHAnsi" w:cstheme="majorHAnsi"/>
          <w:sz w:val="28"/>
          <w:szCs w:val="28"/>
        </w:rPr>
        <w:t xml:space="preserve">on the profile of private tutors with respect to </w:t>
      </w:r>
      <w:r w:rsidR="00CF10C9">
        <w:rPr>
          <w:rFonts w:asciiTheme="majorHAnsi" w:hAnsiTheme="majorHAnsi" w:cstheme="majorHAnsi"/>
          <w:sz w:val="28"/>
          <w:szCs w:val="28"/>
        </w:rPr>
        <w:t xml:space="preserve">their </w:t>
      </w:r>
      <w:r w:rsidR="00BE6295">
        <w:rPr>
          <w:rFonts w:asciiTheme="majorHAnsi" w:hAnsiTheme="majorHAnsi" w:cstheme="majorHAnsi"/>
          <w:sz w:val="28"/>
          <w:szCs w:val="28"/>
        </w:rPr>
        <w:t xml:space="preserve">gender, age, employment </w:t>
      </w:r>
      <w:r w:rsidR="00CF10C9">
        <w:rPr>
          <w:rFonts w:asciiTheme="majorHAnsi" w:hAnsiTheme="majorHAnsi" w:cstheme="majorHAnsi"/>
          <w:sz w:val="28"/>
          <w:szCs w:val="28"/>
        </w:rPr>
        <w:t xml:space="preserve">status, </w:t>
      </w:r>
      <w:r w:rsidR="00F53784">
        <w:rPr>
          <w:rFonts w:asciiTheme="majorHAnsi" w:hAnsiTheme="majorHAnsi" w:cstheme="majorHAnsi"/>
          <w:sz w:val="28"/>
          <w:szCs w:val="28"/>
        </w:rPr>
        <w:t>and school</w:t>
      </w:r>
      <w:r w:rsidR="00CF10C9">
        <w:rPr>
          <w:rFonts w:asciiTheme="majorHAnsi" w:hAnsiTheme="majorHAnsi" w:cstheme="majorHAnsi"/>
          <w:sz w:val="28"/>
          <w:szCs w:val="28"/>
        </w:rPr>
        <w:t xml:space="preserve"> type and work location</w:t>
      </w:r>
      <w:r w:rsidR="00C5321F">
        <w:rPr>
          <w:rFonts w:asciiTheme="majorHAnsi" w:hAnsiTheme="majorHAnsi" w:cstheme="majorHAnsi"/>
          <w:sz w:val="28"/>
          <w:szCs w:val="28"/>
        </w:rPr>
        <w:t xml:space="preserve">. The breakdown between </w:t>
      </w:r>
      <w:r w:rsidR="00CF10C9">
        <w:rPr>
          <w:rFonts w:asciiTheme="majorHAnsi" w:hAnsiTheme="majorHAnsi" w:cstheme="majorHAnsi"/>
          <w:sz w:val="28"/>
          <w:szCs w:val="28"/>
        </w:rPr>
        <w:t xml:space="preserve">public </w:t>
      </w:r>
      <w:r w:rsidR="00C5321F">
        <w:rPr>
          <w:rFonts w:asciiTheme="majorHAnsi" w:hAnsiTheme="majorHAnsi" w:cstheme="majorHAnsi"/>
          <w:sz w:val="28"/>
          <w:szCs w:val="28"/>
        </w:rPr>
        <w:t xml:space="preserve">and </w:t>
      </w:r>
      <w:r w:rsidR="00CF10C9">
        <w:rPr>
          <w:rFonts w:asciiTheme="majorHAnsi" w:hAnsiTheme="majorHAnsi" w:cstheme="majorHAnsi"/>
          <w:sz w:val="28"/>
          <w:szCs w:val="28"/>
        </w:rPr>
        <w:t>private school teachers</w:t>
      </w:r>
      <w:r w:rsidR="00C5321F">
        <w:rPr>
          <w:rFonts w:asciiTheme="majorHAnsi" w:hAnsiTheme="majorHAnsi" w:cstheme="majorHAnsi"/>
          <w:sz w:val="28"/>
          <w:szCs w:val="28"/>
        </w:rPr>
        <w:t xml:space="preserve"> and</w:t>
      </w:r>
      <w:r w:rsidR="00CF10C9">
        <w:rPr>
          <w:rFonts w:asciiTheme="majorHAnsi" w:hAnsiTheme="majorHAnsi" w:cstheme="majorHAnsi"/>
          <w:sz w:val="28"/>
          <w:szCs w:val="28"/>
        </w:rPr>
        <w:t xml:space="preserve"> </w:t>
      </w:r>
      <w:r w:rsidR="00C5321F">
        <w:rPr>
          <w:rFonts w:asciiTheme="majorHAnsi" w:hAnsiTheme="majorHAnsi" w:cstheme="majorHAnsi"/>
          <w:sz w:val="28"/>
          <w:szCs w:val="28"/>
        </w:rPr>
        <w:t>(</w:t>
      </w:r>
      <w:r w:rsidR="00CF10C9">
        <w:rPr>
          <w:rFonts w:asciiTheme="majorHAnsi" w:hAnsiTheme="majorHAnsi" w:cstheme="majorHAnsi"/>
          <w:sz w:val="28"/>
          <w:szCs w:val="28"/>
        </w:rPr>
        <w:t>self-employe</w:t>
      </w:r>
      <w:r w:rsidR="00C5321F">
        <w:rPr>
          <w:rFonts w:asciiTheme="majorHAnsi" w:hAnsiTheme="majorHAnsi" w:cstheme="majorHAnsi"/>
          <w:sz w:val="28"/>
          <w:szCs w:val="28"/>
        </w:rPr>
        <w:t>d and waged)</w:t>
      </w:r>
      <w:r w:rsidR="00CF10C9">
        <w:rPr>
          <w:rFonts w:asciiTheme="majorHAnsi" w:hAnsiTheme="majorHAnsi" w:cstheme="majorHAnsi"/>
          <w:sz w:val="28"/>
          <w:szCs w:val="28"/>
        </w:rPr>
        <w:t xml:space="preserve"> tutors who are not school teachers</w:t>
      </w:r>
      <w:r w:rsidR="00C5321F">
        <w:rPr>
          <w:rFonts w:asciiTheme="majorHAnsi" w:hAnsiTheme="majorHAnsi" w:cstheme="majorHAnsi"/>
          <w:sz w:val="28"/>
          <w:szCs w:val="28"/>
        </w:rPr>
        <w:t xml:space="preserve"> is particularly important. </w:t>
      </w:r>
      <w:r w:rsidR="00BE6295">
        <w:rPr>
          <w:rFonts w:asciiTheme="majorHAnsi" w:hAnsiTheme="majorHAnsi" w:cstheme="majorHAnsi"/>
          <w:sz w:val="28"/>
          <w:szCs w:val="28"/>
        </w:rPr>
        <w:t xml:space="preserve"> </w:t>
      </w:r>
      <w:r w:rsidR="00CF10C9">
        <w:rPr>
          <w:rFonts w:asciiTheme="majorHAnsi" w:hAnsiTheme="majorHAnsi" w:cstheme="majorHAnsi"/>
          <w:sz w:val="28"/>
          <w:szCs w:val="28"/>
        </w:rPr>
        <w:t xml:space="preserve"> </w:t>
      </w:r>
    </w:p>
    <w:p w14:paraId="3CA7F8D5" w14:textId="7AC7F106" w:rsidR="00E324CD" w:rsidRDefault="00E324CD" w:rsidP="00E324CD">
      <w:pPr>
        <w:jc w:val="both"/>
        <w:rPr>
          <w:rFonts w:asciiTheme="majorHAnsi" w:hAnsiTheme="majorHAnsi" w:cstheme="majorHAnsi"/>
          <w:sz w:val="28"/>
          <w:szCs w:val="28"/>
        </w:rPr>
      </w:pPr>
      <w:r>
        <w:rPr>
          <w:rFonts w:asciiTheme="majorHAnsi" w:hAnsiTheme="majorHAnsi" w:cstheme="majorHAnsi"/>
          <w:sz w:val="28"/>
          <w:szCs w:val="28"/>
        </w:rPr>
        <w:t>Trends: The 2007 and 2013 SACMEQ survey</w:t>
      </w:r>
      <w:r w:rsidR="00F64B39">
        <w:rPr>
          <w:rFonts w:asciiTheme="majorHAnsi" w:hAnsiTheme="majorHAnsi" w:cstheme="majorHAnsi"/>
          <w:sz w:val="28"/>
          <w:szCs w:val="28"/>
        </w:rPr>
        <w:t xml:space="preserve"> rounds</w:t>
      </w:r>
      <w:r>
        <w:rPr>
          <w:rFonts w:asciiTheme="majorHAnsi" w:hAnsiTheme="majorHAnsi" w:cstheme="majorHAnsi"/>
          <w:sz w:val="28"/>
          <w:szCs w:val="28"/>
        </w:rPr>
        <w:t xml:space="preserve"> indicate that the incidence of private tuition increased in all eight countries in SSA for which information is available. No other time series evidence is available for the remaining 38 countries in the region. </w:t>
      </w:r>
    </w:p>
    <w:p w14:paraId="1301CC70" w14:textId="77777777" w:rsidR="00E324CD" w:rsidRPr="00CA4714" w:rsidRDefault="00E324CD" w:rsidP="00E324CD">
      <w:pPr>
        <w:jc w:val="both"/>
        <w:rPr>
          <w:rFonts w:asciiTheme="majorHAnsi" w:hAnsiTheme="majorHAnsi" w:cstheme="majorHAnsi"/>
          <w:sz w:val="28"/>
          <w:szCs w:val="28"/>
        </w:rPr>
      </w:pPr>
      <w:r w:rsidRPr="00CA4714">
        <w:rPr>
          <w:rFonts w:asciiTheme="majorHAnsi" w:hAnsiTheme="majorHAnsi" w:cstheme="majorHAnsi"/>
          <w:sz w:val="28"/>
          <w:szCs w:val="28"/>
        </w:rPr>
        <w:t xml:space="preserve">The complete </w:t>
      </w:r>
      <w:r>
        <w:rPr>
          <w:rFonts w:asciiTheme="majorHAnsi" w:hAnsiTheme="majorHAnsi" w:cstheme="majorHAnsi"/>
          <w:sz w:val="28"/>
          <w:szCs w:val="28"/>
        </w:rPr>
        <w:t xml:space="preserve">absence </w:t>
      </w:r>
      <w:r w:rsidRPr="00CA4714">
        <w:rPr>
          <w:rFonts w:asciiTheme="majorHAnsi" w:hAnsiTheme="majorHAnsi" w:cstheme="majorHAnsi"/>
          <w:sz w:val="28"/>
          <w:szCs w:val="28"/>
        </w:rPr>
        <w:t>of any consistent, sufficiently detailed</w:t>
      </w:r>
      <w:r>
        <w:rPr>
          <w:rFonts w:asciiTheme="majorHAnsi" w:hAnsiTheme="majorHAnsi" w:cstheme="majorHAnsi"/>
          <w:sz w:val="28"/>
          <w:szCs w:val="28"/>
        </w:rPr>
        <w:t xml:space="preserve">, an up to date </w:t>
      </w:r>
      <w:r w:rsidRPr="00CA4714">
        <w:rPr>
          <w:rFonts w:asciiTheme="majorHAnsi" w:hAnsiTheme="majorHAnsi" w:cstheme="majorHAnsi"/>
          <w:sz w:val="28"/>
          <w:szCs w:val="28"/>
        </w:rPr>
        <w:t xml:space="preserve">time-series data is the </w:t>
      </w:r>
      <w:r>
        <w:rPr>
          <w:rFonts w:asciiTheme="majorHAnsi" w:hAnsiTheme="majorHAnsi" w:cstheme="majorHAnsi"/>
          <w:sz w:val="28"/>
          <w:szCs w:val="28"/>
        </w:rPr>
        <w:t xml:space="preserve">perhaps the </w:t>
      </w:r>
      <w:r w:rsidRPr="00CA4714">
        <w:rPr>
          <w:rFonts w:asciiTheme="majorHAnsi" w:hAnsiTheme="majorHAnsi" w:cstheme="majorHAnsi"/>
          <w:sz w:val="28"/>
          <w:szCs w:val="28"/>
        </w:rPr>
        <w:t xml:space="preserve">greatest impediment to reaching robust conclusions </w:t>
      </w:r>
      <w:r>
        <w:rPr>
          <w:rFonts w:asciiTheme="majorHAnsi" w:hAnsiTheme="majorHAnsi" w:cstheme="majorHAnsi"/>
          <w:sz w:val="28"/>
          <w:szCs w:val="28"/>
        </w:rPr>
        <w:t>about t</w:t>
      </w:r>
      <w:r w:rsidRPr="00CA4714">
        <w:rPr>
          <w:rFonts w:asciiTheme="majorHAnsi" w:hAnsiTheme="majorHAnsi" w:cstheme="majorHAnsi"/>
          <w:sz w:val="28"/>
          <w:szCs w:val="28"/>
        </w:rPr>
        <w:t xml:space="preserve">he incidence and patterns of private tuition in SSA.  The second quinquennial PASEC survey round was conducted in 2019 which, once the data on private tutoring is analysed by the PASEC central survey team and/or </w:t>
      </w:r>
      <w:r>
        <w:rPr>
          <w:rFonts w:asciiTheme="majorHAnsi" w:hAnsiTheme="majorHAnsi" w:cstheme="majorHAnsi"/>
          <w:sz w:val="28"/>
          <w:szCs w:val="28"/>
        </w:rPr>
        <w:t xml:space="preserve">is </w:t>
      </w:r>
      <w:r w:rsidRPr="00CA4714">
        <w:rPr>
          <w:rFonts w:asciiTheme="majorHAnsi" w:hAnsiTheme="majorHAnsi" w:cstheme="majorHAnsi"/>
          <w:sz w:val="28"/>
          <w:szCs w:val="28"/>
        </w:rPr>
        <w:t xml:space="preserve">made publically available, will provide the first opportunity to assess comprehensively any significant trends in tuition provision </w:t>
      </w:r>
      <w:r>
        <w:rPr>
          <w:rFonts w:asciiTheme="majorHAnsi" w:hAnsiTheme="majorHAnsi" w:cstheme="majorHAnsi"/>
          <w:sz w:val="28"/>
          <w:szCs w:val="28"/>
        </w:rPr>
        <w:t xml:space="preserve">in SSA </w:t>
      </w:r>
      <w:r w:rsidRPr="00CA4714">
        <w:rPr>
          <w:rFonts w:asciiTheme="majorHAnsi" w:hAnsiTheme="majorHAnsi" w:cstheme="majorHAnsi"/>
          <w:sz w:val="28"/>
          <w:szCs w:val="28"/>
        </w:rPr>
        <w:t>during the last decade and the underlying reasons for these changes.</w:t>
      </w:r>
    </w:p>
    <w:p w14:paraId="3C6C2046" w14:textId="77777777" w:rsidR="00E324CD" w:rsidRPr="00E324CD" w:rsidRDefault="00DA2BBA" w:rsidP="004545BF">
      <w:pPr>
        <w:jc w:val="both"/>
        <w:rPr>
          <w:rFonts w:asciiTheme="majorHAnsi" w:hAnsiTheme="majorHAnsi" w:cstheme="majorHAnsi"/>
          <w:i/>
          <w:sz w:val="28"/>
          <w:szCs w:val="28"/>
        </w:rPr>
      </w:pPr>
      <w:r w:rsidRPr="00E324CD">
        <w:rPr>
          <w:rFonts w:asciiTheme="majorHAnsi" w:hAnsiTheme="majorHAnsi" w:cstheme="majorHAnsi"/>
          <w:i/>
          <w:sz w:val="28"/>
          <w:szCs w:val="28"/>
        </w:rPr>
        <w:t>Government policy and practice</w:t>
      </w:r>
    </w:p>
    <w:p w14:paraId="0C6C93F1" w14:textId="1B1EFEC4" w:rsidR="00E57097" w:rsidRPr="00CA4714" w:rsidRDefault="005C0B0B" w:rsidP="004545BF">
      <w:pPr>
        <w:jc w:val="both"/>
        <w:rPr>
          <w:rFonts w:asciiTheme="majorHAnsi" w:hAnsiTheme="majorHAnsi" w:cstheme="majorHAnsi"/>
          <w:sz w:val="28"/>
          <w:szCs w:val="28"/>
        </w:rPr>
      </w:pPr>
      <w:r>
        <w:rPr>
          <w:rFonts w:asciiTheme="majorHAnsi" w:hAnsiTheme="majorHAnsi" w:cstheme="majorHAnsi"/>
          <w:sz w:val="28"/>
          <w:szCs w:val="28"/>
        </w:rPr>
        <w:t xml:space="preserve">No systematic information is available on private tuition policy and practice in SSA. </w:t>
      </w:r>
      <w:r w:rsidR="00DA2BBA" w:rsidRPr="00CA4714">
        <w:rPr>
          <w:rFonts w:asciiTheme="majorHAnsi" w:hAnsiTheme="majorHAnsi" w:cstheme="majorHAnsi"/>
          <w:sz w:val="28"/>
          <w:szCs w:val="28"/>
        </w:rPr>
        <w:t>Prior to economic liberalisation</w:t>
      </w:r>
      <w:r w:rsidR="00E324CD">
        <w:rPr>
          <w:rFonts w:asciiTheme="majorHAnsi" w:hAnsiTheme="majorHAnsi" w:cstheme="majorHAnsi"/>
          <w:sz w:val="28"/>
          <w:szCs w:val="28"/>
        </w:rPr>
        <w:t xml:space="preserve"> in the 1990s</w:t>
      </w:r>
      <w:r w:rsidR="00DA2BBA" w:rsidRPr="00CA4714">
        <w:rPr>
          <w:rFonts w:asciiTheme="majorHAnsi" w:hAnsiTheme="majorHAnsi" w:cstheme="majorHAnsi"/>
          <w:sz w:val="28"/>
          <w:szCs w:val="28"/>
        </w:rPr>
        <w:t>, while private school</w:t>
      </w:r>
      <w:r w:rsidR="008F5027">
        <w:rPr>
          <w:rFonts w:asciiTheme="majorHAnsi" w:hAnsiTheme="majorHAnsi" w:cstheme="majorHAnsi"/>
          <w:sz w:val="28"/>
          <w:szCs w:val="28"/>
        </w:rPr>
        <w:t xml:space="preserve">ing was </w:t>
      </w:r>
      <w:r w:rsidR="00DA2BBA" w:rsidRPr="00CA4714">
        <w:rPr>
          <w:rFonts w:asciiTheme="majorHAnsi" w:hAnsiTheme="majorHAnsi" w:cstheme="majorHAnsi"/>
          <w:sz w:val="28"/>
          <w:szCs w:val="28"/>
        </w:rPr>
        <w:t xml:space="preserve">banned in many </w:t>
      </w:r>
      <w:r w:rsidR="00DF46CE" w:rsidRPr="00CA4714">
        <w:rPr>
          <w:rFonts w:asciiTheme="majorHAnsi" w:hAnsiTheme="majorHAnsi" w:cstheme="majorHAnsi"/>
          <w:sz w:val="28"/>
          <w:szCs w:val="28"/>
        </w:rPr>
        <w:t xml:space="preserve">developing </w:t>
      </w:r>
      <w:r w:rsidR="00DA2BBA" w:rsidRPr="00CA4714">
        <w:rPr>
          <w:rFonts w:asciiTheme="majorHAnsi" w:hAnsiTheme="majorHAnsi" w:cstheme="majorHAnsi"/>
          <w:sz w:val="28"/>
          <w:szCs w:val="28"/>
        </w:rPr>
        <w:t xml:space="preserve">countries, </w:t>
      </w:r>
      <w:r w:rsidR="00DF46CE" w:rsidRPr="00CA4714">
        <w:rPr>
          <w:rFonts w:asciiTheme="majorHAnsi" w:hAnsiTheme="majorHAnsi" w:cstheme="majorHAnsi"/>
          <w:sz w:val="28"/>
          <w:szCs w:val="28"/>
        </w:rPr>
        <w:t xml:space="preserve">governments were invariably more tolerant of </w:t>
      </w:r>
      <w:r w:rsidR="00DA2BBA" w:rsidRPr="00CA4714">
        <w:rPr>
          <w:rFonts w:asciiTheme="majorHAnsi" w:hAnsiTheme="majorHAnsi" w:cstheme="majorHAnsi"/>
          <w:sz w:val="28"/>
          <w:szCs w:val="28"/>
        </w:rPr>
        <w:t>privat</w:t>
      </w:r>
      <w:r w:rsidR="00E324CD">
        <w:rPr>
          <w:rFonts w:asciiTheme="majorHAnsi" w:hAnsiTheme="majorHAnsi" w:cstheme="majorHAnsi"/>
          <w:sz w:val="28"/>
          <w:szCs w:val="28"/>
        </w:rPr>
        <w:t xml:space="preserve">e tuition. However, </w:t>
      </w:r>
      <w:r w:rsidR="00DA2BBA" w:rsidRPr="00CA4714">
        <w:rPr>
          <w:rFonts w:asciiTheme="majorHAnsi" w:hAnsiTheme="majorHAnsi" w:cstheme="majorHAnsi"/>
          <w:sz w:val="28"/>
          <w:szCs w:val="28"/>
        </w:rPr>
        <w:t xml:space="preserve"> </w:t>
      </w:r>
      <w:r w:rsidR="00E324CD">
        <w:rPr>
          <w:rFonts w:asciiTheme="majorHAnsi" w:hAnsiTheme="majorHAnsi" w:cstheme="majorHAnsi"/>
          <w:sz w:val="28"/>
          <w:szCs w:val="28"/>
        </w:rPr>
        <w:t xml:space="preserve">since then </w:t>
      </w:r>
      <w:r w:rsidR="00DA2BBA" w:rsidRPr="00CA4714">
        <w:rPr>
          <w:rFonts w:asciiTheme="majorHAnsi" w:hAnsiTheme="majorHAnsi" w:cstheme="majorHAnsi"/>
          <w:sz w:val="28"/>
          <w:szCs w:val="28"/>
        </w:rPr>
        <w:t>governments have relaxed the policy regime for private schooling while</w:t>
      </w:r>
      <w:r w:rsidR="008844A3">
        <w:rPr>
          <w:rFonts w:asciiTheme="majorHAnsi" w:hAnsiTheme="majorHAnsi" w:cstheme="majorHAnsi"/>
          <w:sz w:val="28"/>
          <w:szCs w:val="28"/>
        </w:rPr>
        <w:t>,</w:t>
      </w:r>
      <w:r w:rsidR="00DA2BBA" w:rsidRPr="00CA4714">
        <w:rPr>
          <w:rFonts w:asciiTheme="majorHAnsi" w:hAnsiTheme="majorHAnsi" w:cstheme="majorHAnsi"/>
          <w:sz w:val="28"/>
          <w:szCs w:val="28"/>
        </w:rPr>
        <w:t xml:space="preserve"> at the same time</w:t>
      </w:r>
      <w:r w:rsidR="008844A3">
        <w:rPr>
          <w:rFonts w:asciiTheme="majorHAnsi" w:hAnsiTheme="majorHAnsi" w:cstheme="majorHAnsi"/>
          <w:sz w:val="28"/>
          <w:szCs w:val="28"/>
        </w:rPr>
        <w:t>,</w:t>
      </w:r>
      <w:r w:rsidR="00DA2BBA" w:rsidRPr="00CA4714">
        <w:rPr>
          <w:rFonts w:asciiTheme="majorHAnsi" w:hAnsiTheme="majorHAnsi" w:cstheme="majorHAnsi"/>
          <w:sz w:val="28"/>
          <w:szCs w:val="28"/>
        </w:rPr>
        <w:t xml:space="preserve"> hardening their policies </w:t>
      </w:r>
      <w:r w:rsidR="008844A3">
        <w:rPr>
          <w:rFonts w:asciiTheme="majorHAnsi" w:hAnsiTheme="majorHAnsi" w:cstheme="majorHAnsi"/>
          <w:sz w:val="28"/>
          <w:szCs w:val="28"/>
        </w:rPr>
        <w:t xml:space="preserve">on </w:t>
      </w:r>
      <w:r w:rsidR="00DA2BBA" w:rsidRPr="00CA4714">
        <w:rPr>
          <w:rFonts w:asciiTheme="majorHAnsi" w:hAnsiTheme="majorHAnsi" w:cstheme="majorHAnsi"/>
          <w:sz w:val="28"/>
          <w:szCs w:val="28"/>
        </w:rPr>
        <w:t xml:space="preserve">private tutoring which, in the most extreme cases has resulted in the </w:t>
      </w:r>
      <w:r w:rsidR="00DA2BBA" w:rsidRPr="00CA4714">
        <w:rPr>
          <w:rFonts w:asciiTheme="majorHAnsi" w:hAnsiTheme="majorHAnsi" w:cstheme="majorHAnsi"/>
          <w:sz w:val="28"/>
          <w:szCs w:val="28"/>
        </w:rPr>
        <w:lastRenderedPageBreak/>
        <w:t>outright official banning of the most problematic and corrupt forms of individual private tutoring</w:t>
      </w:r>
      <w:r w:rsidR="008B4C03">
        <w:rPr>
          <w:rFonts w:asciiTheme="majorHAnsi" w:hAnsiTheme="majorHAnsi" w:cstheme="majorHAnsi"/>
          <w:sz w:val="28"/>
          <w:szCs w:val="28"/>
        </w:rPr>
        <w:t xml:space="preserve"> by teachers</w:t>
      </w:r>
      <w:r w:rsidR="00DA2BBA" w:rsidRPr="00CA4714">
        <w:rPr>
          <w:rFonts w:asciiTheme="majorHAnsi" w:hAnsiTheme="majorHAnsi" w:cstheme="majorHAnsi"/>
          <w:sz w:val="28"/>
          <w:szCs w:val="28"/>
        </w:rPr>
        <w:t>. While many of these bans have not been rigorously enforced, the overall policy environment towards private tutoring remains hostile</w:t>
      </w:r>
      <w:r w:rsidR="008844A3">
        <w:rPr>
          <w:rFonts w:asciiTheme="majorHAnsi" w:hAnsiTheme="majorHAnsi" w:cstheme="majorHAnsi"/>
          <w:sz w:val="28"/>
          <w:szCs w:val="28"/>
        </w:rPr>
        <w:t xml:space="preserve"> in many countries</w:t>
      </w:r>
      <w:r w:rsidR="00DA2BBA" w:rsidRPr="00CA4714">
        <w:rPr>
          <w:rFonts w:asciiTheme="majorHAnsi" w:hAnsiTheme="majorHAnsi" w:cstheme="majorHAnsi"/>
          <w:sz w:val="28"/>
          <w:szCs w:val="28"/>
        </w:rPr>
        <w:t xml:space="preserve">. </w:t>
      </w:r>
    </w:p>
    <w:p w14:paraId="3C744F41" w14:textId="2F304FBC" w:rsidR="008739BA" w:rsidRPr="00CA4714" w:rsidRDefault="008844A3" w:rsidP="004545BF">
      <w:pPr>
        <w:jc w:val="both"/>
        <w:rPr>
          <w:rFonts w:asciiTheme="majorHAnsi" w:hAnsiTheme="majorHAnsi" w:cstheme="majorHAnsi"/>
          <w:sz w:val="28"/>
          <w:szCs w:val="28"/>
        </w:rPr>
      </w:pPr>
      <w:r>
        <w:rPr>
          <w:rFonts w:asciiTheme="majorHAnsi" w:hAnsiTheme="majorHAnsi" w:cstheme="majorHAnsi"/>
          <w:sz w:val="28"/>
          <w:szCs w:val="28"/>
        </w:rPr>
        <w:t>T</w:t>
      </w:r>
      <w:r w:rsidR="00DF46CE" w:rsidRPr="00CA4714">
        <w:rPr>
          <w:rFonts w:asciiTheme="majorHAnsi" w:hAnsiTheme="majorHAnsi" w:cstheme="majorHAnsi"/>
          <w:sz w:val="28"/>
          <w:szCs w:val="28"/>
        </w:rPr>
        <w:t xml:space="preserve">here is </w:t>
      </w:r>
      <w:r w:rsidR="00F20E8A" w:rsidRPr="00CA4714">
        <w:rPr>
          <w:rFonts w:asciiTheme="majorHAnsi" w:hAnsiTheme="majorHAnsi" w:cstheme="majorHAnsi"/>
          <w:sz w:val="28"/>
          <w:szCs w:val="28"/>
        </w:rPr>
        <w:t xml:space="preserve">a </w:t>
      </w:r>
      <w:r w:rsidR="00DF46CE" w:rsidRPr="00CA4714">
        <w:rPr>
          <w:rFonts w:asciiTheme="majorHAnsi" w:hAnsiTheme="majorHAnsi" w:cstheme="majorHAnsi"/>
          <w:sz w:val="28"/>
          <w:szCs w:val="28"/>
        </w:rPr>
        <w:t xml:space="preserve">noticeable absence of any government regulation of private tuition </w:t>
      </w:r>
      <w:r w:rsidR="00DD1264" w:rsidRPr="00CA4714">
        <w:rPr>
          <w:rFonts w:asciiTheme="majorHAnsi" w:hAnsiTheme="majorHAnsi" w:cstheme="majorHAnsi"/>
          <w:sz w:val="28"/>
          <w:szCs w:val="28"/>
        </w:rPr>
        <w:t>in F</w:t>
      </w:r>
      <w:r w:rsidR="00E57097" w:rsidRPr="00CA4714">
        <w:rPr>
          <w:rFonts w:asciiTheme="majorHAnsi" w:hAnsiTheme="majorHAnsi" w:cstheme="majorHAnsi"/>
          <w:sz w:val="28"/>
          <w:szCs w:val="28"/>
        </w:rPr>
        <w:t>rancophone West Africa which is in marked contrast to other countries in SSA especially in East and Central Africa.</w:t>
      </w:r>
      <w:r w:rsidR="00F20E8A" w:rsidRPr="00CA4714">
        <w:rPr>
          <w:rFonts w:asciiTheme="majorHAnsi" w:hAnsiTheme="majorHAnsi" w:cstheme="majorHAnsi"/>
          <w:sz w:val="28"/>
          <w:szCs w:val="28"/>
        </w:rPr>
        <w:t xml:space="preserve"> This provides </w:t>
      </w:r>
      <w:r w:rsidR="008B4C03">
        <w:rPr>
          <w:rFonts w:asciiTheme="majorHAnsi" w:hAnsiTheme="majorHAnsi" w:cstheme="majorHAnsi"/>
          <w:sz w:val="28"/>
          <w:szCs w:val="28"/>
        </w:rPr>
        <w:t xml:space="preserve">the </w:t>
      </w:r>
      <w:r w:rsidR="00F20E8A" w:rsidRPr="00CA4714">
        <w:rPr>
          <w:rFonts w:asciiTheme="majorHAnsi" w:hAnsiTheme="majorHAnsi" w:cstheme="majorHAnsi"/>
          <w:sz w:val="28"/>
          <w:szCs w:val="28"/>
        </w:rPr>
        <w:t>opportunity</w:t>
      </w:r>
      <w:r>
        <w:rPr>
          <w:rFonts w:asciiTheme="majorHAnsi" w:hAnsiTheme="majorHAnsi" w:cstheme="majorHAnsi"/>
          <w:sz w:val="28"/>
          <w:szCs w:val="28"/>
        </w:rPr>
        <w:t>, therefore,</w:t>
      </w:r>
      <w:r w:rsidR="00F20E8A" w:rsidRPr="00CA4714">
        <w:rPr>
          <w:rFonts w:asciiTheme="majorHAnsi" w:hAnsiTheme="majorHAnsi" w:cstheme="majorHAnsi"/>
          <w:sz w:val="28"/>
          <w:szCs w:val="28"/>
        </w:rPr>
        <w:t xml:space="preserve"> to analyse the </w:t>
      </w:r>
      <w:r w:rsidR="00C5321F">
        <w:rPr>
          <w:rFonts w:asciiTheme="majorHAnsi" w:hAnsiTheme="majorHAnsi" w:cstheme="majorHAnsi"/>
          <w:sz w:val="28"/>
          <w:szCs w:val="28"/>
        </w:rPr>
        <w:t>largely</w:t>
      </w:r>
      <w:r w:rsidR="00E324CD">
        <w:rPr>
          <w:rFonts w:asciiTheme="majorHAnsi" w:hAnsiTheme="majorHAnsi" w:cstheme="majorHAnsi"/>
          <w:sz w:val="28"/>
          <w:szCs w:val="28"/>
        </w:rPr>
        <w:t xml:space="preserve"> </w:t>
      </w:r>
      <w:r w:rsidR="00F20E8A" w:rsidRPr="00CA4714">
        <w:rPr>
          <w:rFonts w:asciiTheme="majorHAnsi" w:hAnsiTheme="majorHAnsi" w:cstheme="majorHAnsi"/>
          <w:sz w:val="28"/>
          <w:szCs w:val="28"/>
        </w:rPr>
        <w:t xml:space="preserve">unfettered provision of private tuition across a reasonably large number of countries. </w:t>
      </w:r>
    </w:p>
    <w:p w14:paraId="13EEEF7A" w14:textId="0F2056CF" w:rsidR="00992DE2" w:rsidRPr="00CA4714" w:rsidRDefault="00E324CD" w:rsidP="00E324CD">
      <w:pPr>
        <w:jc w:val="both"/>
        <w:rPr>
          <w:rFonts w:asciiTheme="majorHAnsi" w:hAnsiTheme="majorHAnsi" w:cstheme="majorHAnsi"/>
          <w:i/>
          <w:sz w:val="28"/>
          <w:szCs w:val="28"/>
        </w:rPr>
      </w:pPr>
      <w:r>
        <w:rPr>
          <w:rFonts w:asciiTheme="majorHAnsi" w:hAnsiTheme="majorHAnsi" w:cstheme="majorHAnsi"/>
          <w:i/>
          <w:sz w:val="28"/>
          <w:szCs w:val="28"/>
        </w:rPr>
        <w:t xml:space="preserve">2.2 </w:t>
      </w:r>
      <w:r w:rsidR="00E70893" w:rsidRPr="00CA4714">
        <w:rPr>
          <w:rFonts w:asciiTheme="majorHAnsi" w:hAnsiTheme="majorHAnsi" w:cstheme="majorHAnsi"/>
          <w:i/>
          <w:sz w:val="28"/>
          <w:szCs w:val="28"/>
        </w:rPr>
        <w:t>Study methodology</w:t>
      </w:r>
    </w:p>
    <w:p w14:paraId="5065EA98" w14:textId="309C2940" w:rsidR="006C4AC0" w:rsidRPr="00CA4714" w:rsidRDefault="00CF4D17" w:rsidP="000B10B0">
      <w:pPr>
        <w:jc w:val="both"/>
        <w:rPr>
          <w:rFonts w:asciiTheme="majorHAnsi" w:hAnsiTheme="majorHAnsi" w:cstheme="majorHAnsi"/>
          <w:sz w:val="28"/>
          <w:szCs w:val="28"/>
        </w:rPr>
      </w:pPr>
      <w:r w:rsidRPr="00CA4714">
        <w:rPr>
          <w:rFonts w:asciiTheme="majorHAnsi" w:hAnsiTheme="majorHAnsi" w:cstheme="majorHAnsi"/>
          <w:sz w:val="28"/>
          <w:szCs w:val="28"/>
        </w:rPr>
        <w:t>Th</w:t>
      </w:r>
      <w:r w:rsidR="006C4AC0" w:rsidRPr="00CA4714">
        <w:rPr>
          <w:rFonts w:asciiTheme="majorHAnsi" w:hAnsiTheme="majorHAnsi" w:cstheme="majorHAnsi"/>
          <w:sz w:val="28"/>
          <w:szCs w:val="28"/>
        </w:rPr>
        <w:t xml:space="preserve">e primary focus of the PASEC schools surveys is </w:t>
      </w:r>
      <w:r w:rsidR="00DD1264" w:rsidRPr="00CA4714">
        <w:rPr>
          <w:rFonts w:asciiTheme="majorHAnsi" w:hAnsiTheme="majorHAnsi" w:cstheme="majorHAnsi"/>
          <w:sz w:val="28"/>
          <w:szCs w:val="28"/>
        </w:rPr>
        <w:t xml:space="preserve">to </w:t>
      </w:r>
      <w:r w:rsidR="006C4AC0" w:rsidRPr="00CA4714">
        <w:rPr>
          <w:rFonts w:asciiTheme="majorHAnsi" w:hAnsiTheme="majorHAnsi" w:cstheme="majorHAnsi"/>
          <w:sz w:val="28"/>
          <w:szCs w:val="28"/>
        </w:rPr>
        <w:t xml:space="preserve">measure learning outcomes in reading and maths among grade 2 and grade 6 students at </w:t>
      </w:r>
      <w:r w:rsidR="00E324CD">
        <w:rPr>
          <w:rFonts w:asciiTheme="majorHAnsi" w:hAnsiTheme="majorHAnsi" w:cstheme="majorHAnsi"/>
          <w:sz w:val="28"/>
          <w:szCs w:val="28"/>
        </w:rPr>
        <w:t xml:space="preserve">nationally </w:t>
      </w:r>
      <w:r w:rsidR="006C4AC0" w:rsidRPr="00CA4714">
        <w:rPr>
          <w:rFonts w:asciiTheme="majorHAnsi" w:hAnsiTheme="majorHAnsi" w:cstheme="majorHAnsi"/>
          <w:sz w:val="28"/>
          <w:szCs w:val="28"/>
        </w:rPr>
        <w:t xml:space="preserve">representative samples of </w:t>
      </w:r>
      <w:r w:rsidR="008844A3">
        <w:rPr>
          <w:rFonts w:asciiTheme="majorHAnsi" w:hAnsiTheme="majorHAnsi" w:cstheme="majorHAnsi"/>
          <w:sz w:val="28"/>
          <w:szCs w:val="28"/>
        </w:rPr>
        <w:t xml:space="preserve">public and private </w:t>
      </w:r>
      <w:r w:rsidR="006C4AC0" w:rsidRPr="00CA4714">
        <w:rPr>
          <w:rFonts w:asciiTheme="majorHAnsi" w:hAnsiTheme="majorHAnsi" w:cstheme="majorHAnsi"/>
          <w:sz w:val="28"/>
          <w:szCs w:val="28"/>
        </w:rPr>
        <w:t>primary schools. In order to be able to assess the key determinants of these learning outcomes, ea</w:t>
      </w:r>
      <w:r w:rsidR="00DD1264" w:rsidRPr="00CA4714">
        <w:rPr>
          <w:rFonts w:asciiTheme="majorHAnsi" w:hAnsiTheme="majorHAnsi" w:cstheme="majorHAnsi"/>
          <w:sz w:val="28"/>
          <w:szCs w:val="28"/>
        </w:rPr>
        <w:t xml:space="preserve">ch survey </w:t>
      </w:r>
      <w:r w:rsidR="006C4AC0" w:rsidRPr="00CA4714">
        <w:rPr>
          <w:rFonts w:asciiTheme="majorHAnsi" w:hAnsiTheme="majorHAnsi" w:cstheme="majorHAnsi"/>
          <w:sz w:val="28"/>
          <w:szCs w:val="28"/>
        </w:rPr>
        <w:t xml:space="preserve">collects comprehensive information on each sampled student, teacher and school. </w:t>
      </w:r>
    </w:p>
    <w:p w14:paraId="70E5A9CC" w14:textId="5B30C388" w:rsidR="00CF4D17" w:rsidRPr="00CA4714" w:rsidRDefault="006C4AC0" w:rsidP="000B10B0">
      <w:pPr>
        <w:jc w:val="both"/>
        <w:rPr>
          <w:rFonts w:asciiTheme="majorHAnsi" w:hAnsiTheme="majorHAnsi" w:cstheme="majorHAnsi"/>
          <w:sz w:val="28"/>
          <w:szCs w:val="28"/>
        </w:rPr>
      </w:pPr>
      <w:r w:rsidRPr="00CA4714">
        <w:rPr>
          <w:rFonts w:asciiTheme="majorHAnsi" w:hAnsiTheme="majorHAnsi" w:cstheme="majorHAnsi"/>
          <w:sz w:val="28"/>
          <w:szCs w:val="28"/>
        </w:rPr>
        <w:t xml:space="preserve">The </w:t>
      </w:r>
      <w:r w:rsidR="00AF38B0" w:rsidRPr="00CA4714">
        <w:rPr>
          <w:rFonts w:asciiTheme="majorHAnsi" w:hAnsiTheme="majorHAnsi" w:cstheme="majorHAnsi"/>
          <w:sz w:val="28"/>
          <w:szCs w:val="28"/>
        </w:rPr>
        <w:t xml:space="preserve">stratified </w:t>
      </w:r>
      <w:r w:rsidRPr="00CA4714">
        <w:rPr>
          <w:rFonts w:asciiTheme="majorHAnsi" w:hAnsiTheme="majorHAnsi" w:cstheme="majorHAnsi"/>
          <w:sz w:val="28"/>
          <w:szCs w:val="28"/>
        </w:rPr>
        <w:t xml:space="preserve">sampling methodology </w:t>
      </w:r>
      <w:r w:rsidR="00DD1264" w:rsidRPr="00CA4714">
        <w:rPr>
          <w:rFonts w:asciiTheme="majorHAnsi" w:hAnsiTheme="majorHAnsi" w:cstheme="majorHAnsi"/>
          <w:sz w:val="28"/>
          <w:szCs w:val="28"/>
        </w:rPr>
        <w:t xml:space="preserve">that is used </w:t>
      </w:r>
      <w:r w:rsidR="00AF38B0" w:rsidRPr="00CA4714">
        <w:rPr>
          <w:rFonts w:asciiTheme="majorHAnsi" w:hAnsiTheme="majorHAnsi" w:cstheme="majorHAnsi"/>
          <w:sz w:val="28"/>
          <w:szCs w:val="28"/>
        </w:rPr>
        <w:t xml:space="preserve">in each survey country </w:t>
      </w:r>
      <w:r w:rsidR="00DD1264" w:rsidRPr="00CA4714">
        <w:rPr>
          <w:rFonts w:asciiTheme="majorHAnsi" w:hAnsiTheme="majorHAnsi" w:cstheme="majorHAnsi"/>
          <w:sz w:val="28"/>
          <w:szCs w:val="28"/>
        </w:rPr>
        <w:t>is based on</w:t>
      </w:r>
      <w:r w:rsidRPr="00CA4714">
        <w:rPr>
          <w:rFonts w:asciiTheme="majorHAnsi" w:hAnsiTheme="majorHAnsi" w:cstheme="majorHAnsi"/>
          <w:sz w:val="28"/>
          <w:szCs w:val="28"/>
        </w:rPr>
        <w:t xml:space="preserve"> well-established and robust statistical procedures</w:t>
      </w:r>
      <w:r w:rsidR="008844A3">
        <w:rPr>
          <w:rFonts w:asciiTheme="majorHAnsi" w:hAnsiTheme="majorHAnsi" w:cstheme="majorHAnsi"/>
          <w:sz w:val="28"/>
          <w:szCs w:val="28"/>
        </w:rPr>
        <w:t xml:space="preserve"> and techniques</w:t>
      </w:r>
      <w:r w:rsidRPr="00CA4714">
        <w:rPr>
          <w:rFonts w:asciiTheme="majorHAnsi" w:hAnsiTheme="majorHAnsi" w:cstheme="majorHAnsi"/>
          <w:sz w:val="28"/>
          <w:szCs w:val="28"/>
        </w:rPr>
        <w:t xml:space="preserve">. </w:t>
      </w:r>
      <w:r w:rsidR="00AF38B0" w:rsidRPr="00CA4714">
        <w:rPr>
          <w:rFonts w:asciiTheme="majorHAnsi" w:hAnsiTheme="majorHAnsi" w:cstheme="majorHAnsi"/>
          <w:sz w:val="28"/>
          <w:szCs w:val="28"/>
        </w:rPr>
        <w:t xml:space="preserve">Data from </w:t>
      </w:r>
      <w:r w:rsidR="008B4C03">
        <w:rPr>
          <w:rFonts w:asciiTheme="majorHAnsi" w:hAnsiTheme="majorHAnsi" w:cstheme="majorHAnsi"/>
          <w:sz w:val="28"/>
          <w:szCs w:val="28"/>
        </w:rPr>
        <w:t xml:space="preserve">national </w:t>
      </w:r>
      <w:r w:rsidR="00AF38B0" w:rsidRPr="00CA4714">
        <w:rPr>
          <w:rFonts w:asciiTheme="majorHAnsi" w:hAnsiTheme="majorHAnsi" w:cstheme="majorHAnsi"/>
          <w:sz w:val="28"/>
          <w:szCs w:val="28"/>
        </w:rPr>
        <w:t xml:space="preserve">population census enumeration districts </w:t>
      </w:r>
      <w:r w:rsidR="0082746A" w:rsidRPr="00CA4714">
        <w:rPr>
          <w:rFonts w:asciiTheme="majorHAnsi" w:hAnsiTheme="majorHAnsi" w:cstheme="majorHAnsi"/>
          <w:sz w:val="28"/>
          <w:szCs w:val="28"/>
        </w:rPr>
        <w:t xml:space="preserve">is used to calculate </w:t>
      </w:r>
      <w:r w:rsidR="00DD1264" w:rsidRPr="00CA4714">
        <w:rPr>
          <w:rFonts w:asciiTheme="majorHAnsi" w:hAnsiTheme="majorHAnsi" w:cstheme="majorHAnsi"/>
          <w:sz w:val="28"/>
          <w:szCs w:val="28"/>
        </w:rPr>
        <w:t xml:space="preserve">sample </w:t>
      </w:r>
      <w:r w:rsidR="00AF38B0" w:rsidRPr="00CA4714">
        <w:rPr>
          <w:rFonts w:asciiTheme="majorHAnsi" w:hAnsiTheme="majorHAnsi" w:cstheme="majorHAnsi"/>
          <w:sz w:val="28"/>
          <w:szCs w:val="28"/>
        </w:rPr>
        <w:t>weights for each school, teacher and student</w:t>
      </w:r>
      <w:r w:rsidR="0082746A" w:rsidRPr="00CA4714">
        <w:rPr>
          <w:rFonts w:asciiTheme="majorHAnsi" w:hAnsiTheme="majorHAnsi" w:cstheme="majorHAnsi"/>
          <w:sz w:val="28"/>
          <w:szCs w:val="28"/>
        </w:rPr>
        <w:t xml:space="preserve"> included in the survey</w:t>
      </w:r>
      <w:r w:rsidR="00AF38B0" w:rsidRPr="00CA4714">
        <w:rPr>
          <w:rFonts w:asciiTheme="majorHAnsi" w:hAnsiTheme="majorHAnsi" w:cstheme="majorHAnsi"/>
          <w:sz w:val="28"/>
          <w:szCs w:val="28"/>
        </w:rPr>
        <w:t xml:space="preserve"> which ensures that each sampled</w:t>
      </w:r>
      <w:r w:rsidR="00AF4DE0" w:rsidRPr="00CA4714">
        <w:rPr>
          <w:rFonts w:asciiTheme="majorHAnsi" w:hAnsiTheme="majorHAnsi" w:cstheme="majorHAnsi"/>
          <w:sz w:val="28"/>
          <w:szCs w:val="28"/>
        </w:rPr>
        <w:t xml:space="preserve"> group is representative of </w:t>
      </w:r>
      <w:r w:rsidR="00AF38B0" w:rsidRPr="00CA4714">
        <w:rPr>
          <w:rFonts w:asciiTheme="majorHAnsi" w:hAnsiTheme="majorHAnsi" w:cstheme="majorHAnsi"/>
          <w:sz w:val="28"/>
          <w:szCs w:val="28"/>
        </w:rPr>
        <w:t>group population</w:t>
      </w:r>
      <w:r w:rsidR="00AF4DE0" w:rsidRPr="00CA4714">
        <w:rPr>
          <w:rFonts w:asciiTheme="majorHAnsi" w:hAnsiTheme="majorHAnsi" w:cstheme="majorHAnsi"/>
          <w:sz w:val="28"/>
          <w:szCs w:val="28"/>
        </w:rPr>
        <w:t>s</w:t>
      </w:r>
      <w:r w:rsidR="00AF38B0" w:rsidRPr="00CA4714">
        <w:rPr>
          <w:rFonts w:asciiTheme="majorHAnsi" w:hAnsiTheme="majorHAnsi" w:cstheme="majorHAnsi"/>
          <w:sz w:val="28"/>
          <w:szCs w:val="28"/>
        </w:rPr>
        <w:t xml:space="preserve"> </w:t>
      </w:r>
      <w:r w:rsidR="008844A3">
        <w:rPr>
          <w:rFonts w:asciiTheme="majorHAnsi" w:hAnsiTheme="majorHAnsi" w:cstheme="majorHAnsi"/>
          <w:sz w:val="28"/>
          <w:szCs w:val="28"/>
        </w:rPr>
        <w:t xml:space="preserve">as a whole </w:t>
      </w:r>
      <w:r w:rsidR="00AF38B0" w:rsidRPr="00CA4714">
        <w:rPr>
          <w:rFonts w:asciiTheme="majorHAnsi" w:hAnsiTheme="majorHAnsi" w:cstheme="majorHAnsi"/>
          <w:sz w:val="28"/>
          <w:szCs w:val="28"/>
        </w:rPr>
        <w:t xml:space="preserve">at the national level. </w:t>
      </w:r>
      <w:r w:rsidRPr="00CA4714">
        <w:rPr>
          <w:rFonts w:asciiTheme="majorHAnsi" w:hAnsiTheme="majorHAnsi" w:cstheme="majorHAnsi"/>
          <w:sz w:val="28"/>
          <w:szCs w:val="28"/>
        </w:rPr>
        <w:t xml:space="preserve">  </w:t>
      </w:r>
    </w:p>
    <w:p w14:paraId="35AFFC7C" w14:textId="77777777" w:rsidR="00AF38B0" w:rsidRDefault="00AF38B0" w:rsidP="000B10B0">
      <w:pPr>
        <w:jc w:val="both"/>
        <w:rPr>
          <w:rFonts w:asciiTheme="majorHAnsi" w:hAnsiTheme="majorHAnsi" w:cstheme="majorHAnsi"/>
          <w:sz w:val="28"/>
          <w:szCs w:val="28"/>
        </w:rPr>
      </w:pPr>
      <w:r w:rsidRPr="00CA4714">
        <w:rPr>
          <w:rFonts w:asciiTheme="majorHAnsi" w:hAnsiTheme="majorHAnsi" w:cstheme="majorHAnsi"/>
          <w:sz w:val="28"/>
          <w:szCs w:val="28"/>
        </w:rPr>
        <w:t xml:space="preserve">A total of 180 primary schools are selected for each national survey with </w:t>
      </w:r>
      <w:r w:rsidR="007C4ABA" w:rsidRPr="00CA4714">
        <w:rPr>
          <w:rFonts w:asciiTheme="majorHAnsi" w:hAnsiTheme="majorHAnsi" w:cstheme="majorHAnsi"/>
          <w:sz w:val="28"/>
          <w:szCs w:val="28"/>
        </w:rPr>
        <w:t xml:space="preserve">between </w:t>
      </w:r>
      <w:r w:rsidR="00C87C7E" w:rsidRPr="00CA4714">
        <w:rPr>
          <w:rFonts w:asciiTheme="majorHAnsi" w:hAnsiTheme="majorHAnsi" w:cstheme="majorHAnsi"/>
          <w:sz w:val="28"/>
          <w:szCs w:val="28"/>
        </w:rPr>
        <w:t>4,000</w:t>
      </w:r>
      <w:r w:rsidR="007C4ABA" w:rsidRPr="00CA4714">
        <w:rPr>
          <w:rFonts w:asciiTheme="majorHAnsi" w:hAnsiTheme="majorHAnsi" w:cstheme="majorHAnsi"/>
          <w:sz w:val="28"/>
          <w:szCs w:val="28"/>
        </w:rPr>
        <w:t xml:space="preserve"> and </w:t>
      </w:r>
      <w:r w:rsidR="00C87C7E" w:rsidRPr="00CA4714">
        <w:rPr>
          <w:rFonts w:asciiTheme="majorHAnsi" w:hAnsiTheme="majorHAnsi" w:cstheme="majorHAnsi"/>
          <w:sz w:val="28"/>
          <w:szCs w:val="28"/>
        </w:rPr>
        <w:t xml:space="preserve">4,500 grade 2 and grade 6 students being tested in each country. In addition, at each survey school, </w:t>
      </w:r>
      <w:r w:rsidR="007C4ABA" w:rsidRPr="00CA4714">
        <w:rPr>
          <w:rFonts w:asciiTheme="majorHAnsi" w:hAnsiTheme="majorHAnsi" w:cstheme="majorHAnsi"/>
          <w:sz w:val="28"/>
          <w:szCs w:val="28"/>
        </w:rPr>
        <w:t xml:space="preserve">personal and other </w:t>
      </w:r>
      <w:r w:rsidR="00C87C7E" w:rsidRPr="00CA4714">
        <w:rPr>
          <w:rFonts w:asciiTheme="majorHAnsi" w:hAnsiTheme="majorHAnsi" w:cstheme="majorHAnsi"/>
          <w:sz w:val="28"/>
          <w:szCs w:val="28"/>
        </w:rPr>
        <w:t>information is collected from the teachers of the two selected grade 2 and grade 6 classes as well as the school director.</w:t>
      </w:r>
    </w:p>
    <w:p w14:paraId="1605CCF0" w14:textId="21A15D61" w:rsidR="00A47315" w:rsidRPr="00A47315" w:rsidRDefault="00A47315" w:rsidP="000B10B0">
      <w:pPr>
        <w:jc w:val="both"/>
        <w:rPr>
          <w:rFonts w:asciiTheme="majorHAnsi" w:hAnsiTheme="majorHAnsi" w:cstheme="majorHAnsi"/>
          <w:i/>
          <w:sz w:val="28"/>
          <w:szCs w:val="28"/>
        </w:rPr>
      </w:pPr>
      <w:r>
        <w:rPr>
          <w:rFonts w:asciiTheme="majorHAnsi" w:hAnsiTheme="majorHAnsi" w:cstheme="majorHAnsi"/>
          <w:i/>
          <w:sz w:val="28"/>
          <w:szCs w:val="28"/>
        </w:rPr>
        <w:t>Private tuition information</w:t>
      </w:r>
    </w:p>
    <w:p w14:paraId="343E5525" w14:textId="7BB54E08" w:rsidR="00401B35" w:rsidRDefault="007C4ABA" w:rsidP="008263B0">
      <w:pPr>
        <w:jc w:val="both"/>
        <w:rPr>
          <w:rFonts w:asciiTheme="majorHAnsi" w:hAnsiTheme="majorHAnsi" w:cstheme="majorHAnsi"/>
          <w:sz w:val="28"/>
          <w:szCs w:val="28"/>
        </w:rPr>
      </w:pPr>
      <w:r w:rsidRPr="00CA4714">
        <w:rPr>
          <w:rFonts w:asciiTheme="majorHAnsi" w:hAnsiTheme="majorHAnsi" w:cstheme="majorHAnsi"/>
          <w:sz w:val="28"/>
          <w:szCs w:val="28"/>
        </w:rPr>
        <w:t>I</w:t>
      </w:r>
      <w:r w:rsidR="00C87C7E" w:rsidRPr="00CA4714">
        <w:rPr>
          <w:rFonts w:asciiTheme="majorHAnsi" w:hAnsiTheme="majorHAnsi" w:cstheme="majorHAnsi"/>
          <w:sz w:val="28"/>
          <w:szCs w:val="28"/>
        </w:rPr>
        <w:t>nformation on private tuition is collected from both students</w:t>
      </w:r>
      <w:r w:rsidR="00C11910" w:rsidRPr="00CA4714">
        <w:rPr>
          <w:rStyle w:val="FootnoteReference"/>
          <w:rFonts w:asciiTheme="majorHAnsi" w:hAnsiTheme="majorHAnsi" w:cstheme="majorHAnsi"/>
          <w:sz w:val="28"/>
          <w:szCs w:val="28"/>
        </w:rPr>
        <w:footnoteReference w:id="5"/>
      </w:r>
      <w:r w:rsidR="00C87C7E" w:rsidRPr="00CA4714">
        <w:rPr>
          <w:rFonts w:asciiTheme="majorHAnsi" w:hAnsiTheme="majorHAnsi" w:cstheme="majorHAnsi"/>
          <w:sz w:val="28"/>
          <w:szCs w:val="28"/>
        </w:rPr>
        <w:t xml:space="preserve"> and teachers. Students </w:t>
      </w:r>
      <w:r w:rsidR="00AF4DE0" w:rsidRPr="00CA4714">
        <w:rPr>
          <w:rFonts w:asciiTheme="majorHAnsi" w:hAnsiTheme="majorHAnsi" w:cstheme="majorHAnsi"/>
          <w:sz w:val="28"/>
          <w:szCs w:val="28"/>
        </w:rPr>
        <w:t xml:space="preserve">are asked </w:t>
      </w:r>
      <w:r w:rsidR="00A47315">
        <w:rPr>
          <w:rFonts w:asciiTheme="majorHAnsi" w:hAnsiTheme="majorHAnsi" w:cstheme="majorHAnsi"/>
          <w:sz w:val="28"/>
          <w:szCs w:val="28"/>
        </w:rPr>
        <w:t xml:space="preserve">the following </w:t>
      </w:r>
      <w:r w:rsidR="00AF4DE0" w:rsidRPr="00CA4714">
        <w:rPr>
          <w:rFonts w:asciiTheme="majorHAnsi" w:hAnsiTheme="majorHAnsi" w:cstheme="majorHAnsi"/>
          <w:sz w:val="28"/>
          <w:szCs w:val="28"/>
        </w:rPr>
        <w:t>t</w:t>
      </w:r>
      <w:r w:rsidR="00A47315">
        <w:rPr>
          <w:rFonts w:asciiTheme="majorHAnsi" w:hAnsiTheme="majorHAnsi" w:cstheme="majorHAnsi"/>
          <w:sz w:val="28"/>
          <w:szCs w:val="28"/>
        </w:rPr>
        <w:t xml:space="preserve">wo questions concerning private tuition. (i) Do you </w:t>
      </w:r>
      <w:r w:rsidR="00AF4DE0" w:rsidRPr="00CA4714">
        <w:rPr>
          <w:rFonts w:asciiTheme="majorHAnsi" w:hAnsiTheme="majorHAnsi" w:cstheme="majorHAnsi"/>
          <w:sz w:val="28"/>
          <w:szCs w:val="28"/>
        </w:rPr>
        <w:t xml:space="preserve">currently </w:t>
      </w:r>
      <w:r w:rsidR="00C87C7E" w:rsidRPr="00CA4714">
        <w:rPr>
          <w:rFonts w:asciiTheme="majorHAnsi" w:hAnsiTheme="majorHAnsi" w:cstheme="majorHAnsi"/>
          <w:sz w:val="28"/>
          <w:szCs w:val="28"/>
        </w:rPr>
        <w:t xml:space="preserve">receive any additional </w:t>
      </w:r>
      <w:r w:rsidR="00B505ED" w:rsidRPr="00CA4714">
        <w:rPr>
          <w:rFonts w:asciiTheme="majorHAnsi" w:hAnsiTheme="majorHAnsi" w:cstheme="majorHAnsi"/>
          <w:sz w:val="28"/>
          <w:szCs w:val="28"/>
        </w:rPr>
        <w:t xml:space="preserve">tutorial </w:t>
      </w:r>
      <w:r w:rsidR="00A47315">
        <w:rPr>
          <w:rFonts w:asciiTheme="majorHAnsi" w:hAnsiTheme="majorHAnsi" w:cstheme="majorHAnsi"/>
          <w:sz w:val="28"/>
          <w:szCs w:val="28"/>
        </w:rPr>
        <w:t xml:space="preserve">support from your own </w:t>
      </w:r>
      <w:r w:rsidR="00C87C7E" w:rsidRPr="00CA4714">
        <w:rPr>
          <w:rFonts w:asciiTheme="majorHAnsi" w:hAnsiTheme="majorHAnsi" w:cstheme="majorHAnsi"/>
          <w:sz w:val="28"/>
          <w:szCs w:val="28"/>
        </w:rPr>
        <w:t xml:space="preserve">class teacher </w:t>
      </w:r>
      <w:r w:rsidR="008263B0">
        <w:rPr>
          <w:rFonts w:asciiTheme="majorHAnsi" w:hAnsiTheme="majorHAnsi" w:cstheme="majorHAnsi"/>
          <w:sz w:val="28"/>
          <w:szCs w:val="28"/>
        </w:rPr>
        <w:t xml:space="preserve">in </w:t>
      </w:r>
      <w:r w:rsidR="00C5321F">
        <w:rPr>
          <w:rFonts w:asciiTheme="majorHAnsi" w:hAnsiTheme="majorHAnsi" w:cstheme="majorHAnsi"/>
          <w:sz w:val="28"/>
          <w:szCs w:val="28"/>
        </w:rPr>
        <w:t>your own home?</w:t>
      </w:r>
      <w:r w:rsidR="00A47315">
        <w:rPr>
          <w:rFonts w:asciiTheme="majorHAnsi" w:hAnsiTheme="majorHAnsi" w:cstheme="majorHAnsi"/>
          <w:sz w:val="28"/>
          <w:szCs w:val="28"/>
        </w:rPr>
        <w:t xml:space="preserve"> and (ii) Do you receive any other tutorial support </w:t>
      </w:r>
      <w:r w:rsidR="00C87C7E" w:rsidRPr="00CA4714">
        <w:rPr>
          <w:rFonts w:asciiTheme="majorHAnsi" w:hAnsiTheme="majorHAnsi" w:cstheme="majorHAnsi"/>
          <w:sz w:val="28"/>
          <w:szCs w:val="28"/>
        </w:rPr>
        <w:lastRenderedPageBreak/>
        <w:t>(</w:t>
      </w:r>
      <w:r w:rsidR="0082746A" w:rsidRPr="00CA4714">
        <w:rPr>
          <w:rFonts w:asciiTheme="majorHAnsi" w:hAnsiTheme="majorHAnsi" w:cstheme="majorHAnsi"/>
          <w:sz w:val="28"/>
          <w:szCs w:val="28"/>
        </w:rPr>
        <w:t>‘</w:t>
      </w:r>
      <w:r w:rsidR="00C87C7E" w:rsidRPr="00CA4714">
        <w:rPr>
          <w:rFonts w:asciiTheme="majorHAnsi" w:hAnsiTheme="majorHAnsi" w:cstheme="majorHAnsi"/>
          <w:sz w:val="28"/>
          <w:szCs w:val="28"/>
        </w:rPr>
        <w:t>repetiteur</w:t>
      </w:r>
      <w:r w:rsidR="0082746A" w:rsidRPr="00CA4714">
        <w:rPr>
          <w:rFonts w:asciiTheme="majorHAnsi" w:hAnsiTheme="majorHAnsi" w:cstheme="majorHAnsi"/>
          <w:sz w:val="28"/>
          <w:szCs w:val="28"/>
        </w:rPr>
        <w:t>’</w:t>
      </w:r>
      <w:r w:rsidR="00C87C7E" w:rsidRPr="00CA4714">
        <w:rPr>
          <w:rFonts w:asciiTheme="majorHAnsi" w:hAnsiTheme="majorHAnsi" w:cstheme="majorHAnsi"/>
          <w:sz w:val="28"/>
          <w:szCs w:val="28"/>
        </w:rPr>
        <w:t xml:space="preserve">) </w:t>
      </w:r>
      <w:r w:rsidR="00A47315">
        <w:rPr>
          <w:rFonts w:asciiTheme="majorHAnsi" w:hAnsiTheme="majorHAnsi" w:cstheme="majorHAnsi"/>
          <w:sz w:val="28"/>
          <w:szCs w:val="28"/>
        </w:rPr>
        <w:t>of any kind?</w:t>
      </w:r>
      <w:r w:rsidR="008263B0">
        <w:rPr>
          <w:rFonts w:asciiTheme="majorHAnsi" w:hAnsiTheme="majorHAnsi" w:cstheme="majorHAnsi"/>
          <w:sz w:val="28"/>
          <w:szCs w:val="28"/>
        </w:rPr>
        <w:t xml:space="preserve"> T</w:t>
      </w:r>
      <w:r w:rsidR="00C87C7E" w:rsidRPr="00CA4714">
        <w:rPr>
          <w:rFonts w:asciiTheme="majorHAnsi" w:hAnsiTheme="majorHAnsi" w:cstheme="majorHAnsi"/>
          <w:sz w:val="28"/>
          <w:szCs w:val="28"/>
        </w:rPr>
        <w:t>eachers</w:t>
      </w:r>
      <w:r w:rsidR="00B505ED" w:rsidRPr="00CA4714">
        <w:rPr>
          <w:rFonts w:asciiTheme="majorHAnsi" w:hAnsiTheme="majorHAnsi" w:cstheme="majorHAnsi"/>
          <w:sz w:val="28"/>
          <w:szCs w:val="28"/>
        </w:rPr>
        <w:t xml:space="preserve"> are asked </w:t>
      </w:r>
      <w:r w:rsidR="00A47315">
        <w:rPr>
          <w:rFonts w:asciiTheme="majorHAnsi" w:hAnsiTheme="majorHAnsi" w:cstheme="majorHAnsi"/>
          <w:sz w:val="28"/>
          <w:szCs w:val="28"/>
        </w:rPr>
        <w:t xml:space="preserve">only one question, namely do you </w:t>
      </w:r>
      <w:r w:rsidR="00C5321F">
        <w:rPr>
          <w:rFonts w:asciiTheme="majorHAnsi" w:hAnsiTheme="majorHAnsi" w:cstheme="majorHAnsi"/>
          <w:sz w:val="28"/>
          <w:szCs w:val="28"/>
        </w:rPr>
        <w:t xml:space="preserve">earn any additional income from offering </w:t>
      </w:r>
      <w:r w:rsidR="00A47315">
        <w:rPr>
          <w:rFonts w:asciiTheme="majorHAnsi" w:hAnsiTheme="majorHAnsi" w:cstheme="majorHAnsi"/>
          <w:sz w:val="28"/>
          <w:szCs w:val="28"/>
        </w:rPr>
        <w:t xml:space="preserve">private </w:t>
      </w:r>
      <w:r w:rsidR="00B505ED" w:rsidRPr="00CA4714">
        <w:rPr>
          <w:rFonts w:asciiTheme="majorHAnsi" w:hAnsiTheme="majorHAnsi" w:cstheme="majorHAnsi"/>
          <w:sz w:val="28"/>
          <w:szCs w:val="28"/>
        </w:rPr>
        <w:t>tu</w:t>
      </w:r>
      <w:r w:rsidR="00C5321F">
        <w:rPr>
          <w:rFonts w:asciiTheme="majorHAnsi" w:hAnsiTheme="majorHAnsi" w:cstheme="majorHAnsi"/>
          <w:sz w:val="28"/>
          <w:szCs w:val="28"/>
        </w:rPr>
        <w:t xml:space="preserve">ition </w:t>
      </w:r>
      <w:r w:rsidR="00B505ED" w:rsidRPr="00CA4714">
        <w:rPr>
          <w:rFonts w:asciiTheme="majorHAnsi" w:hAnsiTheme="majorHAnsi" w:cstheme="majorHAnsi"/>
          <w:sz w:val="28"/>
          <w:szCs w:val="28"/>
        </w:rPr>
        <w:t xml:space="preserve">(‘cours particulieres’) outside of </w:t>
      </w:r>
      <w:r w:rsidR="00A47315">
        <w:rPr>
          <w:rFonts w:asciiTheme="majorHAnsi" w:hAnsiTheme="majorHAnsi" w:cstheme="majorHAnsi"/>
          <w:sz w:val="28"/>
          <w:szCs w:val="28"/>
        </w:rPr>
        <w:t xml:space="preserve">your </w:t>
      </w:r>
      <w:r w:rsidR="00B505ED" w:rsidRPr="00CA4714">
        <w:rPr>
          <w:rFonts w:asciiTheme="majorHAnsi" w:hAnsiTheme="majorHAnsi" w:cstheme="majorHAnsi"/>
          <w:sz w:val="28"/>
          <w:szCs w:val="28"/>
        </w:rPr>
        <w:t>normal teaching duties</w:t>
      </w:r>
      <w:r w:rsidR="00C5321F">
        <w:rPr>
          <w:rFonts w:asciiTheme="majorHAnsi" w:hAnsiTheme="majorHAnsi" w:cstheme="majorHAnsi"/>
          <w:sz w:val="28"/>
          <w:szCs w:val="28"/>
        </w:rPr>
        <w:t>?</w:t>
      </w:r>
      <w:r w:rsidR="00B505ED" w:rsidRPr="00CA4714">
        <w:rPr>
          <w:rFonts w:asciiTheme="majorHAnsi" w:hAnsiTheme="majorHAnsi" w:cstheme="majorHAnsi"/>
          <w:sz w:val="28"/>
          <w:szCs w:val="28"/>
        </w:rPr>
        <w:t xml:space="preserve"> While this information is quite limited, it does provide the basis for a fairly detailed</w:t>
      </w:r>
      <w:r w:rsidRPr="00CA4714">
        <w:rPr>
          <w:rFonts w:asciiTheme="majorHAnsi" w:hAnsiTheme="majorHAnsi" w:cstheme="majorHAnsi"/>
          <w:sz w:val="28"/>
          <w:szCs w:val="28"/>
        </w:rPr>
        <w:t xml:space="preserve"> assessment</w:t>
      </w:r>
      <w:r w:rsidR="00B505ED" w:rsidRPr="00CA4714">
        <w:rPr>
          <w:rFonts w:asciiTheme="majorHAnsi" w:hAnsiTheme="majorHAnsi" w:cstheme="majorHAnsi"/>
          <w:sz w:val="28"/>
          <w:szCs w:val="28"/>
        </w:rPr>
        <w:t xml:space="preserve"> of the overall incidence and patterns of tutorial provision</w:t>
      </w:r>
      <w:r w:rsidR="00AF4DE0" w:rsidRPr="00CA4714">
        <w:rPr>
          <w:rFonts w:asciiTheme="majorHAnsi" w:hAnsiTheme="majorHAnsi" w:cstheme="majorHAnsi"/>
          <w:sz w:val="28"/>
          <w:szCs w:val="28"/>
        </w:rPr>
        <w:t xml:space="preserve"> across each country</w:t>
      </w:r>
      <w:r w:rsidR="00B505ED" w:rsidRPr="00CA4714">
        <w:rPr>
          <w:rFonts w:asciiTheme="majorHAnsi" w:hAnsiTheme="majorHAnsi" w:cstheme="majorHAnsi"/>
          <w:sz w:val="28"/>
          <w:szCs w:val="28"/>
        </w:rPr>
        <w:t xml:space="preserve">. </w:t>
      </w:r>
    </w:p>
    <w:p w14:paraId="1B08A8DD" w14:textId="4AFAE83D" w:rsidR="002B1D29" w:rsidRDefault="002B1D29" w:rsidP="002B1D29">
      <w:pPr>
        <w:jc w:val="both"/>
        <w:rPr>
          <w:rFonts w:asciiTheme="majorHAnsi" w:hAnsiTheme="majorHAnsi" w:cstheme="majorHAnsi"/>
          <w:sz w:val="28"/>
          <w:szCs w:val="28"/>
        </w:rPr>
      </w:pPr>
      <w:r>
        <w:rPr>
          <w:rFonts w:asciiTheme="majorHAnsi" w:hAnsiTheme="majorHAnsi" w:cstheme="majorHAnsi"/>
          <w:sz w:val="28"/>
          <w:szCs w:val="28"/>
        </w:rPr>
        <w:t xml:space="preserve">Between them, the two student questions cover all private tuition activity although a more detailed breakdown of ‘repetiteur’ activities by location (school, tutor’s home, commercial centre, on-line, other premises) and provider (individual tutor, commercial organisation etc.) would clearly be desirable. </w:t>
      </w:r>
      <w:r w:rsidR="00C5321F">
        <w:rPr>
          <w:rFonts w:asciiTheme="majorHAnsi" w:hAnsiTheme="majorHAnsi" w:cstheme="majorHAnsi"/>
          <w:sz w:val="28"/>
          <w:szCs w:val="28"/>
        </w:rPr>
        <w:t>As noted earlier, since t</w:t>
      </w:r>
      <w:r>
        <w:rPr>
          <w:rFonts w:asciiTheme="majorHAnsi" w:hAnsiTheme="majorHAnsi" w:cstheme="majorHAnsi"/>
          <w:sz w:val="28"/>
          <w:szCs w:val="28"/>
        </w:rPr>
        <w:t>here do not appear to be any serious government restrictions on private tuition in any of the nine FWA countries</w:t>
      </w:r>
      <w:r w:rsidR="00C5321F">
        <w:rPr>
          <w:rFonts w:asciiTheme="majorHAnsi" w:hAnsiTheme="majorHAnsi" w:cstheme="majorHAnsi"/>
          <w:sz w:val="28"/>
          <w:szCs w:val="28"/>
        </w:rPr>
        <w:t xml:space="preserve">, </w:t>
      </w:r>
      <w:r>
        <w:rPr>
          <w:rFonts w:asciiTheme="majorHAnsi" w:hAnsiTheme="majorHAnsi" w:cstheme="majorHAnsi"/>
          <w:sz w:val="28"/>
          <w:szCs w:val="28"/>
        </w:rPr>
        <w:t xml:space="preserve">neither student nor teacher responses </w:t>
      </w:r>
      <w:r w:rsidR="006473F9">
        <w:rPr>
          <w:rFonts w:asciiTheme="majorHAnsi" w:hAnsiTheme="majorHAnsi" w:cstheme="majorHAnsi"/>
          <w:sz w:val="28"/>
          <w:szCs w:val="28"/>
        </w:rPr>
        <w:t xml:space="preserve">to the three questions on private tuition provision </w:t>
      </w:r>
      <w:r>
        <w:rPr>
          <w:rFonts w:asciiTheme="majorHAnsi" w:hAnsiTheme="majorHAnsi" w:cstheme="majorHAnsi"/>
          <w:sz w:val="28"/>
          <w:szCs w:val="28"/>
        </w:rPr>
        <w:t xml:space="preserve">are likely to be seriously biased (either upwards or downwards).   </w:t>
      </w:r>
    </w:p>
    <w:p w14:paraId="56552E27" w14:textId="77777777" w:rsidR="009E7217" w:rsidRPr="00CA4714" w:rsidRDefault="00534F8F" w:rsidP="00534F8F">
      <w:pPr>
        <w:pStyle w:val="ListParagraph"/>
        <w:numPr>
          <w:ilvl w:val="1"/>
          <w:numId w:val="2"/>
        </w:numPr>
        <w:jc w:val="both"/>
        <w:rPr>
          <w:rFonts w:asciiTheme="majorHAnsi" w:hAnsiTheme="majorHAnsi" w:cstheme="majorHAnsi"/>
          <w:i/>
          <w:sz w:val="28"/>
          <w:szCs w:val="28"/>
        </w:rPr>
      </w:pPr>
      <w:r w:rsidRPr="00CA4714">
        <w:rPr>
          <w:rFonts w:asciiTheme="majorHAnsi" w:hAnsiTheme="majorHAnsi" w:cstheme="majorHAnsi"/>
          <w:i/>
          <w:sz w:val="28"/>
          <w:szCs w:val="28"/>
        </w:rPr>
        <w:t xml:space="preserve"> </w:t>
      </w:r>
      <w:r w:rsidR="009E7217" w:rsidRPr="00CA4714">
        <w:rPr>
          <w:rFonts w:asciiTheme="majorHAnsi" w:hAnsiTheme="majorHAnsi" w:cstheme="majorHAnsi"/>
          <w:i/>
          <w:sz w:val="28"/>
          <w:szCs w:val="28"/>
        </w:rPr>
        <w:t>Background information</w:t>
      </w:r>
    </w:p>
    <w:p w14:paraId="1CD87379" w14:textId="011DF048" w:rsidR="006473F9" w:rsidRDefault="009E7217" w:rsidP="009E7217">
      <w:pPr>
        <w:jc w:val="both"/>
        <w:rPr>
          <w:rFonts w:asciiTheme="majorHAnsi" w:hAnsiTheme="majorHAnsi" w:cstheme="majorHAnsi"/>
          <w:sz w:val="28"/>
          <w:szCs w:val="28"/>
        </w:rPr>
      </w:pPr>
      <w:r w:rsidRPr="00CA4714">
        <w:rPr>
          <w:rFonts w:asciiTheme="majorHAnsi" w:hAnsiTheme="majorHAnsi" w:cstheme="majorHAnsi"/>
          <w:sz w:val="28"/>
          <w:szCs w:val="28"/>
        </w:rPr>
        <w:t xml:space="preserve">Table 1 provides background information </w:t>
      </w:r>
      <w:r w:rsidR="00666BCA" w:rsidRPr="00CA4714">
        <w:rPr>
          <w:rFonts w:asciiTheme="majorHAnsi" w:hAnsiTheme="majorHAnsi" w:cstheme="majorHAnsi"/>
          <w:sz w:val="28"/>
          <w:szCs w:val="28"/>
        </w:rPr>
        <w:t xml:space="preserve">on </w:t>
      </w:r>
      <w:r w:rsidRPr="00CA4714">
        <w:rPr>
          <w:rFonts w:asciiTheme="majorHAnsi" w:hAnsiTheme="majorHAnsi" w:cstheme="majorHAnsi"/>
          <w:sz w:val="28"/>
          <w:szCs w:val="28"/>
        </w:rPr>
        <w:t xml:space="preserve">the </w:t>
      </w:r>
      <w:r w:rsidR="00666BCA" w:rsidRPr="00CA4714">
        <w:rPr>
          <w:rFonts w:asciiTheme="majorHAnsi" w:hAnsiTheme="majorHAnsi" w:cstheme="majorHAnsi"/>
          <w:sz w:val="28"/>
          <w:szCs w:val="28"/>
        </w:rPr>
        <w:t xml:space="preserve">nine </w:t>
      </w:r>
      <w:r w:rsidRPr="00CA4714">
        <w:rPr>
          <w:rFonts w:asciiTheme="majorHAnsi" w:hAnsiTheme="majorHAnsi" w:cstheme="majorHAnsi"/>
          <w:sz w:val="28"/>
          <w:szCs w:val="28"/>
        </w:rPr>
        <w:t>PASEC survey countries</w:t>
      </w:r>
      <w:r w:rsidR="00666BCA" w:rsidRPr="00CA4714">
        <w:rPr>
          <w:rFonts w:asciiTheme="majorHAnsi" w:hAnsiTheme="majorHAnsi" w:cstheme="majorHAnsi"/>
          <w:sz w:val="28"/>
          <w:szCs w:val="28"/>
        </w:rPr>
        <w:t xml:space="preserve"> in West Africa</w:t>
      </w:r>
      <w:r w:rsidR="00666BCA" w:rsidRPr="00CA4714">
        <w:rPr>
          <w:rStyle w:val="FootnoteReference"/>
          <w:rFonts w:asciiTheme="majorHAnsi" w:hAnsiTheme="majorHAnsi" w:cstheme="majorHAnsi"/>
          <w:sz w:val="28"/>
          <w:szCs w:val="28"/>
        </w:rPr>
        <w:footnoteReference w:id="6"/>
      </w:r>
      <w:r w:rsidRPr="00CA4714">
        <w:rPr>
          <w:rFonts w:asciiTheme="majorHAnsi" w:hAnsiTheme="majorHAnsi" w:cstheme="majorHAnsi"/>
          <w:sz w:val="28"/>
          <w:szCs w:val="28"/>
        </w:rPr>
        <w:t xml:space="preserve">. High poverty rates (over 40% in eight countries) and low primary school completion rates </w:t>
      </w:r>
      <w:r w:rsidR="00B3084A" w:rsidRPr="00CA4714">
        <w:rPr>
          <w:rFonts w:asciiTheme="majorHAnsi" w:hAnsiTheme="majorHAnsi" w:cstheme="majorHAnsi"/>
          <w:sz w:val="28"/>
          <w:szCs w:val="28"/>
        </w:rPr>
        <w:t>(generally under 70%) are particularly noticeable.</w:t>
      </w:r>
      <w:r w:rsidR="00666BCA" w:rsidRPr="00CA4714">
        <w:rPr>
          <w:rFonts w:asciiTheme="majorHAnsi" w:hAnsiTheme="majorHAnsi" w:cstheme="majorHAnsi"/>
          <w:sz w:val="28"/>
          <w:szCs w:val="28"/>
        </w:rPr>
        <w:t xml:space="preserve">  </w:t>
      </w:r>
      <w:r w:rsidR="00B3084A" w:rsidRPr="00CA4714">
        <w:rPr>
          <w:rFonts w:asciiTheme="majorHAnsi" w:hAnsiTheme="majorHAnsi" w:cstheme="majorHAnsi"/>
          <w:sz w:val="28"/>
          <w:szCs w:val="28"/>
        </w:rPr>
        <w:t xml:space="preserve">All </w:t>
      </w:r>
      <w:r w:rsidR="00666BCA" w:rsidRPr="00CA4714">
        <w:rPr>
          <w:rFonts w:asciiTheme="majorHAnsi" w:hAnsiTheme="majorHAnsi" w:cstheme="majorHAnsi"/>
          <w:sz w:val="28"/>
          <w:szCs w:val="28"/>
        </w:rPr>
        <w:t>nine c</w:t>
      </w:r>
      <w:r w:rsidR="00B3084A" w:rsidRPr="00CA4714">
        <w:rPr>
          <w:rFonts w:asciiTheme="majorHAnsi" w:hAnsiTheme="majorHAnsi" w:cstheme="majorHAnsi"/>
          <w:sz w:val="28"/>
          <w:szCs w:val="28"/>
        </w:rPr>
        <w:t xml:space="preserve">ountries have a six-year primary cycle. With the exception of </w:t>
      </w:r>
      <w:r w:rsidR="001137AA" w:rsidRPr="00CA4714">
        <w:rPr>
          <w:rFonts w:asciiTheme="majorHAnsi" w:hAnsiTheme="majorHAnsi" w:cstheme="majorHAnsi"/>
          <w:sz w:val="28"/>
          <w:szCs w:val="28"/>
        </w:rPr>
        <w:t xml:space="preserve">Cameroon, Senegal and </w:t>
      </w:r>
      <w:r w:rsidR="00B3084A" w:rsidRPr="00CA4714">
        <w:rPr>
          <w:rFonts w:asciiTheme="majorHAnsi" w:hAnsiTheme="majorHAnsi" w:cstheme="majorHAnsi"/>
          <w:sz w:val="28"/>
          <w:szCs w:val="28"/>
        </w:rPr>
        <w:t xml:space="preserve">Togo, public schools account for </w:t>
      </w:r>
      <w:r w:rsidR="001137AA" w:rsidRPr="00CA4714">
        <w:rPr>
          <w:rFonts w:asciiTheme="majorHAnsi" w:hAnsiTheme="majorHAnsi" w:cstheme="majorHAnsi"/>
          <w:sz w:val="28"/>
          <w:szCs w:val="28"/>
        </w:rPr>
        <w:t xml:space="preserve">over 80% </w:t>
      </w:r>
      <w:r w:rsidR="00666BCA" w:rsidRPr="00CA4714">
        <w:rPr>
          <w:rFonts w:asciiTheme="majorHAnsi" w:hAnsiTheme="majorHAnsi" w:cstheme="majorHAnsi"/>
          <w:sz w:val="28"/>
          <w:szCs w:val="28"/>
        </w:rPr>
        <w:t xml:space="preserve">of primary education </w:t>
      </w:r>
      <w:r w:rsidR="00B3084A" w:rsidRPr="00CA4714">
        <w:rPr>
          <w:rFonts w:asciiTheme="majorHAnsi" w:hAnsiTheme="majorHAnsi" w:cstheme="majorHAnsi"/>
          <w:sz w:val="28"/>
          <w:szCs w:val="28"/>
        </w:rPr>
        <w:t>enrolments in the rural areas</w:t>
      </w:r>
      <w:r w:rsidR="001137AA" w:rsidRPr="00CA4714">
        <w:rPr>
          <w:rFonts w:asciiTheme="majorHAnsi" w:hAnsiTheme="majorHAnsi" w:cstheme="majorHAnsi"/>
          <w:sz w:val="28"/>
          <w:szCs w:val="28"/>
        </w:rPr>
        <w:t xml:space="preserve"> (see table 2)</w:t>
      </w:r>
      <w:r w:rsidR="00B3084A" w:rsidRPr="00CA4714">
        <w:rPr>
          <w:rFonts w:asciiTheme="majorHAnsi" w:hAnsiTheme="majorHAnsi" w:cstheme="majorHAnsi"/>
          <w:sz w:val="28"/>
          <w:szCs w:val="28"/>
        </w:rPr>
        <w:t xml:space="preserve">.  Non-state </w:t>
      </w:r>
      <w:r w:rsidR="00666BCA" w:rsidRPr="00CA4714">
        <w:rPr>
          <w:rFonts w:asciiTheme="majorHAnsi" w:hAnsiTheme="majorHAnsi" w:cstheme="majorHAnsi"/>
          <w:sz w:val="28"/>
          <w:szCs w:val="28"/>
        </w:rPr>
        <w:t xml:space="preserve">‘private’ </w:t>
      </w:r>
      <w:r w:rsidR="00B3084A" w:rsidRPr="00CA4714">
        <w:rPr>
          <w:rFonts w:asciiTheme="majorHAnsi" w:hAnsiTheme="majorHAnsi" w:cstheme="majorHAnsi"/>
          <w:sz w:val="28"/>
          <w:szCs w:val="28"/>
        </w:rPr>
        <w:t xml:space="preserve">provision, both </w:t>
      </w:r>
      <w:r w:rsidR="00666BCA" w:rsidRPr="00CA4714">
        <w:rPr>
          <w:rFonts w:asciiTheme="majorHAnsi" w:hAnsiTheme="majorHAnsi" w:cstheme="majorHAnsi"/>
          <w:sz w:val="28"/>
          <w:szCs w:val="28"/>
        </w:rPr>
        <w:t xml:space="preserve">(not-for-profit) </w:t>
      </w:r>
      <w:r w:rsidR="00B3084A" w:rsidRPr="00CA4714">
        <w:rPr>
          <w:rFonts w:asciiTheme="majorHAnsi" w:hAnsiTheme="majorHAnsi" w:cstheme="majorHAnsi"/>
          <w:sz w:val="28"/>
          <w:szCs w:val="28"/>
        </w:rPr>
        <w:t>faith-based and (mostly for-profit)</w:t>
      </w:r>
      <w:r w:rsidR="007C4ABA" w:rsidRPr="00CA4714">
        <w:rPr>
          <w:rFonts w:asciiTheme="majorHAnsi" w:hAnsiTheme="majorHAnsi" w:cstheme="majorHAnsi"/>
          <w:sz w:val="28"/>
          <w:szCs w:val="28"/>
        </w:rPr>
        <w:t xml:space="preserve"> ‘secular’</w:t>
      </w:r>
      <w:r w:rsidR="008D1579" w:rsidRPr="00CA4714">
        <w:rPr>
          <w:rFonts w:asciiTheme="majorHAnsi" w:hAnsiTheme="majorHAnsi" w:cstheme="majorHAnsi"/>
          <w:sz w:val="28"/>
          <w:szCs w:val="28"/>
        </w:rPr>
        <w:t xml:space="preserve"> schools</w:t>
      </w:r>
      <w:r w:rsidR="001137AA" w:rsidRPr="00CA4714">
        <w:rPr>
          <w:rFonts w:asciiTheme="majorHAnsi" w:hAnsiTheme="majorHAnsi" w:cstheme="majorHAnsi"/>
          <w:sz w:val="28"/>
          <w:szCs w:val="28"/>
        </w:rPr>
        <w:t>,</w:t>
      </w:r>
      <w:r w:rsidR="0082746A" w:rsidRPr="00CA4714">
        <w:rPr>
          <w:rFonts w:asciiTheme="majorHAnsi" w:hAnsiTheme="majorHAnsi" w:cstheme="majorHAnsi"/>
          <w:sz w:val="28"/>
          <w:szCs w:val="28"/>
        </w:rPr>
        <w:t xml:space="preserve"> is </w:t>
      </w:r>
      <w:r w:rsidR="00B3084A" w:rsidRPr="00CA4714">
        <w:rPr>
          <w:rFonts w:asciiTheme="majorHAnsi" w:hAnsiTheme="majorHAnsi" w:cstheme="majorHAnsi"/>
          <w:sz w:val="28"/>
          <w:szCs w:val="28"/>
        </w:rPr>
        <w:t xml:space="preserve">more important in urban areas </w:t>
      </w:r>
      <w:r w:rsidR="008D1579" w:rsidRPr="00CA4714">
        <w:rPr>
          <w:rFonts w:asciiTheme="majorHAnsi" w:hAnsiTheme="majorHAnsi" w:cstheme="majorHAnsi"/>
          <w:sz w:val="28"/>
          <w:szCs w:val="28"/>
        </w:rPr>
        <w:t xml:space="preserve">accounting for </w:t>
      </w:r>
      <w:r w:rsidR="00B3084A" w:rsidRPr="00CA4714">
        <w:rPr>
          <w:rFonts w:asciiTheme="majorHAnsi" w:hAnsiTheme="majorHAnsi" w:cstheme="majorHAnsi"/>
          <w:sz w:val="28"/>
          <w:szCs w:val="28"/>
        </w:rPr>
        <w:t xml:space="preserve">more than 20% of </w:t>
      </w:r>
      <w:r w:rsidR="008D1579" w:rsidRPr="00CA4714">
        <w:rPr>
          <w:rFonts w:asciiTheme="majorHAnsi" w:hAnsiTheme="majorHAnsi" w:cstheme="majorHAnsi"/>
          <w:sz w:val="28"/>
          <w:szCs w:val="28"/>
        </w:rPr>
        <w:t xml:space="preserve">total primary education </w:t>
      </w:r>
      <w:r w:rsidR="00B3084A" w:rsidRPr="00CA4714">
        <w:rPr>
          <w:rFonts w:asciiTheme="majorHAnsi" w:hAnsiTheme="majorHAnsi" w:cstheme="majorHAnsi"/>
          <w:sz w:val="28"/>
          <w:szCs w:val="28"/>
        </w:rPr>
        <w:t xml:space="preserve">enrolments in six countries. However, </w:t>
      </w:r>
      <w:r w:rsidR="0082746A" w:rsidRPr="00CA4714">
        <w:rPr>
          <w:rFonts w:asciiTheme="majorHAnsi" w:hAnsiTheme="majorHAnsi" w:cstheme="majorHAnsi"/>
          <w:sz w:val="28"/>
          <w:szCs w:val="28"/>
        </w:rPr>
        <w:t xml:space="preserve">the enrolment shares of </w:t>
      </w:r>
      <w:r w:rsidR="00B3084A" w:rsidRPr="00CA4714">
        <w:rPr>
          <w:rFonts w:asciiTheme="majorHAnsi" w:hAnsiTheme="majorHAnsi" w:cstheme="majorHAnsi"/>
          <w:sz w:val="28"/>
          <w:szCs w:val="28"/>
        </w:rPr>
        <w:t xml:space="preserve">for-profit private </w:t>
      </w:r>
      <w:r w:rsidR="0082746A" w:rsidRPr="00CA4714">
        <w:rPr>
          <w:rFonts w:asciiTheme="majorHAnsi" w:hAnsiTheme="majorHAnsi" w:cstheme="majorHAnsi"/>
          <w:sz w:val="28"/>
          <w:szCs w:val="28"/>
        </w:rPr>
        <w:t xml:space="preserve">primary </w:t>
      </w:r>
      <w:r w:rsidR="00B3084A" w:rsidRPr="00CA4714">
        <w:rPr>
          <w:rFonts w:asciiTheme="majorHAnsi" w:hAnsiTheme="majorHAnsi" w:cstheme="majorHAnsi"/>
          <w:sz w:val="28"/>
          <w:szCs w:val="28"/>
        </w:rPr>
        <w:t xml:space="preserve">schools </w:t>
      </w:r>
      <w:r w:rsidR="0082746A" w:rsidRPr="00CA4714">
        <w:rPr>
          <w:rFonts w:asciiTheme="majorHAnsi" w:hAnsiTheme="majorHAnsi" w:cstheme="majorHAnsi"/>
          <w:sz w:val="28"/>
          <w:szCs w:val="28"/>
        </w:rPr>
        <w:t xml:space="preserve">in urban areas are </w:t>
      </w:r>
      <w:r w:rsidR="008B4C03">
        <w:rPr>
          <w:rFonts w:asciiTheme="majorHAnsi" w:hAnsiTheme="majorHAnsi" w:cstheme="majorHAnsi"/>
          <w:sz w:val="28"/>
          <w:szCs w:val="28"/>
        </w:rPr>
        <w:t>somewhat</w:t>
      </w:r>
      <w:r w:rsidR="0082746A" w:rsidRPr="00CA4714">
        <w:rPr>
          <w:rFonts w:asciiTheme="majorHAnsi" w:hAnsiTheme="majorHAnsi" w:cstheme="majorHAnsi"/>
          <w:sz w:val="28"/>
          <w:szCs w:val="28"/>
        </w:rPr>
        <w:t xml:space="preserve"> lower </w:t>
      </w:r>
      <w:r w:rsidR="001137AA" w:rsidRPr="00CA4714">
        <w:rPr>
          <w:rFonts w:asciiTheme="majorHAnsi" w:hAnsiTheme="majorHAnsi" w:cstheme="majorHAnsi"/>
          <w:sz w:val="28"/>
          <w:szCs w:val="28"/>
        </w:rPr>
        <w:t>than is generally the case in Anglophone Africa.</w:t>
      </w:r>
      <w:r w:rsidR="001137AA" w:rsidRPr="00CA4714">
        <w:rPr>
          <w:rStyle w:val="FootnoteReference"/>
          <w:rFonts w:asciiTheme="majorHAnsi" w:hAnsiTheme="majorHAnsi" w:cstheme="majorHAnsi"/>
          <w:sz w:val="28"/>
          <w:szCs w:val="28"/>
        </w:rPr>
        <w:footnoteReference w:id="7"/>
      </w:r>
    </w:p>
    <w:p w14:paraId="7497A829" w14:textId="77777777" w:rsidR="006473F9" w:rsidRDefault="006473F9">
      <w:pPr>
        <w:rPr>
          <w:rFonts w:asciiTheme="majorHAnsi" w:hAnsiTheme="majorHAnsi" w:cstheme="majorHAnsi"/>
          <w:sz w:val="28"/>
          <w:szCs w:val="28"/>
        </w:rPr>
      </w:pPr>
      <w:r>
        <w:rPr>
          <w:rFonts w:asciiTheme="majorHAnsi" w:hAnsiTheme="majorHAnsi" w:cstheme="majorHAnsi"/>
          <w:sz w:val="28"/>
          <w:szCs w:val="28"/>
        </w:rPr>
        <w:br w:type="page"/>
      </w:r>
    </w:p>
    <w:p w14:paraId="4FBCB472" w14:textId="77777777" w:rsidR="00940D13" w:rsidRPr="00CA4714" w:rsidRDefault="00940D13" w:rsidP="00940D13">
      <w:pPr>
        <w:pStyle w:val="ListParagraph"/>
        <w:numPr>
          <w:ilvl w:val="0"/>
          <w:numId w:val="2"/>
        </w:numPr>
        <w:jc w:val="both"/>
        <w:rPr>
          <w:rFonts w:asciiTheme="majorHAnsi" w:hAnsiTheme="majorHAnsi" w:cstheme="majorHAnsi"/>
          <w:b/>
          <w:sz w:val="28"/>
          <w:szCs w:val="28"/>
        </w:rPr>
      </w:pPr>
      <w:r w:rsidRPr="00CA4714">
        <w:rPr>
          <w:rFonts w:asciiTheme="majorHAnsi" w:hAnsiTheme="majorHAnsi" w:cstheme="majorHAnsi"/>
          <w:b/>
          <w:sz w:val="28"/>
          <w:szCs w:val="28"/>
        </w:rPr>
        <w:lastRenderedPageBreak/>
        <w:t>Students</w:t>
      </w:r>
    </w:p>
    <w:p w14:paraId="1563658A" w14:textId="77777777" w:rsidR="00940D13" w:rsidRPr="00CA4714" w:rsidRDefault="00940D13" w:rsidP="00940D13">
      <w:pPr>
        <w:jc w:val="both"/>
        <w:rPr>
          <w:rFonts w:asciiTheme="majorHAnsi" w:hAnsiTheme="majorHAnsi" w:cstheme="majorHAnsi"/>
          <w:i/>
          <w:sz w:val="28"/>
          <w:szCs w:val="28"/>
        </w:rPr>
      </w:pPr>
      <w:r w:rsidRPr="00CA4714">
        <w:rPr>
          <w:rFonts w:asciiTheme="majorHAnsi" w:hAnsiTheme="majorHAnsi" w:cstheme="majorHAnsi"/>
          <w:i/>
          <w:sz w:val="28"/>
          <w:szCs w:val="28"/>
        </w:rPr>
        <w:t>3.1 Overall incidence</w:t>
      </w:r>
    </w:p>
    <w:p w14:paraId="213B16BB" w14:textId="62768706" w:rsidR="00940D13" w:rsidRPr="00CA4714"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Table 3 shows the national incidence of private tuition among Grade 6 students in the nine PASEC counties</w:t>
      </w:r>
      <w:r>
        <w:rPr>
          <w:rFonts w:asciiTheme="majorHAnsi" w:hAnsiTheme="majorHAnsi" w:cstheme="majorHAnsi"/>
          <w:sz w:val="28"/>
          <w:szCs w:val="28"/>
        </w:rPr>
        <w:t xml:space="preserve"> in 2014</w:t>
      </w:r>
      <w:r w:rsidRPr="00CA4714">
        <w:rPr>
          <w:rFonts w:asciiTheme="majorHAnsi" w:hAnsiTheme="majorHAnsi" w:cstheme="majorHAnsi"/>
          <w:sz w:val="28"/>
          <w:szCs w:val="28"/>
        </w:rPr>
        <w:t xml:space="preserve">. </w:t>
      </w:r>
      <w:r>
        <w:rPr>
          <w:rFonts w:asciiTheme="majorHAnsi" w:hAnsiTheme="majorHAnsi" w:cstheme="majorHAnsi"/>
          <w:sz w:val="28"/>
          <w:szCs w:val="28"/>
        </w:rPr>
        <w:t>T</w:t>
      </w:r>
      <w:r w:rsidRPr="00CA4714">
        <w:rPr>
          <w:rFonts w:asciiTheme="majorHAnsi" w:hAnsiTheme="majorHAnsi" w:cstheme="majorHAnsi"/>
          <w:sz w:val="28"/>
          <w:szCs w:val="28"/>
        </w:rPr>
        <w:t xml:space="preserve">he high level of incidence variability across these nine countries </w:t>
      </w:r>
      <w:r>
        <w:rPr>
          <w:rFonts w:asciiTheme="majorHAnsi" w:hAnsiTheme="majorHAnsi" w:cstheme="majorHAnsi"/>
          <w:sz w:val="28"/>
          <w:szCs w:val="28"/>
        </w:rPr>
        <w:t xml:space="preserve">is particularly noticeable </w:t>
      </w:r>
      <w:r w:rsidRPr="00CA4714">
        <w:rPr>
          <w:rFonts w:asciiTheme="majorHAnsi" w:hAnsiTheme="majorHAnsi" w:cstheme="majorHAnsi"/>
          <w:sz w:val="28"/>
          <w:szCs w:val="28"/>
        </w:rPr>
        <w:t xml:space="preserve">- ranging from 12% in Tchad to 42% in Senegal. </w:t>
      </w:r>
      <w:r>
        <w:rPr>
          <w:rFonts w:asciiTheme="majorHAnsi" w:hAnsiTheme="majorHAnsi" w:cstheme="majorHAnsi"/>
          <w:sz w:val="28"/>
          <w:szCs w:val="28"/>
        </w:rPr>
        <w:t>While a higher degree of variability prevails among the eight SACMEQ countries in Eastern and Southern Africa, the (unweighted) average incidence is virtually identical for both groups of countries (27.3% and 28.4% respectively).</w:t>
      </w:r>
      <w:r w:rsidRPr="00CA4714">
        <w:rPr>
          <w:rStyle w:val="FootnoteReference"/>
          <w:rFonts w:asciiTheme="majorHAnsi" w:hAnsiTheme="majorHAnsi" w:cstheme="majorHAnsi"/>
          <w:sz w:val="28"/>
          <w:szCs w:val="28"/>
        </w:rPr>
        <w:footnoteReference w:id="8"/>
      </w:r>
      <w:r>
        <w:rPr>
          <w:rFonts w:asciiTheme="majorHAnsi" w:hAnsiTheme="majorHAnsi" w:cstheme="majorHAnsi"/>
          <w:sz w:val="28"/>
          <w:szCs w:val="28"/>
        </w:rPr>
        <w:t xml:space="preserve"> </w:t>
      </w:r>
      <w:r w:rsidR="004F2178">
        <w:rPr>
          <w:rFonts w:asciiTheme="majorHAnsi" w:hAnsiTheme="majorHAnsi" w:cstheme="majorHAnsi"/>
          <w:sz w:val="28"/>
          <w:szCs w:val="28"/>
        </w:rPr>
        <w:t xml:space="preserve">Assuming that these 17 PASEC and SACMEQ survey countries are reasonably representative of all 46 countries in SSA, one can conclude that </w:t>
      </w:r>
      <w:r>
        <w:rPr>
          <w:rFonts w:asciiTheme="majorHAnsi" w:hAnsiTheme="majorHAnsi" w:cstheme="majorHAnsi"/>
          <w:sz w:val="28"/>
          <w:szCs w:val="28"/>
        </w:rPr>
        <w:t xml:space="preserve">private tuition is likely to be a mass phenomenon in </w:t>
      </w:r>
      <w:r w:rsidR="004F2178">
        <w:rPr>
          <w:rFonts w:asciiTheme="majorHAnsi" w:hAnsiTheme="majorHAnsi" w:cstheme="majorHAnsi"/>
          <w:sz w:val="28"/>
          <w:szCs w:val="28"/>
        </w:rPr>
        <w:t xml:space="preserve">the large majority of </w:t>
      </w:r>
      <w:r>
        <w:rPr>
          <w:rFonts w:asciiTheme="majorHAnsi" w:hAnsiTheme="majorHAnsi" w:cstheme="majorHAnsi"/>
          <w:sz w:val="28"/>
          <w:szCs w:val="28"/>
        </w:rPr>
        <w:t xml:space="preserve">countries </w:t>
      </w:r>
      <w:r w:rsidR="004F2178">
        <w:rPr>
          <w:rFonts w:asciiTheme="majorHAnsi" w:hAnsiTheme="majorHAnsi" w:cstheme="majorHAnsi"/>
          <w:sz w:val="28"/>
          <w:szCs w:val="28"/>
        </w:rPr>
        <w:t>across the continent</w:t>
      </w:r>
      <w:r>
        <w:rPr>
          <w:rFonts w:asciiTheme="majorHAnsi" w:hAnsiTheme="majorHAnsi" w:cstheme="majorHAnsi"/>
          <w:sz w:val="28"/>
          <w:szCs w:val="28"/>
        </w:rPr>
        <w:t>.</w:t>
      </w:r>
      <w:r w:rsidRPr="00CA4714">
        <w:rPr>
          <w:rFonts w:asciiTheme="majorHAnsi" w:hAnsiTheme="majorHAnsi" w:cstheme="majorHAnsi"/>
          <w:sz w:val="28"/>
          <w:szCs w:val="28"/>
        </w:rPr>
        <w:t xml:space="preserve"> </w:t>
      </w:r>
    </w:p>
    <w:p w14:paraId="72E3D53A" w14:textId="77777777" w:rsidR="00940D13"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Detailed research is needed in order to understand the main reasons for th</w:t>
      </w:r>
      <w:r>
        <w:rPr>
          <w:rFonts w:asciiTheme="majorHAnsi" w:hAnsiTheme="majorHAnsi" w:cstheme="majorHAnsi"/>
          <w:sz w:val="28"/>
          <w:szCs w:val="28"/>
        </w:rPr>
        <w:t>e</w:t>
      </w:r>
      <w:r w:rsidRPr="00CA4714">
        <w:rPr>
          <w:rFonts w:asciiTheme="majorHAnsi" w:hAnsiTheme="majorHAnsi" w:cstheme="majorHAnsi"/>
          <w:sz w:val="28"/>
          <w:szCs w:val="28"/>
        </w:rPr>
        <w:t xml:space="preserve"> high degree of variability in the incidence of private tuition among these and other countries in SSA. A preliminary analysis suggests</w:t>
      </w:r>
      <w:r>
        <w:rPr>
          <w:rFonts w:asciiTheme="majorHAnsi" w:hAnsiTheme="majorHAnsi" w:cstheme="majorHAnsi"/>
          <w:sz w:val="28"/>
          <w:szCs w:val="28"/>
        </w:rPr>
        <w:t>, however,</w:t>
      </w:r>
      <w:r w:rsidRPr="00CA4714">
        <w:rPr>
          <w:rFonts w:asciiTheme="majorHAnsi" w:hAnsiTheme="majorHAnsi" w:cstheme="majorHAnsi"/>
          <w:sz w:val="28"/>
          <w:szCs w:val="28"/>
        </w:rPr>
        <w:t xml:space="preserve"> that four factors may be particularly salient, namely GDP per capita, the level of urbanisation, the relative size of the private school sector and grade repetition rates. </w:t>
      </w:r>
    </w:p>
    <w:p w14:paraId="29781559" w14:textId="77777777" w:rsidR="00940D13" w:rsidRDefault="00940D13" w:rsidP="00940D13">
      <w:pPr>
        <w:jc w:val="both"/>
        <w:rPr>
          <w:rFonts w:asciiTheme="majorHAnsi" w:hAnsiTheme="majorHAnsi" w:cstheme="majorHAnsi"/>
          <w:sz w:val="28"/>
          <w:szCs w:val="28"/>
        </w:rPr>
      </w:pPr>
      <w:r>
        <w:rPr>
          <w:rFonts w:asciiTheme="majorHAnsi" w:hAnsiTheme="majorHAnsi" w:cstheme="majorHAnsi"/>
          <w:sz w:val="28"/>
          <w:szCs w:val="28"/>
        </w:rPr>
        <w:t>As expected</w:t>
      </w:r>
      <w:r w:rsidRPr="00CA4714">
        <w:rPr>
          <w:rFonts w:asciiTheme="majorHAnsi" w:hAnsiTheme="majorHAnsi" w:cstheme="majorHAnsi"/>
          <w:sz w:val="28"/>
          <w:szCs w:val="28"/>
        </w:rPr>
        <w:t>, GDP per capita and the degree of urbanisation are positively correlated with the incidence of private tuition</w:t>
      </w:r>
      <w:r>
        <w:rPr>
          <w:rStyle w:val="FootnoteReference"/>
          <w:rFonts w:asciiTheme="majorHAnsi" w:hAnsiTheme="majorHAnsi" w:cstheme="majorHAnsi"/>
          <w:sz w:val="28"/>
          <w:szCs w:val="28"/>
        </w:rPr>
        <w:footnoteReference w:id="9"/>
      </w:r>
      <w:r w:rsidRPr="00CA4714">
        <w:rPr>
          <w:rFonts w:asciiTheme="majorHAnsi" w:hAnsiTheme="majorHAnsi" w:cstheme="majorHAnsi"/>
          <w:sz w:val="28"/>
          <w:szCs w:val="28"/>
        </w:rPr>
        <w:t xml:space="preserve">. </w:t>
      </w:r>
      <w:r>
        <w:rPr>
          <w:rFonts w:asciiTheme="majorHAnsi" w:hAnsiTheme="majorHAnsi" w:cstheme="majorHAnsi"/>
          <w:sz w:val="28"/>
          <w:szCs w:val="28"/>
        </w:rPr>
        <w:t xml:space="preserve">With regard to grade repetition, it might also be expected that </w:t>
      </w:r>
      <w:r w:rsidRPr="00CA4714">
        <w:rPr>
          <w:rFonts w:asciiTheme="majorHAnsi" w:hAnsiTheme="majorHAnsi" w:cstheme="majorHAnsi"/>
          <w:sz w:val="28"/>
          <w:szCs w:val="28"/>
        </w:rPr>
        <w:t xml:space="preserve">the level of private tuition is quite strongly, positively correlated with grade repetition rates as students and parents seek additional help in passing end-of-year examinations. However, Figure 1 shows that private tuition incidence and repetition rates </w:t>
      </w:r>
      <w:r>
        <w:rPr>
          <w:rFonts w:asciiTheme="majorHAnsi" w:hAnsiTheme="majorHAnsi" w:cstheme="majorHAnsi"/>
          <w:sz w:val="28"/>
          <w:szCs w:val="28"/>
        </w:rPr>
        <w:t xml:space="preserve">are </w:t>
      </w:r>
      <w:r w:rsidRPr="00CA4714">
        <w:rPr>
          <w:rFonts w:asciiTheme="majorHAnsi" w:hAnsiTheme="majorHAnsi" w:cstheme="majorHAnsi"/>
          <w:sz w:val="28"/>
          <w:szCs w:val="28"/>
        </w:rPr>
        <w:t xml:space="preserve">negatively correlated among the nine PASEC countries. One possible explanation is that private tuition leads to appreciable improvements in academic outcomes and thus lower repetition rates. </w:t>
      </w:r>
    </w:p>
    <w:p w14:paraId="7ED7B3CC" w14:textId="78D4EE3F" w:rsidR="00940D13" w:rsidRPr="00CA4714"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The positive </w:t>
      </w:r>
      <w:r w:rsidRPr="00CA4714">
        <w:rPr>
          <w:rFonts w:asciiTheme="majorHAnsi" w:hAnsiTheme="majorHAnsi" w:cstheme="majorHAnsi"/>
          <w:sz w:val="28"/>
          <w:szCs w:val="28"/>
        </w:rPr>
        <w:t xml:space="preserve">correlation between </w:t>
      </w:r>
      <w:r>
        <w:rPr>
          <w:rFonts w:asciiTheme="majorHAnsi" w:hAnsiTheme="majorHAnsi" w:cstheme="majorHAnsi"/>
          <w:sz w:val="28"/>
          <w:szCs w:val="28"/>
        </w:rPr>
        <w:t xml:space="preserve">incidence </w:t>
      </w:r>
      <w:r w:rsidRPr="00CA4714">
        <w:rPr>
          <w:rFonts w:asciiTheme="majorHAnsi" w:hAnsiTheme="majorHAnsi" w:cstheme="majorHAnsi"/>
          <w:sz w:val="28"/>
          <w:szCs w:val="28"/>
        </w:rPr>
        <w:t xml:space="preserve">tuition rates and the share of private secular enrolments </w:t>
      </w:r>
      <w:r>
        <w:rPr>
          <w:rFonts w:asciiTheme="majorHAnsi" w:hAnsiTheme="majorHAnsi" w:cstheme="majorHAnsi"/>
          <w:sz w:val="28"/>
          <w:szCs w:val="28"/>
        </w:rPr>
        <w:t xml:space="preserve">which has been observed in other developed and developing countries is largely due to better off parents being prepared to incur additional </w:t>
      </w:r>
      <w:r>
        <w:rPr>
          <w:rFonts w:asciiTheme="majorHAnsi" w:hAnsiTheme="majorHAnsi" w:cstheme="majorHAnsi"/>
          <w:sz w:val="28"/>
          <w:szCs w:val="28"/>
        </w:rPr>
        <w:lastRenderedPageBreak/>
        <w:t xml:space="preserve">expenditure on both private schooling and private tuition in </w:t>
      </w:r>
      <w:r w:rsidR="006473F9">
        <w:rPr>
          <w:rFonts w:asciiTheme="majorHAnsi" w:hAnsiTheme="majorHAnsi" w:cstheme="majorHAnsi"/>
          <w:sz w:val="28"/>
          <w:szCs w:val="28"/>
        </w:rPr>
        <w:t xml:space="preserve">the expectation that this will improve the performance of </w:t>
      </w:r>
      <w:r>
        <w:rPr>
          <w:rFonts w:asciiTheme="majorHAnsi" w:hAnsiTheme="majorHAnsi" w:cstheme="majorHAnsi"/>
          <w:sz w:val="28"/>
          <w:szCs w:val="28"/>
        </w:rPr>
        <w:t xml:space="preserve">their children in </w:t>
      </w:r>
      <w:r w:rsidR="006473F9">
        <w:rPr>
          <w:rFonts w:asciiTheme="majorHAnsi" w:hAnsiTheme="majorHAnsi" w:cstheme="majorHAnsi"/>
          <w:sz w:val="28"/>
          <w:szCs w:val="28"/>
        </w:rPr>
        <w:t>‘</w:t>
      </w:r>
      <w:r>
        <w:rPr>
          <w:rFonts w:asciiTheme="majorHAnsi" w:hAnsiTheme="majorHAnsi" w:cstheme="majorHAnsi"/>
          <w:sz w:val="28"/>
          <w:szCs w:val="28"/>
        </w:rPr>
        <w:t>hig</w:t>
      </w:r>
      <w:r w:rsidR="006473F9">
        <w:rPr>
          <w:rFonts w:asciiTheme="majorHAnsi" w:hAnsiTheme="majorHAnsi" w:cstheme="majorHAnsi"/>
          <w:sz w:val="28"/>
          <w:szCs w:val="28"/>
        </w:rPr>
        <w:t xml:space="preserve">h stakes’ </w:t>
      </w:r>
      <w:r>
        <w:rPr>
          <w:rFonts w:asciiTheme="majorHAnsi" w:hAnsiTheme="majorHAnsi" w:cstheme="majorHAnsi"/>
          <w:sz w:val="28"/>
          <w:szCs w:val="28"/>
        </w:rPr>
        <w:t xml:space="preserve">national examinations. Private schooling and private tuition should be regarded, therefore, as </w:t>
      </w:r>
      <w:r w:rsidRPr="00CA4714">
        <w:rPr>
          <w:rFonts w:asciiTheme="majorHAnsi" w:hAnsiTheme="majorHAnsi" w:cstheme="majorHAnsi"/>
          <w:sz w:val="28"/>
          <w:szCs w:val="28"/>
        </w:rPr>
        <w:t xml:space="preserve">complementary </w:t>
      </w:r>
      <w:r>
        <w:rPr>
          <w:rFonts w:asciiTheme="majorHAnsi" w:hAnsiTheme="majorHAnsi" w:cstheme="majorHAnsi"/>
          <w:sz w:val="28"/>
          <w:szCs w:val="28"/>
        </w:rPr>
        <w:t xml:space="preserve">goods </w:t>
      </w:r>
      <w:r w:rsidRPr="00CA4714">
        <w:rPr>
          <w:rFonts w:asciiTheme="majorHAnsi" w:hAnsiTheme="majorHAnsi" w:cstheme="majorHAnsi"/>
          <w:sz w:val="28"/>
          <w:szCs w:val="28"/>
        </w:rPr>
        <w:t>rather than substitut</w:t>
      </w:r>
      <w:r>
        <w:rPr>
          <w:rFonts w:asciiTheme="majorHAnsi" w:hAnsiTheme="majorHAnsi" w:cstheme="majorHAnsi"/>
          <w:sz w:val="28"/>
          <w:szCs w:val="28"/>
        </w:rPr>
        <w:t>es</w:t>
      </w:r>
      <w:r w:rsidRPr="00CA4714">
        <w:rPr>
          <w:rFonts w:asciiTheme="majorHAnsi" w:hAnsiTheme="majorHAnsi" w:cstheme="majorHAnsi"/>
          <w:sz w:val="28"/>
          <w:szCs w:val="28"/>
        </w:rPr>
        <w:t xml:space="preserve"> (see </w:t>
      </w:r>
      <w:r>
        <w:rPr>
          <w:rFonts w:asciiTheme="majorHAnsi" w:hAnsiTheme="majorHAnsi" w:cstheme="majorHAnsi"/>
          <w:sz w:val="28"/>
          <w:szCs w:val="28"/>
        </w:rPr>
        <w:t>Figure 2</w:t>
      </w:r>
      <w:r w:rsidRPr="00CA4714">
        <w:rPr>
          <w:rFonts w:asciiTheme="majorHAnsi" w:hAnsiTheme="majorHAnsi" w:cstheme="majorHAnsi"/>
          <w:sz w:val="28"/>
          <w:szCs w:val="28"/>
        </w:rPr>
        <w:t>)</w:t>
      </w:r>
      <w:r>
        <w:rPr>
          <w:rStyle w:val="FootnoteReference"/>
          <w:rFonts w:asciiTheme="majorHAnsi" w:hAnsiTheme="majorHAnsi" w:cstheme="majorHAnsi"/>
          <w:sz w:val="28"/>
          <w:szCs w:val="28"/>
        </w:rPr>
        <w:footnoteReference w:id="10"/>
      </w:r>
      <w:r w:rsidRPr="00CA4714">
        <w:rPr>
          <w:rFonts w:asciiTheme="majorHAnsi" w:hAnsiTheme="majorHAnsi" w:cstheme="majorHAnsi"/>
          <w:sz w:val="28"/>
          <w:szCs w:val="28"/>
        </w:rPr>
        <w:t>.</w:t>
      </w:r>
    </w:p>
    <w:p w14:paraId="3419895A" w14:textId="6BEDAE95" w:rsidR="00940D13" w:rsidRPr="00925277" w:rsidRDefault="00940D13" w:rsidP="006473F9">
      <w:pPr>
        <w:rPr>
          <w:rFonts w:asciiTheme="majorHAnsi" w:hAnsiTheme="majorHAnsi" w:cstheme="majorHAnsi"/>
          <w:i/>
          <w:sz w:val="28"/>
          <w:szCs w:val="28"/>
        </w:rPr>
      </w:pPr>
      <w:r w:rsidRPr="00925277">
        <w:rPr>
          <w:rFonts w:asciiTheme="majorHAnsi" w:hAnsiTheme="majorHAnsi" w:cstheme="majorHAnsi"/>
          <w:i/>
          <w:sz w:val="28"/>
          <w:szCs w:val="28"/>
        </w:rPr>
        <w:t>3.2 Provision patterns</w:t>
      </w:r>
    </w:p>
    <w:p w14:paraId="52B71F6E" w14:textId="77777777" w:rsidR="00940D13" w:rsidRPr="00CA4714" w:rsidRDefault="00940D13" w:rsidP="00940D13">
      <w:pPr>
        <w:jc w:val="both"/>
        <w:rPr>
          <w:rFonts w:asciiTheme="majorHAnsi" w:hAnsiTheme="majorHAnsi" w:cstheme="majorHAnsi"/>
          <w:i/>
          <w:sz w:val="28"/>
          <w:szCs w:val="28"/>
        </w:rPr>
      </w:pPr>
      <w:r w:rsidRPr="00CA4714">
        <w:rPr>
          <w:rFonts w:asciiTheme="majorHAnsi" w:hAnsiTheme="majorHAnsi" w:cstheme="majorHAnsi"/>
          <w:sz w:val="28"/>
          <w:szCs w:val="28"/>
        </w:rPr>
        <w:t>G</w:t>
      </w:r>
      <w:r w:rsidRPr="00CA4714">
        <w:rPr>
          <w:rFonts w:asciiTheme="majorHAnsi" w:hAnsiTheme="majorHAnsi" w:cstheme="majorHAnsi"/>
          <w:i/>
          <w:sz w:val="28"/>
          <w:szCs w:val="28"/>
        </w:rPr>
        <w:t xml:space="preserve">ender </w:t>
      </w:r>
    </w:p>
    <w:p w14:paraId="563DA1B7" w14:textId="4CD14996" w:rsidR="00940D13" w:rsidRPr="00CA4714"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For all but one of the nine PASEC survey countries, gender differences in the incidence of private tuition are either minimal (less than percentage point) or are in favour of female students (see table 3)</w:t>
      </w:r>
      <w:r w:rsidRPr="00CA4714">
        <w:rPr>
          <w:rStyle w:val="FootnoteReference"/>
          <w:rFonts w:asciiTheme="majorHAnsi" w:hAnsiTheme="majorHAnsi" w:cstheme="majorHAnsi"/>
          <w:sz w:val="28"/>
          <w:szCs w:val="28"/>
        </w:rPr>
        <w:footnoteReference w:id="11"/>
      </w:r>
      <w:r w:rsidRPr="00CA4714">
        <w:rPr>
          <w:rFonts w:asciiTheme="majorHAnsi" w:hAnsiTheme="majorHAnsi" w:cstheme="majorHAnsi"/>
          <w:sz w:val="28"/>
          <w:szCs w:val="28"/>
        </w:rPr>
        <w:t xml:space="preserve">. </w:t>
      </w:r>
      <w:r>
        <w:rPr>
          <w:rFonts w:asciiTheme="majorHAnsi" w:hAnsiTheme="majorHAnsi" w:cstheme="majorHAnsi"/>
          <w:sz w:val="28"/>
          <w:szCs w:val="28"/>
        </w:rPr>
        <w:t>For primary schooling as a whole, r</w:t>
      </w:r>
      <w:r w:rsidRPr="00CA4714">
        <w:rPr>
          <w:rFonts w:asciiTheme="majorHAnsi" w:hAnsiTheme="majorHAnsi" w:cstheme="majorHAnsi"/>
          <w:sz w:val="28"/>
          <w:szCs w:val="28"/>
        </w:rPr>
        <w:t>elatively large gender disparities persist with respect to both enrolment and completion rates</w:t>
      </w:r>
      <w:r w:rsidR="006473F9">
        <w:rPr>
          <w:rFonts w:asciiTheme="majorHAnsi" w:hAnsiTheme="majorHAnsi" w:cstheme="majorHAnsi"/>
          <w:sz w:val="28"/>
          <w:szCs w:val="28"/>
        </w:rPr>
        <w:t xml:space="preserve"> across F</w:t>
      </w:r>
      <w:r w:rsidR="000C1911">
        <w:rPr>
          <w:rFonts w:asciiTheme="majorHAnsi" w:hAnsiTheme="majorHAnsi" w:cstheme="majorHAnsi"/>
          <w:sz w:val="28"/>
          <w:szCs w:val="28"/>
        </w:rPr>
        <w:t>WA</w:t>
      </w:r>
      <w:r w:rsidR="006473F9">
        <w:rPr>
          <w:rFonts w:asciiTheme="majorHAnsi" w:hAnsiTheme="majorHAnsi" w:cstheme="majorHAnsi"/>
          <w:sz w:val="28"/>
          <w:szCs w:val="28"/>
        </w:rPr>
        <w:t>.</w:t>
      </w:r>
      <w:r w:rsidRPr="00CA4714">
        <w:rPr>
          <w:rFonts w:asciiTheme="majorHAnsi" w:hAnsiTheme="majorHAnsi" w:cstheme="majorHAnsi"/>
          <w:sz w:val="28"/>
          <w:szCs w:val="28"/>
        </w:rPr>
        <w:t xml:space="preserve"> </w:t>
      </w:r>
      <w:r w:rsidR="006473F9">
        <w:rPr>
          <w:rFonts w:asciiTheme="majorHAnsi" w:hAnsiTheme="majorHAnsi" w:cstheme="majorHAnsi"/>
          <w:sz w:val="28"/>
          <w:szCs w:val="28"/>
        </w:rPr>
        <w:t xml:space="preserve"> However, among girls who complete </w:t>
      </w:r>
      <w:r w:rsidRPr="00CA4714">
        <w:rPr>
          <w:rFonts w:asciiTheme="majorHAnsi" w:hAnsiTheme="majorHAnsi" w:cstheme="majorHAnsi"/>
          <w:sz w:val="28"/>
          <w:szCs w:val="28"/>
        </w:rPr>
        <w:t xml:space="preserve">primary schooling, there does not appear to be any widespread and systematic male preference with respect to private tutoring. </w:t>
      </w:r>
      <w:r>
        <w:rPr>
          <w:rFonts w:asciiTheme="majorHAnsi" w:hAnsiTheme="majorHAnsi" w:cstheme="majorHAnsi"/>
          <w:sz w:val="28"/>
          <w:szCs w:val="28"/>
        </w:rPr>
        <w:t xml:space="preserve">One possible </w:t>
      </w:r>
      <w:r w:rsidRPr="00CA4714">
        <w:rPr>
          <w:rFonts w:asciiTheme="majorHAnsi" w:hAnsiTheme="majorHAnsi" w:cstheme="majorHAnsi"/>
          <w:sz w:val="28"/>
          <w:szCs w:val="28"/>
        </w:rPr>
        <w:t xml:space="preserve">reason for this is that girls from richer households account for a relatively large share of grade 6 enrolments </w:t>
      </w:r>
      <w:r w:rsidR="00014988">
        <w:rPr>
          <w:rFonts w:asciiTheme="majorHAnsi" w:hAnsiTheme="majorHAnsi" w:cstheme="majorHAnsi"/>
          <w:sz w:val="28"/>
          <w:szCs w:val="28"/>
        </w:rPr>
        <w:t xml:space="preserve">(compared to boys) </w:t>
      </w:r>
      <w:r w:rsidRPr="00CA4714">
        <w:rPr>
          <w:rFonts w:asciiTheme="majorHAnsi" w:hAnsiTheme="majorHAnsi" w:cstheme="majorHAnsi"/>
          <w:sz w:val="28"/>
          <w:szCs w:val="28"/>
        </w:rPr>
        <w:t xml:space="preserve">and thus </w:t>
      </w:r>
      <w:r w:rsidR="00014988">
        <w:rPr>
          <w:rFonts w:asciiTheme="majorHAnsi" w:hAnsiTheme="majorHAnsi" w:cstheme="majorHAnsi"/>
          <w:sz w:val="28"/>
          <w:szCs w:val="28"/>
        </w:rPr>
        <w:t xml:space="preserve">a higher proportion of </w:t>
      </w:r>
      <w:r w:rsidRPr="00CA4714">
        <w:rPr>
          <w:rFonts w:asciiTheme="majorHAnsi" w:hAnsiTheme="majorHAnsi" w:cstheme="majorHAnsi"/>
          <w:sz w:val="28"/>
          <w:szCs w:val="28"/>
        </w:rPr>
        <w:t xml:space="preserve">their parents </w:t>
      </w:r>
      <w:r w:rsidR="00014988">
        <w:rPr>
          <w:rFonts w:asciiTheme="majorHAnsi" w:hAnsiTheme="majorHAnsi" w:cstheme="majorHAnsi"/>
          <w:sz w:val="28"/>
          <w:szCs w:val="28"/>
        </w:rPr>
        <w:t xml:space="preserve">are </w:t>
      </w:r>
      <w:r w:rsidRPr="00CA4714">
        <w:rPr>
          <w:rFonts w:asciiTheme="majorHAnsi" w:hAnsiTheme="majorHAnsi" w:cstheme="majorHAnsi"/>
          <w:sz w:val="28"/>
          <w:szCs w:val="28"/>
        </w:rPr>
        <w:t xml:space="preserve">able to afford private tutoring. </w:t>
      </w:r>
      <w:r>
        <w:rPr>
          <w:rFonts w:asciiTheme="majorHAnsi" w:hAnsiTheme="majorHAnsi" w:cstheme="majorHAnsi"/>
          <w:sz w:val="28"/>
          <w:szCs w:val="28"/>
        </w:rPr>
        <w:t>Female school enrolment rates are generally lower in predominantly Muslim countries</w:t>
      </w:r>
      <w:r w:rsidR="00014988">
        <w:rPr>
          <w:rFonts w:asciiTheme="majorHAnsi" w:hAnsiTheme="majorHAnsi" w:cstheme="majorHAnsi"/>
          <w:sz w:val="28"/>
          <w:szCs w:val="28"/>
        </w:rPr>
        <w:t xml:space="preserve"> in West Africa</w:t>
      </w:r>
      <w:r>
        <w:rPr>
          <w:rFonts w:asciiTheme="majorHAnsi" w:hAnsiTheme="majorHAnsi" w:cstheme="majorHAnsi"/>
          <w:sz w:val="28"/>
          <w:szCs w:val="28"/>
        </w:rPr>
        <w:t xml:space="preserve">. However, </w:t>
      </w:r>
      <w:r w:rsidRPr="00CA4714">
        <w:rPr>
          <w:rFonts w:asciiTheme="majorHAnsi" w:hAnsiTheme="majorHAnsi" w:cstheme="majorHAnsi"/>
          <w:sz w:val="28"/>
          <w:szCs w:val="28"/>
        </w:rPr>
        <w:t xml:space="preserve">there is no </w:t>
      </w:r>
      <w:r>
        <w:rPr>
          <w:rFonts w:asciiTheme="majorHAnsi" w:hAnsiTheme="majorHAnsi" w:cstheme="majorHAnsi"/>
          <w:sz w:val="28"/>
          <w:szCs w:val="28"/>
        </w:rPr>
        <w:t xml:space="preserve">(statistically significant) </w:t>
      </w:r>
      <w:r w:rsidRPr="00CA4714">
        <w:rPr>
          <w:rFonts w:asciiTheme="majorHAnsi" w:hAnsiTheme="majorHAnsi" w:cstheme="majorHAnsi"/>
          <w:sz w:val="28"/>
          <w:szCs w:val="28"/>
        </w:rPr>
        <w:t>correlation between the size of gender tutorial incidence differences and the share of the population which is Muslim</w:t>
      </w:r>
      <w:r>
        <w:rPr>
          <w:rFonts w:asciiTheme="majorHAnsi" w:hAnsiTheme="majorHAnsi" w:cstheme="majorHAnsi"/>
          <w:sz w:val="28"/>
          <w:szCs w:val="28"/>
        </w:rPr>
        <w:t xml:space="preserve"> among the nine </w:t>
      </w:r>
      <w:r w:rsidR="00014988">
        <w:rPr>
          <w:rFonts w:asciiTheme="majorHAnsi" w:hAnsiTheme="majorHAnsi" w:cstheme="majorHAnsi"/>
          <w:sz w:val="28"/>
          <w:szCs w:val="28"/>
        </w:rPr>
        <w:t xml:space="preserve">PASEC survey </w:t>
      </w:r>
      <w:r>
        <w:rPr>
          <w:rFonts w:asciiTheme="majorHAnsi" w:hAnsiTheme="majorHAnsi" w:cstheme="majorHAnsi"/>
          <w:sz w:val="28"/>
          <w:szCs w:val="28"/>
        </w:rPr>
        <w:t>countries in FWA</w:t>
      </w:r>
      <w:r w:rsidRPr="00CA4714">
        <w:rPr>
          <w:rFonts w:asciiTheme="majorHAnsi" w:hAnsiTheme="majorHAnsi" w:cstheme="majorHAnsi"/>
          <w:sz w:val="28"/>
          <w:szCs w:val="28"/>
        </w:rPr>
        <w:t>.</w:t>
      </w:r>
    </w:p>
    <w:p w14:paraId="1571D2C2" w14:textId="77777777" w:rsidR="00940D13" w:rsidRPr="00CA4714" w:rsidRDefault="00940D13" w:rsidP="00940D13">
      <w:pPr>
        <w:jc w:val="both"/>
        <w:rPr>
          <w:rFonts w:asciiTheme="majorHAnsi" w:hAnsiTheme="majorHAnsi" w:cstheme="majorHAnsi"/>
          <w:i/>
          <w:sz w:val="28"/>
          <w:szCs w:val="28"/>
        </w:rPr>
      </w:pPr>
      <w:r w:rsidRPr="00CA4714">
        <w:rPr>
          <w:rFonts w:asciiTheme="majorHAnsi" w:hAnsiTheme="majorHAnsi" w:cstheme="majorHAnsi"/>
          <w:i/>
          <w:sz w:val="28"/>
          <w:szCs w:val="28"/>
        </w:rPr>
        <w:t>Location</w:t>
      </w:r>
    </w:p>
    <w:p w14:paraId="4AAF17D2" w14:textId="4793CC63" w:rsidR="00940D13" w:rsidRPr="00CA4714"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The differences in private tuition enrolment rates between rural and urban locations in F</w:t>
      </w:r>
      <w:r w:rsidR="000C1911">
        <w:rPr>
          <w:rFonts w:asciiTheme="majorHAnsi" w:hAnsiTheme="majorHAnsi" w:cstheme="majorHAnsi"/>
          <w:sz w:val="28"/>
          <w:szCs w:val="28"/>
        </w:rPr>
        <w:t>WA</w:t>
      </w:r>
      <w:r w:rsidRPr="00CA4714">
        <w:rPr>
          <w:rFonts w:asciiTheme="majorHAnsi" w:hAnsiTheme="majorHAnsi" w:cstheme="majorHAnsi"/>
          <w:sz w:val="28"/>
          <w:szCs w:val="28"/>
        </w:rPr>
        <w:t xml:space="preserve"> are </w:t>
      </w:r>
      <w:r>
        <w:rPr>
          <w:rFonts w:asciiTheme="majorHAnsi" w:hAnsiTheme="majorHAnsi" w:cstheme="majorHAnsi"/>
          <w:sz w:val="28"/>
          <w:szCs w:val="28"/>
        </w:rPr>
        <w:t xml:space="preserve">relatively small. </w:t>
      </w:r>
      <w:r w:rsidRPr="00CA4714">
        <w:rPr>
          <w:rFonts w:asciiTheme="majorHAnsi" w:hAnsiTheme="majorHAnsi" w:cstheme="majorHAnsi"/>
          <w:sz w:val="28"/>
          <w:szCs w:val="28"/>
        </w:rPr>
        <w:t xml:space="preserve">Among public schools, the percentage point difference is 10 percentage points or less in all but two of the </w:t>
      </w:r>
      <w:r>
        <w:rPr>
          <w:rFonts w:asciiTheme="majorHAnsi" w:hAnsiTheme="majorHAnsi" w:cstheme="majorHAnsi"/>
          <w:sz w:val="28"/>
          <w:szCs w:val="28"/>
        </w:rPr>
        <w:t xml:space="preserve">nine </w:t>
      </w:r>
      <w:r w:rsidRPr="00CA4714">
        <w:rPr>
          <w:rFonts w:asciiTheme="majorHAnsi" w:hAnsiTheme="majorHAnsi" w:cstheme="majorHAnsi"/>
          <w:sz w:val="28"/>
          <w:szCs w:val="28"/>
        </w:rPr>
        <w:t xml:space="preserve">PASEC survey countries (see Table 4). </w:t>
      </w:r>
      <w:r>
        <w:rPr>
          <w:rFonts w:asciiTheme="majorHAnsi" w:hAnsiTheme="majorHAnsi" w:cstheme="majorHAnsi"/>
          <w:sz w:val="28"/>
          <w:szCs w:val="28"/>
        </w:rPr>
        <w:t xml:space="preserve">A possible </w:t>
      </w:r>
      <w:r w:rsidRPr="00CA4714">
        <w:rPr>
          <w:rFonts w:asciiTheme="majorHAnsi" w:hAnsiTheme="majorHAnsi" w:cstheme="majorHAnsi"/>
          <w:sz w:val="28"/>
          <w:szCs w:val="28"/>
        </w:rPr>
        <w:t xml:space="preserve">reason for this is that private schooling in rural areas is </w:t>
      </w:r>
      <w:r>
        <w:rPr>
          <w:rFonts w:asciiTheme="majorHAnsi" w:hAnsiTheme="majorHAnsi" w:cstheme="majorHAnsi"/>
          <w:sz w:val="28"/>
          <w:szCs w:val="28"/>
        </w:rPr>
        <w:t xml:space="preserve">generally </w:t>
      </w:r>
      <w:r w:rsidRPr="00CA4714">
        <w:rPr>
          <w:rFonts w:asciiTheme="majorHAnsi" w:hAnsiTheme="majorHAnsi" w:cstheme="majorHAnsi"/>
          <w:sz w:val="28"/>
          <w:szCs w:val="28"/>
        </w:rPr>
        <w:t xml:space="preserve">less accessible than </w:t>
      </w:r>
      <w:r>
        <w:rPr>
          <w:rFonts w:asciiTheme="majorHAnsi" w:hAnsiTheme="majorHAnsi" w:cstheme="majorHAnsi"/>
          <w:sz w:val="28"/>
          <w:szCs w:val="28"/>
        </w:rPr>
        <w:t xml:space="preserve">in </w:t>
      </w:r>
      <w:r w:rsidRPr="00CA4714">
        <w:rPr>
          <w:rFonts w:asciiTheme="majorHAnsi" w:hAnsiTheme="majorHAnsi" w:cstheme="majorHAnsi"/>
          <w:sz w:val="28"/>
          <w:szCs w:val="28"/>
        </w:rPr>
        <w:t>urban areas which means, therefore, that private tuition is usually the only feasible private provision option. However, it is also the case that generally much higher poverty rates in rural areas are likely to depress the demand for private tuition among rural households.</w:t>
      </w:r>
    </w:p>
    <w:p w14:paraId="79AAA772" w14:textId="0107AAF0" w:rsidR="00FC2A03" w:rsidRDefault="00940D13" w:rsidP="00014988">
      <w:pPr>
        <w:jc w:val="both"/>
        <w:rPr>
          <w:rFonts w:asciiTheme="majorHAnsi" w:hAnsiTheme="majorHAnsi" w:cstheme="majorHAnsi"/>
          <w:i/>
          <w:sz w:val="28"/>
          <w:szCs w:val="28"/>
        </w:rPr>
      </w:pPr>
      <w:r w:rsidRPr="00CA4714">
        <w:rPr>
          <w:rFonts w:asciiTheme="majorHAnsi" w:hAnsiTheme="majorHAnsi" w:cstheme="majorHAnsi"/>
          <w:sz w:val="28"/>
          <w:szCs w:val="28"/>
        </w:rPr>
        <w:lastRenderedPageBreak/>
        <w:t>The picture is more mixed with regard to private schools, but in half of the PASEC survey countries, relatively more students at rural private schools receive private tuition than in urban private schools. Unlike children attending public schools, the affordability of private tuition is likely to be less of a demand constraint</w:t>
      </w:r>
      <w:r>
        <w:rPr>
          <w:rFonts w:asciiTheme="majorHAnsi" w:hAnsiTheme="majorHAnsi" w:cstheme="majorHAnsi"/>
          <w:sz w:val="28"/>
          <w:szCs w:val="28"/>
        </w:rPr>
        <w:t xml:space="preserve"> among households who can afford to send their children to private schools</w:t>
      </w:r>
      <w:r w:rsidRPr="00CA4714">
        <w:rPr>
          <w:rFonts w:asciiTheme="majorHAnsi" w:hAnsiTheme="majorHAnsi" w:cstheme="majorHAnsi"/>
          <w:sz w:val="28"/>
          <w:szCs w:val="28"/>
        </w:rPr>
        <w:t>.</w:t>
      </w:r>
    </w:p>
    <w:p w14:paraId="1DFCA5F9" w14:textId="6A4F277C" w:rsidR="00940D13" w:rsidRPr="00CA4714" w:rsidRDefault="00940D13" w:rsidP="00940D13">
      <w:pPr>
        <w:rPr>
          <w:rFonts w:asciiTheme="majorHAnsi" w:hAnsiTheme="majorHAnsi" w:cstheme="majorHAnsi"/>
          <w:i/>
          <w:sz w:val="28"/>
          <w:szCs w:val="28"/>
        </w:rPr>
      </w:pPr>
      <w:r w:rsidRPr="00CA4714">
        <w:rPr>
          <w:rFonts w:asciiTheme="majorHAnsi" w:hAnsiTheme="majorHAnsi" w:cstheme="majorHAnsi"/>
          <w:i/>
          <w:sz w:val="28"/>
          <w:szCs w:val="28"/>
        </w:rPr>
        <w:t>School type</w:t>
      </w:r>
    </w:p>
    <w:p w14:paraId="007810A9" w14:textId="77777777" w:rsidR="00940D13" w:rsidRPr="00CA4714"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The PASEC surveys indicate that the incidence of private tuition is generally much higher among private than public primary school students</w:t>
      </w:r>
      <w:r>
        <w:rPr>
          <w:rFonts w:asciiTheme="majorHAnsi" w:hAnsiTheme="majorHAnsi" w:cstheme="majorHAnsi"/>
          <w:sz w:val="28"/>
          <w:szCs w:val="28"/>
        </w:rPr>
        <w:t xml:space="preserve"> (see table 4</w:t>
      </w:r>
      <w:r w:rsidRPr="00CA4714">
        <w:rPr>
          <w:rFonts w:asciiTheme="majorHAnsi" w:hAnsiTheme="majorHAnsi" w:cstheme="majorHAnsi"/>
          <w:sz w:val="28"/>
          <w:szCs w:val="28"/>
        </w:rPr>
        <w:t xml:space="preserve">). </w:t>
      </w:r>
      <w:r>
        <w:rPr>
          <w:rFonts w:asciiTheme="majorHAnsi" w:hAnsiTheme="majorHAnsi" w:cstheme="majorHAnsi"/>
          <w:sz w:val="28"/>
          <w:szCs w:val="28"/>
        </w:rPr>
        <w:t xml:space="preserve">As noted earlier, this is likely to be because better-off households send their children to private schools and they are more able to pay for private tuition because they believe that it significantly </w:t>
      </w:r>
      <w:r w:rsidRPr="00CA4714">
        <w:rPr>
          <w:rFonts w:asciiTheme="majorHAnsi" w:hAnsiTheme="majorHAnsi" w:cstheme="majorHAnsi"/>
          <w:sz w:val="28"/>
          <w:szCs w:val="28"/>
        </w:rPr>
        <w:t>improv</w:t>
      </w:r>
      <w:r>
        <w:rPr>
          <w:rFonts w:asciiTheme="majorHAnsi" w:hAnsiTheme="majorHAnsi" w:cstheme="majorHAnsi"/>
          <w:sz w:val="28"/>
          <w:szCs w:val="28"/>
        </w:rPr>
        <w:t xml:space="preserve">es </w:t>
      </w:r>
      <w:r w:rsidRPr="00CA4714">
        <w:rPr>
          <w:rFonts w:asciiTheme="majorHAnsi" w:hAnsiTheme="majorHAnsi" w:cstheme="majorHAnsi"/>
          <w:sz w:val="28"/>
          <w:szCs w:val="28"/>
        </w:rPr>
        <w:t xml:space="preserve">educational and employment outcomes for their children.     </w:t>
      </w:r>
    </w:p>
    <w:p w14:paraId="1923D6A6" w14:textId="77777777" w:rsidR="00940D13" w:rsidRPr="00CA4714" w:rsidRDefault="00940D13" w:rsidP="00940D13">
      <w:pPr>
        <w:jc w:val="both"/>
        <w:rPr>
          <w:rFonts w:asciiTheme="majorHAnsi" w:hAnsiTheme="majorHAnsi" w:cstheme="majorHAnsi"/>
          <w:i/>
          <w:sz w:val="28"/>
          <w:szCs w:val="28"/>
        </w:rPr>
      </w:pPr>
      <w:r w:rsidRPr="00CA4714">
        <w:rPr>
          <w:rFonts w:asciiTheme="majorHAnsi" w:hAnsiTheme="majorHAnsi" w:cstheme="majorHAnsi"/>
          <w:i/>
          <w:sz w:val="28"/>
          <w:szCs w:val="28"/>
        </w:rPr>
        <w:t>Tuition provider</w:t>
      </w:r>
    </w:p>
    <w:p w14:paraId="0EEE5B13" w14:textId="77777777" w:rsidR="00940D13" w:rsidRPr="00CA4714"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 xml:space="preserve">Grade 6 student survey respondents are asked if they receive assistance at home with their homework (‘devoirs’) from their own class teacher or a tutor (‘repetiteur’). As can be observed in Table </w:t>
      </w:r>
      <w:r>
        <w:rPr>
          <w:rFonts w:asciiTheme="majorHAnsi" w:hAnsiTheme="majorHAnsi" w:cstheme="majorHAnsi"/>
          <w:sz w:val="28"/>
          <w:szCs w:val="28"/>
        </w:rPr>
        <w:t>5</w:t>
      </w:r>
      <w:r w:rsidRPr="00CA4714">
        <w:rPr>
          <w:rFonts w:asciiTheme="majorHAnsi" w:hAnsiTheme="majorHAnsi" w:cstheme="majorHAnsi"/>
          <w:sz w:val="28"/>
          <w:szCs w:val="28"/>
        </w:rPr>
        <w:t xml:space="preserve">, independent tutoring is the predominant form of private tuition provision in urban areas especially among students attending private schools. Tutorial support from class teacher tutors is relatively more important among students at public schools in rural areas which may be due to the more limited number of available teachers and tutors in rural localities.   </w:t>
      </w:r>
    </w:p>
    <w:p w14:paraId="6928B2CA" w14:textId="66BFC5C6" w:rsidR="00940D13" w:rsidRPr="00CA4714" w:rsidRDefault="00014988" w:rsidP="00940D13">
      <w:pPr>
        <w:jc w:val="both"/>
        <w:rPr>
          <w:rFonts w:asciiTheme="majorHAnsi" w:hAnsiTheme="majorHAnsi" w:cstheme="majorHAnsi"/>
          <w:sz w:val="28"/>
          <w:szCs w:val="28"/>
        </w:rPr>
      </w:pPr>
      <w:r>
        <w:rPr>
          <w:rFonts w:asciiTheme="majorHAnsi" w:hAnsiTheme="majorHAnsi" w:cstheme="majorHAnsi"/>
          <w:sz w:val="28"/>
          <w:szCs w:val="28"/>
        </w:rPr>
        <w:t>Typically, 5-</w:t>
      </w:r>
      <w:r w:rsidR="00940D13" w:rsidRPr="00CA4714">
        <w:rPr>
          <w:rFonts w:asciiTheme="majorHAnsi" w:hAnsiTheme="majorHAnsi" w:cstheme="majorHAnsi"/>
          <w:sz w:val="28"/>
          <w:szCs w:val="28"/>
        </w:rPr>
        <w:t xml:space="preserve">10% of </w:t>
      </w:r>
      <w:r w:rsidR="00940D13">
        <w:rPr>
          <w:rFonts w:asciiTheme="majorHAnsi" w:hAnsiTheme="majorHAnsi" w:cstheme="majorHAnsi"/>
          <w:sz w:val="28"/>
          <w:szCs w:val="28"/>
        </w:rPr>
        <w:t xml:space="preserve">primary school </w:t>
      </w:r>
      <w:r w:rsidR="00940D13" w:rsidRPr="00CA4714">
        <w:rPr>
          <w:rFonts w:asciiTheme="majorHAnsi" w:hAnsiTheme="majorHAnsi" w:cstheme="majorHAnsi"/>
          <w:sz w:val="28"/>
          <w:szCs w:val="28"/>
        </w:rPr>
        <w:t xml:space="preserve">students </w:t>
      </w:r>
      <w:r w:rsidR="00940D13">
        <w:rPr>
          <w:rFonts w:asciiTheme="majorHAnsi" w:hAnsiTheme="majorHAnsi" w:cstheme="majorHAnsi"/>
          <w:sz w:val="28"/>
          <w:szCs w:val="28"/>
        </w:rPr>
        <w:t>in F</w:t>
      </w:r>
      <w:r w:rsidR="000C1911">
        <w:rPr>
          <w:rFonts w:asciiTheme="majorHAnsi" w:hAnsiTheme="majorHAnsi" w:cstheme="majorHAnsi"/>
          <w:sz w:val="28"/>
          <w:szCs w:val="28"/>
        </w:rPr>
        <w:t>WA</w:t>
      </w:r>
      <w:r w:rsidR="00940D13">
        <w:rPr>
          <w:rFonts w:asciiTheme="majorHAnsi" w:hAnsiTheme="majorHAnsi" w:cstheme="majorHAnsi"/>
          <w:sz w:val="28"/>
          <w:szCs w:val="28"/>
        </w:rPr>
        <w:t xml:space="preserve"> receive private </w:t>
      </w:r>
      <w:r w:rsidR="00940D13" w:rsidRPr="00CA4714">
        <w:rPr>
          <w:rFonts w:asciiTheme="majorHAnsi" w:hAnsiTheme="majorHAnsi" w:cstheme="majorHAnsi"/>
          <w:sz w:val="28"/>
          <w:szCs w:val="28"/>
        </w:rPr>
        <w:t xml:space="preserve">tuition from both </w:t>
      </w:r>
      <w:r w:rsidR="00940D13">
        <w:rPr>
          <w:rFonts w:asciiTheme="majorHAnsi" w:hAnsiTheme="majorHAnsi" w:cstheme="majorHAnsi"/>
          <w:sz w:val="28"/>
          <w:szCs w:val="28"/>
        </w:rPr>
        <w:t xml:space="preserve">their own </w:t>
      </w:r>
      <w:r w:rsidR="00940D13" w:rsidRPr="00CA4714">
        <w:rPr>
          <w:rFonts w:asciiTheme="majorHAnsi" w:hAnsiTheme="majorHAnsi" w:cstheme="majorHAnsi"/>
          <w:sz w:val="28"/>
          <w:szCs w:val="28"/>
        </w:rPr>
        <w:t xml:space="preserve">class teachers and other tutors. </w:t>
      </w:r>
      <w:r w:rsidR="00940D13">
        <w:rPr>
          <w:rFonts w:asciiTheme="majorHAnsi" w:hAnsiTheme="majorHAnsi" w:cstheme="majorHAnsi"/>
          <w:sz w:val="28"/>
          <w:szCs w:val="28"/>
        </w:rPr>
        <w:t xml:space="preserve">In a few countries, this figure is a lot higher. </w:t>
      </w:r>
      <w:r w:rsidR="00940D13" w:rsidRPr="00CA4714">
        <w:rPr>
          <w:rFonts w:asciiTheme="majorHAnsi" w:hAnsiTheme="majorHAnsi" w:cstheme="majorHAnsi"/>
          <w:sz w:val="28"/>
          <w:szCs w:val="28"/>
        </w:rPr>
        <w:t xml:space="preserve">In Niger and Senegal, </w:t>
      </w:r>
      <w:r w:rsidR="00940D13">
        <w:rPr>
          <w:rFonts w:asciiTheme="majorHAnsi" w:hAnsiTheme="majorHAnsi" w:cstheme="majorHAnsi"/>
          <w:sz w:val="28"/>
          <w:szCs w:val="28"/>
        </w:rPr>
        <w:t xml:space="preserve">for example, </w:t>
      </w:r>
      <w:r w:rsidR="00940D13" w:rsidRPr="00CA4714">
        <w:rPr>
          <w:rFonts w:asciiTheme="majorHAnsi" w:hAnsiTheme="majorHAnsi" w:cstheme="majorHAnsi"/>
          <w:sz w:val="28"/>
          <w:szCs w:val="28"/>
        </w:rPr>
        <w:t xml:space="preserve">around one-quarter of students attending urban private schools </w:t>
      </w:r>
      <w:r w:rsidR="00940D13">
        <w:rPr>
          <w:rFonts w:asciiTheme="majorHAnsi" w:hAnsiTheme="majorHAnsi" w:cstheme="majorHAnsi"/>
          <w:sz w:val="28"/>
          <w:szCs w:val="28"/>
        </w:rPr>
        <w:t xml:space="preserve">receive </w:t>
      </w:r>
      <w:r w:rsidR="00940D13" w:rsidRPr="00CA4714">
        <w:rPr>
          <w:rFonts w:asciiTheme="majorHAnsi" w:hAnsiTheme="majorHAnsi" w:cstheme="majorHAnsi"/>
          <w:sz w:val="28"/>
          <w:szCs w:val="28"/>
        </w:rPr>
        <w:t xml:space="preserve">both types of tutorial support.  </w:t>
      </w:r>
    </w:p>
    <w:p w14:paraId="595FF17F" w14:textId="77777777" w:rsidR="00940D13" w:rsidRPr="00CA4714" w:rsidRDefault="00940D13" w:rsidP="00940D13">
      <w:pPr>
        <w:pStyle w:val="ListParagraph"/>
        <w:numPr>
          <w:ilvl w:val="0"/>
          <w:numId w:val="2"/>
        </w:numPr>
        <w:rPr>
          <w:rFonts w:asciiTheme="majorHAnsi" w:hAnsiTheme="majorHAnsi" w:cstheme="majorHAnsi"/>
          <w:b/>
          <w:i/>
          <w:sz w:val="28"/>
          <w:szCs w:val="28"/>
        </w:rPr>
      </w:pPr>
      <w:r w:rsidRPr="00CA4714">
        <w:rPr>
          <w:rFonts w:asciiTheme="majorHAnsi" w:hAnsiTheme="majorHAnsi" w:cstheme="majorHAnsi"/>
          <w:b/>
          <w:i/>
          <w:sz w:val="28"/>
          <w:szCs w:val="28"/>
        </w:rPr>
        <w:t>Teachers</w:t>
      </w:r>
    </w:p>
    <w:p w14:paraId="50C06BE7" w14:textId="77777777" w:rsidR="00940D13" w:rsidRPr="00CA4714" w:rsidRDefault="00940D13" w:rsidP="00940D13">
      <w:pPr>
        <w:ind w:left="72"/>
        <w:rPr>
          <w:rFonts w:asciiTheme="majorHAnsi" w:hAnsiTheme="majorHAnsi" w:cstheme="majorHAnsi"/>
          <w:i/>
          <w:sz w:val="28"/>
          <w:szCs w:val="28"/>
        </w:rPr>
      </w:pPr>
      <w:r>
        <w:rPr>
          <w:rFonts w:asciiTheme="majorHAnsi" w:hAnsiTheme="majorHAnsi" w:cstheme="majorHAnsi"/>
          <w:i/>
          <w:sz w:val="28"/>
          <w:szCs w:val="28"/>
        </w:rPr>
        <w:t>4</w:t>
      </w:r>
      <w:r w:rsidRPr="00CA4714">
        <w:rPr>
          <w:rFonts w:asciiTheme="majorHAnsi" w:hAnsiTheme="majorHAnsi" w:cstheme="majorHAnsi"/>
          <w:i/>
          <w:sz w:val="28"/>
          <w:szCs w:val="28"/>
        </w:rPr>
        <w:t>.1 Overall incidence</w:t>
      </w:r>
    </w:p>
    <w:p w14:paraId="00F863CC" w14:textId="1314FDBE" w:rsidR="00940D13" w:rsidRPr="00CA4714" w:rsidRDefault="00940D13" w:rsidP="00940D13">
      <w:pPr>
        <w:jc w:val="both"/>
        <w:rPr>
          <w:rFonts w:asciiTheme="majorHAnsi" w:hAnsiTheme="majorHAnsi" w:cstheme="majorHAnsi"/>
          <w:sz w:val="28"/>
          <w:szCs w:val="28"/>
        </w:rPr>
      </w:pPr>
      <w:r>
        <w:rPr>
          <w:rFonts w:asciiTheme="majorHAnsi" w:hAnsiTheme="majorHAnsi" w:cstheme="majorHAnsi"/>
          <w:sz w:val="28"/>
          <w:szCs w:val="28"/>
        </w:rPr>
        <w:t>The PASEC school surveys ask e</w:t>
      </w:r>
      <w:r w:rsidRPr="00CA4714">
        <w:rPr>
          <w:rFonts w:asciiTheme="majorHAnsi" w:hAnsiTheme="majorHAnsi" w:cstheme="majorHAnsi"/>
          <w:sz w:val="28"/>
          <w:szCs w:val="28"/>
        </w:rPr>
        <w:t xml:space="preserve">ach teacher survey respondent to provide information about any additional income they earn from activities outside of their main occupation as a primary school teacher. One of these extra income earning activities is ‘cours particulieres’ (CP), which include additional tutorial classes provided </w:t>
      </w:r>
      <w:r>
        <w:rPr>
          <w:rFonts w:asciiTheme="majorHAnsi" w:hAnsiTheme="majorHAnsi" w:cstheme="majorHAnsi"/>
          <w:sz w:val="28"/>
          <w:szCs w:val="28"/>
        </w:rPr>
        <w:t xml:space="preserve">either </w:t>
      </w:r>
      <w:r w:rsidRPr="00CA4714">
        <w:rPr>
          <w:rFonts w:asciiTheme="majorHAnsi" w:hAnsiTheme="majorHAnsi" w:cstheme="majorHAnsi"/>
          <w:sz w:val="28"/>
          <w:szCs w:val="28"/>
        </w:rPr>
        <w:t xml:space="preserve">individually by each teacher or by specific commercial or other organisations. The overall incidence of CP tuition among Grade 2 and 6 teachers is less than 5% in rural areas and only slightly higher among these teachers </w:t>
      </w:r>
      <w:r w:rsidRPr="00CA4714">
        <w:rPr>
          <w:rFonts w:asciiTheme="majorHAnsi" w:hAnsiTheme="majorHAnsi" w:cstheme="majorHAnsi"/>
          <w:sz w:val="28"/>
          <w:szCs w:val="28"/>
        </w:rPr>
        <w:lastRenderedPageBreak/>
        <w:t>employ</w:t>
      </w:r>
      <w:r>
        <w:rPr>
          <w:rFonts w:asciiTheme="majorHAnsi" w:hAnsiTheme="majorHAnsi" w:cstheme="majorHAnsi"/>
          <w:sz w:val="28"/>
          <w:szCs w:val="28"/>
        </w:rPr>
        <w:t>ed in urban schools (see Table 6</w:t>
      </w:r>
      <w:r w:rsidRPr="00CA4714">
        <w:rPr>
          <w:rFonts w:asciiTheme="majorHAnsi" w:hAnsiTheme="majorHAnsi" w:cstheme="majorHAnsi"/>
          <w:sz w:val="28"/>
          <w:szCs w:val="28"/>
        </w:rPr>
        <w:t xml:space="preserve">). Given that the incidence of students receiving some kind of tutorial support is usually at least two-three times higher, this suggests that a high proportion of class teachers have more than one after-school tutorial student and/or that sizeable numbers of students are supported by </w:t>
      </w:r>
      <w:r w:rsidR="00014988">
        <w:rPr>
          <w:rFonts w:asciiTheme="majorHAnsi" w:hAnsiTheme="majorHAnsi" w:cstheme="majorHAnsi"/>
          <w:sz w:val="28"/>
          <w:szCs w:val="28"/>
        </w:rPr>
        <w:t xml:space="preserve">(self or waged employed) </w:t>
      </w:r>
      <w:r w:rsidRPr="00CA4714">
        <w:rPr>
          <w:rFonts w:asciiTheme="majorHAnsi" w:hAnsiTheme="majorHAnsi" w:cstheme="majorHAnsi"/>
          <w:sz w:val="28"/>
          <w:szCs w:val="28"/>
        </w:rPr>
        <w:t xml:space="preserve">tutors who are not full-time school teachers. </w:t>
      </w:r>
    </w:p>
    <w:p w14:paraId="54194BA5" w14:textId="77777777" w:rsidR="00940D13" w:rsidRPr="00CA4714" w:rsidRDefault="00940D13" w:rsidP="00940D13">
      <w:pPr>
        <w:rPr>
          <w:rFonts w:asciiTheme="majorHAnsi" w:hAnsiTheme="majorHAnsi" w:cstheme="majorHAnsi"/>
          <w:i/>
          <w:sz w:val="28"/>
          <w:szCs w:val="28"/>
        </w:rPr>
      </w:pPr>
      <w:r w:rsidRPr="00CA4714">
        <w:rPr>
          <w:rFonts w:asciiTheme="majorHAnsi" w:hAnsiTheme="majorHAnsi" w:cstheme="majorHAnsi"/>
          <w:i/>
          <w:sz w:val="28"/>
          <w:szCs w:val="28"/>
        </w:rPr>
        <w:t>6.2 Location, school type and teaching experience</w:t>
      </w:r>
    </w:p>
    <w:p w14:paraId="6977DE2B" w14:textId="1B1DF2E2" w:rsidR="00940D13" w:rsidRPr="00CA4714"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As expected, the incidence of tutoring among teachers at urban</w:t>
      </w:r>
      <w:r w:rsidR="003868EE">
        <w:rPr>
          <w:rFonts w:asciiTheme="majorHAnsi" w:hAnsiTheme="majorHAnsi" w:cstheme="majorHAnsi"/>
          <w:sz w:val="28"/>
          <w:szCs w:val="28"/>
        </w:rPr>
        <w:t xml:space="preserve"> primary schools is </w:t>
      </w:r>
      <w:r>
        <w:rPr>
          <w:rFonts w:asciiTheme="majorHAnsi" w:hAnsiTheme="majorHAnsi" w:cstheme="majorHAnsi"/>
          <w:sz w:val="28"/>
          <w:szCs w:val="28"/>
        </w:rPr>
        <w:t xml:space="preserve">considerably </w:t>
      </w:r>
      <w:r w:rsidRPr="00CA4714">
        <w:rPr>
          <w:rFonts w:asciiTheme="majorHAnsi" w:hAnsiTheme="majorHAnsi" w:cstheme="majorHAnsi"/>
          <w:sz w:val="28"/>
          <w:szCs w:val="28"/>
        </w:rPr>
        <w:t>higher than among rural teachers</w:t>
      </w:r>
      <w:r w:rsidR="003868EE">
        <w:rPr>
          <w:rFonts w:asciiTheme="majorHAnsi" w:hAnsiTheme="majorHAnsi" w:cstheme="majorHAnsi"/>
          <w:sz w:val="28"/>
          <w:szCs w:val="28"/>
        </w:rPr>
        <w:t xml:space="preserve"> in all nine countries</w:t>
      </w:r>
      <w:r w:rsidRPr="00CA4714">
        <w:rPr>
          <w:rFonts w:asciiTheme="majorHAnsi" w:hAnsiTheme="majorHAnsi" w:cstheme="majorHAnsi"/>
          <w:sz w:val="28"/>
          <w:szCs w:val="28"/>
        </w:rPr>
        <w:t xml:space="preserve"> (see table </w:t>
      </w:r>
      <w:r>
        <w:rPr>
          <w:rFonts w:asciiTheme="majorHAnsi" w:hAnsiTheme="majorHAnsi" w:cstheme="majorHAnsi"/>
          <w:sz w:val="28"/>
          <w:szCs w:val="28"/>
        </w:rPr>
        <w:t>6</w:t>
      </w:r>
      <w:r w:rsidRPr="00CA4714">
        <w:rPr>
          <w:rFonts w:asciiTheme="majorHAnsi" w:hAnsiTheme="majorHAnsi" w:cstheme="majorHAnsi"/>
          <w:sz w:val="28"/>
          <w:szCs w:val="28"/>
        </w:rPr>
        <w:t xml:space="preserve">). </w:t>
      </w:r>
      <w:r>
        <w:rPr>
          <w:rFonts w:asciiTheme="majorHAnsi" w:hAnsiTheme="majorHAnsi" w:cstheme="majorHAnsi"/>
          <w:sz w:val="28"/>
          <w:szCs w:val="28"/>
        </w:rPr>
        <w:t>With regard to school type, i</w:t>
      </w:r>
      <w:r w:rsidRPr="00CA4714">
        <w:rPr>
          <w:rFonts w:asciiTheme="majorHAnsi" w:hAnsiTheme="majorHAnsi" w:cstheme="majorHAnsi"/>
          <w:sz w:val="28"/>
          <w:szCs w:val="28"/>
        </w:rPr>
        <w:t>n all but one countr</w:t>
      </w:r>
      <w:r w:rsidR="003868EE">
        <w:rPr>
          <w:rFonts w:asciiTheme="majorHAnsi" w:hAnsiTheme="majorHAnsi" w:cstheme="majorHAnsi"/>
          <w:sz w:val="28"/>
          <w:szCs w:val="28"/>
        </w:rPr>
        <w:t>y</w:t>
      </w:r>
      <w:r w:rsidRPr="00CA4714">
        <w:rPr>
          <w:rFonts w:asciiTheme="majorHAnsi" w:hAnsiTheme="majorHAnsi" w:cstheme="majorHAnsi"/>
          <w:sz w:val="28"/>
          <w:szCs w:val="28"/>
        </w:rPr>
        <w:t>, at least three-quarters of teachers who are involved in private tuition activity are employed at private schools (see tables</w:t>
      </w:r>
      <w:r>
        <w:rPr>
          <w:rFonts w:asciiTheme="majorHAnsi" w:hAnsiTheme="majorHAnsi" w:cstheme="majorHAnsi"/>
          <w:sz w:val="28"/>
          <w:szCs w:val="28"/>
        </w:rPr>
        <w:t xml:space="preserve"> 7 and 8</w:t>
      </w:r>
      <w:r w:rsidRPr="00CA4714">
        <w:rPr>
          <w:rFonts w:asciiTheme="majorHAnsi" w:hAnsiTheme="majorHAnsi" w:cstheme="majorHAnsi"/>
          <w:sz w:val="28"/>
          <w:szCs w:val="28"/>
        </w:rPr>
        <w:t xml:space="preserve">). In Cote d’Ivoire, for example, private school teachers provide 90% of all private tutoring but only account for only 14% of all primary school teachers in the country.  The two exceptions are Cameroon and Tchad where 60-70% of private tuition is provided by community teachers. The generally very limited involvement of teachers who are employed in public schools as civil servants (‘fonctionnaires’) is also </w:t>
      </w:r>
      <w:r>
        <w:rPr>
          <w:rFonts w:asciiTheme="majorHAnsi" w:hAnsiTheme="majorHAnsi" w:cstheme="majorHAnsi"/>
          <w:sz w:val="28"/>
          <w:szCs w:val="28"/>
        </w:rPr>
        <w:t xml:space="preserve">noticeable. </w:t>
      </w:r>
      <w:r w:rsidRPr="00CA4714">
        <w:rPr>
          <w:rFonts w:asciiTheme="majorHAnsi" w:hAnsiTheme="majorHAnsi" w:cstheme="majorHAnsi"/>
          <w:sz w:val="28"/>
          <w:szCs w:val="28"/>
        </w:rPr>
        <w:t>In most countries, the relatively low pay of teachers at private schools is likely to be a key factor in making tutoring that much more attractive for these teachers. In Cameroon, for example, the median pay of private school teachers is around one-half that of the median pay of publ</w:t>
      </w:r>
      <w:r w:rsidR="003868EE">
        <w:rPr>
          <w:rFonts w:asciiTheme="majorHAnsi" w:hAnsiTheme="majorHAnsi" w:cstheme="majorHAnsi"/>
          <w:sz w:val="28"/>
          <w:szCs w:val="28"/>
        </w:rPr>
        <w:t>ic school teachers (see Author</w:t>
      </w:r>
      <w:r w:rsidRPr="00CA4714">
        <w:rPr>
          <w:rFonts w:asciiTheme="majorHAnsi" w:hAnsiTheme="majorHAnsi" w:cstheme="majorHAnsi"/>
          <w:sz w:val="28"/>
          <w:szCs w:val="28"/>
        </w:rPr>
        <w:t xml:space="preserve">). Relatively low pay is also likely to be the main reason why younger, less experienced teachers tend to take on more tutoring work than older teachers (see Table </w:t>
      </w:r>
      <w:r>
        <w:rPr>
          <w:rFonts w:asciiTheme="majorHAnsi" w:hAnsiTheme="majorHAnsi" w:cstheme="majorHAnsi"/>
          <w:sz w:val="28"/>
          <w:szCs w:val="28"/>
        </w:rPr>
        <w:t>9</w:t>
      </w:r>
      <w:r w:rsidRPr="00CA4714">
        <w:rPr>
          <w:rFonts w:asciiTheme="majorHAnsi" w:hAnsiTheme="majorHAnsi" w:cstheme="majorHAnsi"/>
          <w:sz w:val="28"/>
          <w:szCs w:val="28"/>
        </w:rPr>
        <w:t xml:space="preserve">).     </w:t>
      </w:r>
    </w:p>
    <w:p w14:paraId="36930C23" w14:textId="77777777" w:rsidR="00940D13" w:rsidRPr="00CA4714" w:rsidRDefault="00940D13" w:rsidP="00940D13">
      <w:pPr>
        <w:pStyle w:val="ListParagraph"/>
        <w:numPr>
          <w:ilvl w:val="0"/>
          <w:numId w:val="2"/>
        </w:numPr>
        <w:rPr>
          <w:rFonts w:asciiTheme="majorHAnsi" w:hAnsiTheme="majorHAnsi" w:cstheme="majorHAnsi"/>
          <w:b/>
          <w:sz w:val="28"/>
          <w:szCs w:val="28"/>
        </w:rPr>
      </w:pPr>
      <w:r w:rsidRPr="00CA4714">
        <w:rPr>
          <w:rFonts w:asciiTheme="majorHAnsi" w:hAnsiTheme="majorHAnsi" w:cstheme="majorHAnsi"/>
          <w:b/>
          <w:sz w:val="28"/>
          <w:szCs w:val="28"/>
        </w:rPr>
        <w:t>Tuition and learning outcomes</w:t>
      </w:r>
    </w:p>
    <w:p w14:paraId="42455F80" w14:textId="59439700" w:rsidR="00940D13" w:rsidRPr="00CA4714"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 xml:space="preserve">Comparing with- and without-tuition learning outcomes among (non-randomised) groups of students tells us little or nothing about the overall impact of tuition provision on learning outcomes. To be able to evaluate robustly this impact is a complex exercise which </w:t>
      </w:r>
      <w:r>
        <w:rPr>
          <w:rFonts w:asciiTheme="majorHAnsi" w:hAnsiTheme="majorHAnsi" w:cstheme="majorHAnsi"/>
          <w:sz w:val="28"/>
          <w:szCs w:val="28"/>
        </w:rPr>
        <w:t xml:space="preserve">can only </w:t>
      </w:r>
      <w:r w:rsidRPr="00CA4714">
        <w:rPr>
          <w:rFonts w:asciiTheme="majorHAnsi" w:hAnsiTheme="majorHAnsi" w:cstheme="majorHAnsi"/>
          <w:sz w:val="28"/>
          <w:szCs w:val="28"/>
        </w:rPr>
        <w:t xml:space="preserve">be based on randomised control trials and, ideally, difference-in-difference assessment methodology. Samples of students have to be precisely selected in order to be able to compare accurately the differential learning outcomes of tuition (treatment) and no tuition (control) groups over a sufficiently long time period. Eliminating possible selection biases between these two groups so that one is comparing like-with-like is a major methodological challenge.     </w:t>
      </w:r>
    </w:p>
    <w:p w14:paraId="7A6D8198" w14:textId="2041ACCD" w:rsidR="00940D13" w:rsidRPr="00CA4714"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It can be observed in Table 1</w:t>
      </w:r>
      <w:r>
        <w:rPr>
          <w:rFonts w:asciiTheme="majorHAnsi" w:hAnsiTheme="majorHAnsi" w:cstheme="majorHAnsi"/>
          <w:sz w:val="28"/>
          <w:szCs w:val="28"/>
        </w:rPr>
        <w:t>0</w:t>
      </w:r>
      <w:r w:rsidRPr="00CA4714">
        <w:rPr>
          <w:rFonts w:asciiTheme="majorHAnsi" w:hAnsiTheme="majorHAnsi" w:cstheme="majorHAnsi"/>
          <w:sz w:val="28"/>
          <w:szCs w:val="28"/>
        </w:rPr>
        <w:t xml:space="preserve"> that the percentage point difference in reading and maths mean test scores of Grade 6 students who were tested as part of the </w:t>
      </w:r>
      <w:r w:rsidRPr="00CA4714">
        <w:rPr>
          <w:rFonts w:asciiTheme="majorHAnsi" w:hAnsiTheme="majorHAnsi" w:cstheme="majorHAnsi"/>
          <w:sz w:val="28"/>
          <w:szCs w:val="28"/>
        </w:rPr>
        <w:lastRenderedPageBreak/>
        <w:t xml:space="preserve">PASEC country surveys is generally positive among public primary schools (albeit only marginally for reading) but is strongly negative for both subjects among students attending secular private primary schools across all nine countries. However, this does not mean that the overall impact of private tuition is significantly higher in public schools </w:t>
      </w:r>
      <w:r>
        <w:rPr>
          <w:rFonts w:asciiTheme="majorHAnsi" w:hAnsiTheme="majorHAnsi" w:cstheme="majorHAnsi"/>
          <w:sz w:val="28"/>
          <w:szCs w:val="28"/>
        </w:rPr>
        <w:t xml:space="preserve">because </w:t>
      </w:r>
      <w:r w:rsidRPr="00CA4714">
        <w:rPr>
          <w:rFonts w:asciiTheme="majorHAnsi" w:hAnsiTheme="majorHAnsi" w:cstheme="majorHAnsi"/>
          <w:sz w:val="28"/>
          <w:szCs w:val="28"/>
        </w:rPr>
        <w:t xml:space="preserve">the profiles/characteristics of tutored students could well be </w:t>
      </w:r>
      <w:r>
        <w:rPr>
          <w:rFonts w:asciiTheme="majorHAnsi" w:hAnsiTheme="majorHAnsi" w:cstheme="majorHAnsi"/>
          <w:sz w:val="28"/>
          <w:szCs w:val="28"/>
        </w:rPr>
        <w:t xml:space="preserve">quite </w:t>
      </w:r>
      <w:r w:rsidRPr="00CA4714">
        <w:rPr>
          <w:rFonts w:asciiTheme="majorHAnsi" w:hAnsiTheme="majorHAnsi" w:cstheme="majorHAnsi"/>
          <w:sz w:val="28"/>
          <w:szCs w:val="28"/>
        </w:rPr>
        <w:t>different between the two types of schools. It is conceivable, for example, that academically more able students tend to be selected for private tuition in public private schools whereas relatively larger numbers of weaker ability students attending private schools receive ‘remedial’ tutorial support. While the impact of tuition may be quite positive for this latter group, sizeable learning outcome differences may still exist between this group of supported students and academically more able non-supported students.</w:t>
      </w:r>
    </w:p>
    <w:p w14:paraId="5611AB17" w14:textId="77777777" w:rsidR="00940D13" w:rsidRPr="00CA4714" w:rsidRDefault="00940D13" w:rsidP="00940D13">
      <w:pPr>
        <w:rPr>
          <w:rFonts w:asciiTheme="majorHAnsi" w:hAnsiTheme="majorHAnsi" w:cstheme="majorHAnsi"/>
          <w:b/>
          <w:sz w:val="28"/>
          <w:szCs w:val="28"/>
        </w:rPr>
      </w:pPr>
      <w:r w:rsidRPr="00CA4714">
        <w:rPr>
          <w:rFonts w:asciiTheme="majorHAnsi" w:hAnsiTheme="majorHAnsi" w:cstheme="majorHAnsi"/>
          <w:b/>
          <w:sz w:val="28"/>
          <w:szCs w:val="28"/>
        </w:rPr>
        <w:t>6. Conclusion</w:t>
      </w:r>
    </w:p>
    <w:p w14:paraId="7EDD6965" w14:textId="663BD1F2" w:rsidR="00940D13"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Th</w:t>
      </w:r>
      <w:r>
        <w:rPr>
          <w:rFonts w:asciiTheme="majorHAnsi" w:hAnsiTheme="majorHAnsi" w:cstheme="majorHAnsi"/>
          <w:sz w:val="28"/>
          <w:szCs w:val="28"/>
        </w:rPr>
        <w:t xml:space="preserve">is article has presented for the first time nationally representative information on the overall incidence and patterns of private tuition in an important sub-region of SSA comprising nine countries </w:t>
      </w:r>
      <w:r w:rsidR="003868EE">
        <w:rPr>
          <w:rFonts w:asciiTheme="majorHAnsi" w:hAnsiTheme="majorHAnsi" w:cstheme="majorHAnsi"/>
          <w:sz w:val="28"/>
          <w:szCs w:val="28"/>
        </w:rPr>
        <w:t xml:space="preserve">in Francophone West Africa </w:t>
      </w:r>
      <w:r>
        <w:rPr>
          <w:rFonts w:asciiTheme="majorHAnsi" w:hAnsiTheme="majorHAnsi" w:cstheme="majorHAnsi"/>
          <w:sz w:val="28"/>
          <w:szCs w:val="28"/>
        </w:rPr>
        <w:t>with a combined population of over 150 million. Five</w:t>
      </w:r>
      <w:r w:rsidRPr="00CA4714">
        <w:rPr>
          <w:rFonts w:asciiTheme="majorHAnsi" w:hAnsiTheme="majorHAnsi" w:cstheme="majorHAnsi"/>
          <w:sz w:val="28"/>
          <w:szCs w:val="28"/>
        </w:rPr>
        <w:t xml:space="preserve"> main conclusions can be drawn from this </w:t>
      </w:r>
      <w:r>
        <w:rPr>
          <w:rFonts w:asciiTheme="majorHAnsi" w:hAnsiTheme="majorHAnsi" w:cstheme="majorHAnsi"/>
          <w:sz w:val="28"/>
          <w:szCs w:val="28"/>
        </w:rPr>
        <w:t xml:space="preserve">initial </w:t>
      </w:r>
      <w:r w:rsidRPr="00CA4714">
        <w:rPr>
          <w:rFonts w:asciiTheme="majorHAnsi" w:hAnsiTheme="majorHAnsi" w:cstheme="majorHAnsi"/>
          <w:sz w:val="28"/>
          <w:szCs w:val="28"/>
        </w:rPr>
        <w:t>analysis</w:t>
      </w:r>
      <w:r>
        <w:rPr>
          <w:rFonts w:asciiTheme="majorHAnsi" w:hAnsiTheme="majorHAnsi" w:cstheme="majorHAnsi"/>
          <w:sz w:val="28"/>
          <w:szCs w:val="28"/>
        </w:rPr>
        <w:t>.</w:t>
      </w:r>
      <w:r w:rsidRPr="00CA4714">
        <w:rPr>
          <w:rFonts w:asciiTheme="majorHAnsi" w:hAnsiTheme="majorHAnsi" w:cstheme="majorHAnsi"/>
          <w:sz w:val="28"/>
          <w:szCs w:val="28"/>
        </w:rPr>
        <w:t xml:space="preserve"> </w:t>
      </w:r>
    </w:p>
    <w:p w14:paraId="0F2131F1" w14:textId="2762EE05" w:rsidR="00940D13"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 xml:space="preserve">Firstly, </w:t>
      </w:r>
      <w:r>
        <w:rPr>
          <w:rFonts w:asciiTheme="majorHAnsi" w:hAnsiTheme="majorHAnsi" w:cstheme="majorHAnsi"/>
          <w:sz w:val="28"/>
          <w:szCs w:val="28"/>
        </w:rPr>
        <w:t xml:space="preserve">private tuition is indeed a mass rural and urban phenomenon in </w:t>
      </w:r>
      <w:r w:rsidR="003868EE">
        <w:rPr>
          <w:rFonts w:asciiTheme="majorHAnsi" w:hAnsiTheme="majorHAnsi" w:cstheme="majorHAnsi"/>
          <w:sz w:val="28"/>
          <w:szCs w:val="28"/>
        </w:rPr>
        <w:t>this sub-region</w:t>
      </w:r>
      <w:r>
        <w:rPr>
          <w:rFonts w:asciiTheme="majorHAnsi" w:hAnsiTheme="majorHAnsi" w:cstheme="majorHAnsi"/>
          <w:sz w:val="28"/>
          <w:szCs w:val="28"/>
        </w:rPr>
        <w:t xml:space="preserve"> although considerable variability exists in the overall incidence across countries. Most available school survey data in SSA itself is now quite dated which highlights the need to collect information on a regular basis i</w:t>
      </w:r>
      <w:r w:rsidR="003868EE">
        <w:rPr>
          <w:rFonts w:asciiTheme="majorHAnsi" w:hAnsiTheme="majorHAnsi" w:cstheme="majorHAnsi"/>
          <w:sz w:val="28"/>
          <w:szCs w:val="28"/>
        </w:rPr>
        <w:t>n as many countries as possible</w:t>
      </w:r>
      <w:r>
        <w:rPr>
          <w:rFonts w:asciiTheme="majorHAnsi" w:hAnsiTheme="majorHAnsi" w:cstheme="majorHAnsi"/>
          <w:sz w:val="28"/>
          <w:szCs w:val="28"/>
        </w:rPr>
        <w:t xml:space="preserve">. </w:t>
      </w:r>
      <w:r w:rsidRPr="00CA4714">
        <w:rPr>
          <w:rFonts w:asciiTheme="majorHAnsi" w:hAnsiTheme="majorHAnsi" w:cstheme="majorHAnsi"/>
          <w:sz w:val="28"/>
          <w:szCs w:val="28"/>
        </w:rPr>
        <w:t>Secondly,</w:t>
      </w:r>
      <w:r w:rsidR="003868EE">
        <w:rPr>
          <w:rFonts w:asciiTheme="majorHAnsi" w:hAnsiTheme="majorHAnsi" w:cstheme="majorHAnsi"/>
          <w:sz w:val="28"/>
          <w:szCs w:val="28"/>
        </w:rPr>
        <w:t xml:space="preserve"> already better-</w:t>
      </w:r>
      <w:r>
        <w:rPr>
          <w:rFonts w:asciiTheme="majorHAnsi" w:hAnsiTheme="majorHAnsi" w:cstheme="majorHAnsi"/>
          <w:sz w:val="28"/>
          <w:szCs w:val="28"/>
        </w:rPr>
        <w:t xml:space="preserve">off children attending private schools benefit disproportionately from private tuition thereby exacerbating already sizeable inequalities in overall education provision and learning outcomes. Along with private schooling, private tuition plays an important role in maintaining the education distance between elites and the middle class, on the one hand, and the rest of the urban and rural population, on the other. Thirdly, the generally higher incidence of private tuition among female school students suggests that its provision contributes to the reduction of gender enrolment disparities in the school population as a whole. Fourthly, private tuition does not appear to be an important source of additional income for public primary school teachers in FWA. However, this may not be case elsewhere in SSA especially in countries where public school salaries are much lower than is typically the case in FWA. And finally, there is insufficient evidence to be able to draw any robust conclusions on the quality of private tuition and its overall impact on learning outcomes. This </w:t>
      </w:r>
      <w:r>
        <w:rPr>
          <w:rFonts w:asciiTheme="majorHAnsi" w:hAnsiTheme="majorHAnsi" w:cstheme="majorHAnsi"/>
          <w:sz w:val="28"/>
          <w:szCs w:val="28"/>
        </w:rPr>
        <w:lastRenderedPageBreak/>
        <w:t xml:space="preserve">evidence is essential in order to develop effective regulatory policy regimes for private tuition provision.   </w:t>
      </w:r>
      <w:r w:rsidRPr="00CA4714">
        <w:rPr>
          <w:rFonts w:asciiTheme="majorHAnsi" w:hAnsiTheme="majorHAnsi" w:cstheme="majorHAnsi"/>
          <w:sz w:val="28"/>
          <w:szCs w:val="28"/>
        </w:rPr>
        <w:t xml:space="preserve"> </w:t>
      </w:r>
    </w:p>
    <w:p w14:paraId="0785B3E9" w14:textId="77777777" w:rsidR="00940D13" w:rsidRPr="007661EE" w:rsidRDefault="00940D13" w:rsidP="00940D13">
      <w:pPr>
        <w:jc w:val="both"/>
        <w:rPr>
          <w:rFonts w:asciiTheme="majorHAnsi" w:hAnsiTheme="majorHAnsi" w:cstheme="majorHAnsi"/>
          <w:i/>
          <w:sz w:val="28"/>
          <w:szCs w:val="28"/>
        </w:rPr>
      </w:pPr>
      <w:r w:rsidRPr="007661EE">
        <w:rPr>
          <w:rFonts w:asciiTheme="majorHAnsi" w:hAnsiTheme="majorHAnsi" w:cstheme="majorHAnsi"/>
          <w:i/>
          <w:sz w:val="28"/>
          <w:szCs w:val="28"/>
        </w:rPr>
        <w:t>Future research</w:t>
      </w:r>
    </w:p>
    <w:p w14:paraId="2F539E74" w14:textId="6FD11149" w:rsidR="00940D13" w:rsidRPr="00CA4714"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Private tuition is a mass phenomenon whose provision needs to be carefully monitored on a regular basis. </w:t>
      </w:r>
      <w:r w:rsidRPr="00CA4714">
        <w:rPr>
          <w:rFonts w:asciiTheme="majorHAnsi" w:hAnsiTheme="majorHAnsi" w:cstheme="majorHAnsi"/>
          <w:sz w:val="28"/>
          <w:szCs w:val="28"/>
        </w:rPr>
        <w:t xml:space="preserve">Well-designed national surveys </w:t>
      </w:r>
      <w:r>
        <w:rPr>
          <w:rFonts w:asciiTheme="majorHAnsi" w:hAnsiTheme="majorHAnsi" w:cstheme="majorHAnsi"/>
          <w:sz w:val="28"/>
          <w:szCs w:val="28"/>
        </w:rPr>
        <w:t xml:space="preserve">of both primary and secondary schools </w:t>
      </w:r>
      <w:r w:rsidRPr="00CA4714">
        <w:rPr>
          <w:rFonts w:asciiTheme="majorHAnsi" w:hAnsiTheme="majorHAnsi" w:cstheme="majorHAnsi"/>
          <w:sz w:val="28"/>
          <w:szCs w:val="28"/>
        </w:rPr>
        <w:t xml:space="preserve">provide the necessary foundation for this research effort which can be extended in various ways to include more in-depth </w:t>
      </w:r>
      <w:r>
        <w:rPr>
          <w:rFonts w:asciiTheme="majorHAnsi" w:hAnsiTheme="majorHAnsi" w:cstheme="majorHAnsi"/>
          <w:sz w:val="28"/>
          <w:szCs w:val="28"/>
        </w:rPr>
        <w:t xml:space="preserve">analysis of </w:t>
      </w:r>
      <w:r w:rsidRPr="00CA4714">
        <w:rPr>
          <w:rFonts w:asciiTheme="majorHAnsi" w:hAnsiTheme="majorHAnsi" w:cstheme="majorHAnsi"/>
          <w:sz w:val="28"/>
          <w:szCs w:val="28"/>
        </w:rPr>
        <w:t xml:space="preserve">key demand and supply factors as well as the impact of private tutoring on learning outcomes.  </w:t>
      </w:r>
      <w:r>
        <w:rPr>
          <w:rFonts w:asciiTheme="majorHAnsi" w:hAnsiTheme="majorHAnsi" w:cstheme="majorHAnsi"/>
          <w:sz w:val="28"/>
          <w:szCs w:val="28"/>
        </w:rPr>
        <w:t>As noted above, t</w:t>
      </w:r>
      <w:r w:rsidRPr="00CA4714">
        <w:rPr>
          <w:rFonts w:asciiTheme="majorHAnsi" w:hAnsiTheme="majorHAnsi" w:cstheme="majorHAnsi"/>
          <w:sz w:val="28"/>
          <w:szCs w:val="28"/>
        </w:rPr>
        <w:t xml:space="preserve">his will provide the indispensable empirical evidence for well-designed policy interventions is this key area of education provision. </w:t>
      </w:r>
    </w:p>
    <w:p w14:paraId="6234EC99" w14:textId="77777777" w:rsidR="00940D13" w:rsidRDefault="00940D13" w:rsidP="00940D13">
      <w:pPr>
        <w:jc w:val="both"/>
        <w:rPr>
          <w:rFonts w:asciiTheme="majorHAnsi" w:hAnsiTheme="majorHAnsi" w:cstheme="majorHAnsi"/>
          <w:sz w:val="28"/>
          <w:szCs w:val="28"/>
        </w:rPr>
      </w:pPr>
      <w:r w:rsidRPr="00ED2DDF">
        <w:rPr>
          <w:rFonts w:asciiTheme="majorHAnsi" w:hAnsiTheme="majorHAnsi" w:cstheme="majorHAnsi"/>
          <w:sz w:val="28"/>
          <w:szCs w:val="28"/>
        </w:rPr>
        <w:t xml:space="preserve">Future national school surveys should include additional, more </w:t>
      </w:r>
      <w:r>
        <w:rPr>
          <w:rFonts w:asciiTheme="majorHAnsi" w:hAnsiTheme="majorHAnsi" w:cstheme="majorHAnsi"/>
          <w:sz w:val="28"/>
          <w:szCs w:val="28"/>
        </w:rPr>
        <w:t xml:space="preserve">detailed </w:t>
      </w:r>
      <w:r w:rsidRPr="00ED2DDF">
        <w:rPr>
          <w:rFonts w:asciiTheme="majorHAnsi" w:hAnsiTheme="majorHAnsi" w:cstheme="majorHAnsi"/>
          <w:sz w:val="28"/>
          <w:szCs w:val="28"/>
        </w:rPr>
        <w:t>questions on all key aspects of private tuition and especially key information on school student</w:t>
      </w:r>
      <w:r>
        <w:rPr>
          <w:rFonts w:asciiTheme="majorHAnsi" w:hAnsiTheme="majorHAnsi" w:cstheme="majorHAnsi"/>
          <w:sz w:val="28"/>
          <w:szCs w:val="28"/>
        </w:rPr>
        <w:t xml:space="preserve">s who are receiving </w:t>
      </w:r>
      <w:r w:rsidRPr="00ED2DDF">
        <w:rPr>
          <w:rFonts w:asciiTheme="majorHAnsi" w:hAnsiTheme="majorHAnsi" w:cstheme="majorHAnsi"/>
          <w:sz w:val="28"/>
          <w:szCs w:val="28"/>
        </w:rPr>
        <w:t xml:space="preserve">private tuition and on tuition providers themselves including </w:t>
      </w:r>
      <w:r>
        <w:rPr>
          <w:rFonts w:asciiTheme="majorHAnsi" w:hAnsiTheme="majorHAnsi" w:cstheme="majorHAnsi"/>
          <w:sz w:val="28"/>
          <w:szCs w:val="28"/>
        </w:rPr>
        <w:t xml:space="preserve">delivery modalities, </w:t>
      </w:r>
      <w:r w:rsidRPr="00ED2DDF">
        <w:rPr>
          <w:rFonts w:asciiTheme="majorHAnsi" w:hAnsiTheme="majorHAnsi" w:cstheme="majorHAnsi"/>
          <w:sz w:val="28"/>
          <w:szCs w:val="28"/>
        </w:rPr>
        <w:t>locations</w:t>
      </w:r>
      <w:r>
        <w:rPr>
          <w:rFonts w:asciiTheme="majorHAnsi" w:hAnsiTheme="majorHAnsi" w:cstheme="majorHAnsi"/>
          <w:sz w:val="28"/>
          <w:szCs w:val="28"/>
        </w:rPr>
        <w:t xml:space="preserve"> and tuition costs</w:t>
      </w:r>
      <w:r w:rsidRPr="00ED2DDF">
        <w:rPr>
          <w:rFonts w:asciiTheme="majorHAnsi" w:hAnsiTheme="majorHAnsi" w:cstheme="majorHAnsi"/>
          <w:sz w:val="28"/>
          <w:szCs w:val="28"/>
        </w:rPr>
        <w:t>.</w:t>
      </w:r>
      <w:r>
        <w:rPr>
          <w:rFonts w:asciiTheme="majorHAnsi" w:hAnsiTheme="majorHAnsi" w:cstheme="majorHAnsi"/>
          <w:sz w:val="28"/>
          <w:szCs w:val="28"/>
        </w:rPr>
        <w:t xml:space="preserve"> In addition, carefully designed randomised control trials should be undertaken in order to assess the learning impacts of private tuition.</w:t>
      </w:r>
      <w:r w:rsidRPr="00ED2DDF">
        <w:rPr>
          <w:rFonts w:asciiTheme="majorHAnsi" w:hAnsiTheme="majorHAnsi" w:cstheme="majorHAnsi"/>
          <w:sz w:val="28"/>
          <w:szCs w:val="28"/>
        </w:rPr>
        <w:t xml:space="preserve">   </w:t>
      </w:r>
    </w:p>
    <w:p w14:paraId="35F29372" w14:textId="50D57A7E" w:rsidR="00940D13" w:rsidRPr="00ED2DDF" w:rsidRDefault="00940D13" w:rsidP="00940D13">
      <w:pPr>
        <w:jc w:val="both"/>
        <w:rPr>
          <w:rFonts w:asciiTheme="majorHAnsi" w:hAnsiTheme="majorHAnsi" w:cstheme="majorHAnsi"/>
          <w:sz w:val="28"/>
          <w:szCs w:val="28"/>
        </w:rPr>
      </w:pPr>
    </w:p>
    <w:p w14:paraId="360F44F2" w14:textId="77777777" w:rsidR="00940D13" w:rsidRDefault="00940D13" w:rsidP="00940D13">
      <w:pPr>
        <w:rPr>
          <w:rFonts w:asciiTheme="majorHAnsi" w:hAnsiTheme="majorHAnsi" w:cstheme="majorHAnsi"/>
          <w:sz w:val="28"/>
          <w:szCs w:val="28"/>
        </w:rPr>
      </w:pPr>
      <w:r>
        <w:rPr>
          <w:rFonts w:asciiTheme="majorHAnsi" w:hAnsiTheme="majorHAnsi" w:cstheme="majorHAnsi"/>
          <w:sz w:val="28"/>
          <w:szCs w:val="28"/>
        </w:rPr>
        <w:br w:type="page"/>
      </w:r>
    </w:p>
    <w:p w14:paraId="02D4CB2A" w14:textId="77777777" w:rsidR="00940D13" w:rsidRDefault="00940D13" w:rsidP="00940D13">
      <w:pPr>
        <w:rPr>
          <w:rFonts w:asciiTheme="majorHAnsi" w:hAnsiTheme="majorHAnsi" w:cstheme="majorHAnsi"/>
          <w:sz w:val="28"/>
          <w:szCs w:val="28"/>
        </w:rPr>
      </w:pPr>
    </w:p>
    <w:p w14:paraId="3882B62B" w14:textId="77777777" w:rsidR="00940D13" w:rsidRPr="00CA4714" w:rsidRDefault="00940D13" w:rsidP="00940D13">
      <w:pPr>
        <w:jc w:val="center"/>
        <w:rPr>
          <w:rFonts w:asciiTheme="majorHAnsi" w:hAnsiTheme="majorHAnsi" w:cstheme="majorHAnsi"/>
          <w:sz w:val="28"/>
          <w:szCs w:val="28"/>
        </w:rPr>
      </w:pPr>
      <w:r w:rsidRPr="00CA4714">
        <w:rPr>
          <w:rFonts w:asciiTheme="majorHAnsi" w:hAnsiTheme="majorHAnsi" w:cstheme="majorHAnsi"/>
          <w:sz w:val="28"/>
          <w:szCs w:val="28"/>
        </w:rPr>
        <w:t>REFERENCES</w:t>
      </w:r>
    </w:p>
    <w:p w14:paraId="09935409" w14:textId="78C7DAA4" w:rsidR="00940D13" w:rsidRPr="00CA4714" w:rsidRDefault="00940D13" w:rsidP="00940D13">
      <w:pPr>
        <w:jc w:val="both"/>
        <w:rPr>
          <w:rFonts w:asciiTheme="majorHAnsi" w:hAnsiTheme="majorHAnsi" w:cstheme="majorHAnsi"/>
          <w:sz w:val="28"/>
          <w:szCs w:val="28"/>
        </w:rPr>
      </w:pPr>
      <w:proofErr w:type="spellStart"/>
      <w:r w:rsidRPr="00CA4714">
        <w:rPr>
          <w:rFonts w:asciiTheme="majorHAnsi" w:hAnsiTheme="majorHAnsi" w:cstheme="majorHAnsi"/>
          <w:sz w:val="28"/>
          <w:szCs w:val="28"/>
        </w:rPr>
        <w:t>Amouzou-Glikpa</w:t>
      </w:r>
      <w:bookmarkStart w:id="0" w:name="_GoBack"/>
      <w:bookmarkEnd w:id="0"/>
      <w:proofErr w:type="spellEnd"/>
      <w:r w:rsidRPr="00CA4714">
        <w:rPr>
          <w:rFonts w:asciiTheme="majorHAnsi" w:hAnsiTheme="majorHAnsi" w:cstheme="majorHAnsi"/>
          <w:sz w:val="28"/>
          <w:szCs w:val="28"/>
        </w:rPr>
        <w:t xml:space="preserve">, A. 2018. </w:t>
      </w:r>
      <w:r>
        <w:rPr>
          <w:rFonts w:asciiTheme="majorHAnsi" w:hAnsiTheme="majorHAnsi" w:cstheme="majorHAnsi"/>
          <w:sz w:val="28"/>
          <w:szCs w:val="28"/>
        </w:rPr>
        <w:t>“</w:t>
      </w:r>
      <w:r w:rsidRPr="00CA4714">
        <w:rPr>
          <w:rFonts w:asciiTheme="majorHAnsi" w:hAnsiTheme="majorHAnsi" w:cstheme="majorHAnsi"/>
          <w:sz w:val="28"/>
          <w:szCs w:val="28"/>
        </w:rPr>
        <w:t xml:space="preserve">Le </w:t>
      </w:r>
      <w:proofErr w:type="spellStart"/>
      <w:r w:rsidRPr="00CA4714">
        <w:rPr>
          <w:rFonts w:asciiTheme="majorHAnsi" w:hAnsiTheme="majorHAnsi" w:cstheme="majorHAnsi"/>
          <w:sz w:val="28"/>
          <w:szCs w:val="28"/>
        </w:rPr>
        <w:t>phenomene</w:t>
      </w:r>
      <w:proofErr w:type="spellEnd"/>
      <w:r w:rsidRPr="00CA4714">
        <w:rPr>
          <w:rFonts w:asciiTheme="majorHAnsi" w:hAnsiTheme="majorHAnsi" w:cstheme="majorHAnsi"/>
          <w:sz w:val="28"/>
          <w:szCs w:val="28"/>
        </w:rPr>
        <w:t xml:space="preserve"> des cours des repetition: </w:t>
      </w:r>
      <w:proofErr w:type="spellStart"/>
      <w:r w:rsidRPr="00CA4714">
        <w:rPr>
          <w:rFonts w:asciiTheme="majorHAnsi" w:hAnsiTheme="majorHAnsi" w:cstheme="majorHAnsi"/>
          <w:sz w:val="28"/>
          <w:szCs w:val="28"/>
        </w:rPr>
        <w:t>Quelles</w:t>
      </w:r>
      <w:proofErr w:type="spellEnd"/>
      <w:r w:rsidRPr="00CA4714">
        <w:rPr>
          <w:rFonts w:asciiTheme="majorHAnsi" w:hAnsiTheme="majorHAnsi" w:cstheme="majorHAnsi"/>
          <w:sz w:val="28"/>
          <w:szCs w:val="28"/>
        </w:rPr>
        <w:t xml:space="preserve"> </w:t>
      </w:r>
      <w:proofErr w:type="spellStart"/>
      <w:r w:rsidRPr="00CA4714">
        <w:rPr>
          <w:rFonts w:asciiTheme="majorHAnsi" w:hAnsiTheme="majorHAnsi" w:cstheme="majorHAnsi"/>
          <w:sz w:val="28"/>
          <w:szCs w:val="28"/>
        </w:rPr>
        <w:t>lecteurs</w:t>
      </w:r>
      <w:proofErr w:type="spellEnd"/>
      <w:r w:rsidRPr="00CA4714">
        <w:rPr>
          <w:rFonts w:asciiTheme="majorHAnsi" w:hAnsiTheme="majorHAnsi" w:cstheme="majorHAnsi"/>
          <w:sz w:val="28"/>
          <w:szCs w:val="28"/>
        </w:rPr>
        <w:t xml:space="preserve"> des </w:t>
      </w:r>
      <w:proofErr w:type="spellStart"/>
      <w:r w:rsidRPr="00CA4714">
        <w:rPr>
          <w:rFonts w:asciiTheme="majorHAnsi" w:hAnsiTheme="majorHAnsi" w:cstheme="majorHAnsi"/>
          <w:sz w:val="28"/>
          <w:szCs w:val="28"/>
        </w:rPr>
        <w:t>dynamiques</w:t>
      </w:r>
      <w:proofErr w:type="spellEnd"/>
      <w:r w:rsidRPr="00CA4714">
        <w:rPr>
          <w:rFonts w:asciiTheme="majorHAnsi" w:hAnsiTheme="majorHAnsi" w:cstheme="majorHAnsi"/>
          <w:sz w:val="28"/>
          <w:szCs w:val="28"/>
        </w:rPr>
        <w:t xml:space="preserve"> </w:t>
      </w:r>
      <w:proofErr w:type="spellStart"/>
      <w:r w:rsidRPr="00CA4714">
        <w:rPr>
          <w:rFonts w:asciiTheme="majorHAnsi" w:hAnsiTheme="majorHAnsi" w:cstheme="majorHAnsi"/>
          <w:sz w:val="28"/>
          <w:szCs w:val="28"/>
        </w:rPr>
        <w:t>sociales</w:t>
      </w:r>
      <w:proofErr w:type="spellEnd"/>
      <w:r w:rsidRPr="00CA4714">
        <w:rPr>
          <w:rFonts w:asciiTheme="majorHAnsi" w:hAnsiTheme="majorHAnsi" w:cstheme="majorHAnsi"/>
          <w:sz w:val="28"/>
          <w:szCs w:val="28"/>
        </w:rPr>
        <w:t xml:space="preserve"> de </w:t>
      </w:r>
      <w:proofErr w:type="spellStart"/>
      <w:r w:rsidRPr="00CA4714">
        <w:rPr>
          <w:rFonts w:asciiTheme="majorHAnsi" w:hAnsiTheme="majorHAnsi" w:cstheme="majorHAnsi"/>
          <w:sz w:val="28"/>
          <w:szCs w:val="28"/>
        </w:rPr>
        <w:t>l’education</w:t>
      </w:r>
      <w:proofErr w:type="spellEnd"/>
      <w:r w:rsidRPr="00CA4714">
        <w:rPr>
          <w:rFonts w:asciiTheme="majorHAnsi" w:hAnsiTheme="majorHAnsi" w:cstheme="majorHAnsi"/>
          <w:sz w:val="28"/>
          <w:szCs w:val="28"/>
        </w:rPr>
        <w:t xml:space="preserve"> au Togo?</w:t>
      </w:r>
      <w:proofErr w:type="gramStart"/>
      <w:r>
        <w:rPr>
          <w:rFonts w:asciiTheme="majorHAnsi" w:hAnsiTheme="majorHAnsi" w:cstheme="majorHAnsi"/>
          <w:sz w:val="28"/>
          <w:szCs w:val="28"/>
        </w:rPr>
        <w:t>”</w:t>
      </w:r>
      <w:r w:rsidR="00B343A7">
        <w:rPr>
          <w:rFonts w:asciiTheme="majorHAnsi" w:hAnsiTheme="majorHAnsi" w:cstheme="majorHAnsi"/>
          <w:sz w:val="28"/>
          <w:szCs w:val="28"/>
        </w:rPr>
        <w:t>.</w:t>
      </w:r>
      <w:proofErr w:type="gramEnd"/>
      <w:r w:rsidRPr="00CA4714">
        <w:rPr>
          <w:rFonts w:asciiTheme="majorHAnsi" w:hAnsiTheme="majorHAnsi" w:cstheme="majorHAnsi"/>
          <w:sz w:val="28"/>
          <w:szCs w:val="28"/>
        </w:rPr>
        <w:t xml:space="preserve"> EDUCEM: Revue du Centre </w:t>
      </w:r>
      <w:proofErr w:type="spellStart"/>
      <w:r w:rsidRPr="00CA4714">
        <w:rPr>
          <w:rFonts w:asciiTheme="majorHAnsi" w:hAnsiTheme="majorHAnsi" w:cstheme="majorHAnsi"/>
          <w:sz w:val="28"/>
          <w:szCs w:val="28"/>
        </w:rPr>
        <w:t>d’Etudes</w:t>
      </w:r>
      <w:proofErr w:type="spellEnd"/>
      <w:r w:rsidRPr="00CA4714">
        <w:rPr>
          <w:rFonts w:asciiTheme="majorHAnsi" w:hAnsiTheme="majorHAnsi" w:cstheme="majorHAnsi"/>
          <w:sz w:val="28"/>
          <w:szCs w:val="28"/>
        </w:rPr>
        <w:t xml:space="preserve"> </w:t>
      </w:r>
      <w:proofErr w:type="gramStart"/>
      <w:r w:rsidRPr="00CA4714">
        <w:rPr>
          <w:rFonts w:asciiTheme="majorHAnsi" w:hAnsiTheme="majorHAnsi" w:cstheme="majorHAnsi"/>
          <w:sz w:val="28"/>
          <w:szCs w:val="28"/>
        </w:rPr>
        <w:t>et</w:t>
      </w:r>
      <w:proofErr w:type="gramEnd"/>
      <w:r w:rsidRPr="00CA4714">
        <w:rPr>
          <w:rFonts w:asciiTheme="majorHAnsi" w:hAnsiTheme="majorHAnsi" w:cstheme="majorHAnsi"/>
          <w:sz w:val="28"/>
          <w:szCs w:val="28"/>
        </w:rPr>
        <w:t xml:space="preserve"> de </w:t>
      </w:r>
      <w:proofErr w:type="spellStart"/>
      <w:r w:rsidRPr="00CA4714">
        <w:rPr>
          <w:rFonts w:asciiTheme="majorHAnsi" w:hAnsiTheme="majorHAnsi" w:cstheme="majorHAnsi"/>
          <w:sz w:val="28"/>
          <w:szCs w:val="28"/>
        </w:rPr>
        <w:t>Recherches</w:t>
      </w:r>
      <w:proofErr w:type="spellEnd"/>
      <w:r w:rsidRPr="00CA4714">
        <w:rPr>
          <w:rFonts w:asciiTheme="majorHAnsi" w:hAnsiTheme="majorHAnsi" w:cstheme="majorHAnsi"/>
          <w:sz w:val="28"/>
          <w:szCs w:val="28"/>
        </w:rPr>
        <w:t xml:space="preserve"> sur les Organisations, la Communication et </w:t>
      </w:r>
      <w:proofErr w:type="spellStart"/>
      <w:r w:rsidRPr="00CA4714">
        <w:rPr>
          <w:rFonts w:asciiTheme="majorHAnsi" w:hAnsiTheme="majorHAnsi" w:cstheme="majorHAnsi"/>
          <w:sz w:val="28"/>
          <w:szCs w:val="28"/>
        </w:rPr>
        <w:t>l‘Education</w:t>
      </w:r>
      <w:proofErr w:type="spellEnd"/>
      <w:r w:rsidRPr="00CA4714">
        <w:rPr>
          <w:rFonts w:asciiTheme="majorHAnsi" w:hAnsiTheme="majorHAnsi" w:cstheme="majorHAnsi"/>
          <w:sz w:val="28"/>
          <w:szCs w:val="28"/>
        </w:rPr>
        <w:t xml:space="preserve"> (CEROCE) du </w:t>
      </w:r>
      <w:proofErr w:type="spellStart"/>
      <w:r w:rsidRPr="00CA4714">
        <w:rPr>
          <w:rFonts w:asciiTheme="majorHAnsi" w:hAnsiTheme="majorHAnsi" w:cstheme="majorHAnsi"/>
          <w:sz w:val="28"/>
          <w:szCs w:val="28"/>
        </w:rPr>
        <w:t>l’Universite</w:t>
      </w:r>
      <w:proofErr w:type="spellEnd"/>
      <w:r w:rsidRPr="00CA4714">
        <w:rPr>
          <w:rFonts w:asciiTheme="majorHAnsi" w:hAnsiTheme="majorHAnsi" w:cstheme="majorHAnsi"/>
          <w:sz w:val="28"/>
          <w:szCs w:val="28"/>
        </w:rPr>
        <w:t xml:space="preserve"> de </w:t>
      </w:r>
      <w:proofErr w:type="spellStart"/>
      <w:r w:rsidRPr="00CA4714">
        <w:rPr>
          <w:rFonts w:asciiTheme="majorHAnsi" w:hAnsiTheme="majorHAnsi" w:cstheme="majorHAnsi"/>
          <w:sz w:val="28"/>
          <w:szCs w:val="28"/>
        </w:rPr>
        <w:t>Lome</w:t>
      </w:r>
      <w:proofErr w:type="spellEnd"/>
      <w:r w:rsidRPr="00CA4714">
        <w:rPr>
          <w:rFonts w:asciiTheme="majorHAnsi" w:hAnsiTheme="majorHAnsi" w:cstheme="majorHAnsi"/>
          <w:sz w:val="28"/>
          <w:szCs w:val="28"/>
        </w:rPr>
        <w:t>, no. 8:110-135.</w:t>
      </w:r>
    </w:p>
    <w:p w14:paraId="740BA187" w14:textId="77777777" w:rsidR="00940D13"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Bray, M. 2021. Shadow education in Africa: Private supplementary tutoring and its policy implications. UNESCO, Paris.</w:t>
      </w:r>
    </w:p>
    <w:p w14:paraId="768C2654" w14:textId="4D36F232" w:rsidR="003868EE" w:rsidRPr="00CA4714" w:rsidRDefault="003868EE" w:rsidP="00940D13">
      <w:pPr>
        <w:jc w:val="both"/>
        <w:rPr>
          <w:rFonts w:asciiTheme="majorHAnsi" w:hAnsiTheme="majorHAnsi" w:cstheme="majorHAnsi"/>
          <w:sz w:val="28"/>
          <w:szCs w:val="28"/>
        </w:rPr>
      </w:pPr>
      <w:r>
        <w:rPr>
          <w:rFonts w:asciiTheme="majorHAnsi" w:hAnsiTheme="majorHAnsi" w:cstheme="majorHAnsi"/>
          <w:sz w:val="28"/>
          <w:szCs w:val="28"/>
        </w:rPr>
        <w:t>Bray, M. 2020. Shadow education in Europe: Growing prevalence</w:t>
      </w:r>
      <w:r w:rsidR="000F0500">
        <w:rPr>
          <w:rFonts w:asciiTheme="majorHAnsi" w:hAnsiTheme="majorHAnsi" w:cstheme="majorHAnsi"/>
          <w:sz w:val="28"/>
          <w:szCs w:val="28"/>
        </w:rPr>
        <w:t>, underlying forces and policy im</w:t>
      </w:r>
      <w:r w:rsidR="00B343A7">
        <w:rPr>
          <w:rFonts w:asciiTheme="majorHAnsi" w:hAnsiTheme="majorHAnsi" w:cstheme="majorHAnsi"/>
          <w:sz w:val="28"/>
          <w:szCs w:val="28"/>
        </w:rPr>
        <w:t>p</w:t>
      </w:r>
      <w:r w:rsidR="000F0500">
        <w:rPr>
          <w:rFonts w:asciiTheme="majorHAnsi" w:hAnsiTheme="majorHAnsi" w:cstheme="majorHAnsi"/>
          <w:sz w:val="28"/>
          <w:szCs w:val="28"/>
        </w:rPr>
        <w:t>lications. ECNU Review of Education, East China Normal University, vol. 3.</w:t>
      </w:r>
    </w:p>
    <w:p w14:paraId="452765AE" w14:textId="00B9F3BA" w:rsidR="003868EE" w:rsidRDefault="003868EE" w:rsidP="00940D13">
      <w:pPr>
        <w:jc w:val="both"/>
        <w:rPr>
          <w:rFonts w:asciiTheme="majorHAnsi" w:hAnsiTheme="majorHAnsi" w:cstheme="majorHAnsi"/>
          <w:sz w:val="28"/>
          <w:szCs w:val="28"/>
        </w:rPr>
      </w:pPr>
      <w:r>
        <w:rPr>
          <w:rFonts w:asciiTheme="majorHAnsi" w:hAnsiTheme="majorHAnsi" w:cstheme="majorHAnsi"/>
          <w:sz w:val="28"/>
          <w:szCs w:val="28"/>
        </w:rPr>
        <w:t xml:space="preserve">Bray, M., </w:t>
      </w:r>
      <w:proofErr w:type="spellStart"/>
      <w:r>
        <w:rPr>
          <w:rFonts w:asciiTheme="majorHAnsi" w:hAnsiTheme="majorHAnsi" w:cstheme="majorHAnsi"/>
          <w:sz w:val="28"/>
          <w:szCs w:val="28"/>
        </w:rPr>
        <w:t>Lykins</w:t>
      </w:r>
      <w:proofErr w:type="spellEnd"/>
      <w:r>
        <w:rPr>
          <w:rFonts w:asciiTheme="majorHAnsi" w:hAnsiTheme="majorHAnsi" w:cstheme="majorHAnsi"/>
          <w:sz w:val="28"/>
          <w:szCs w:val="28"/>
        </w:rPr>
        <w:t>, C. 2012. Shadow education: Private supplementary tutoring and its implications fo</w:t>
      </w:r>
      <w:r w:rsidR="00B343A7">
        <w:rPr>
          <w:rFonts w:asciiTheme="majorHAnsi" w:hAnsiTheme="majorHAnsi" w:cstheme="majorHAnsi"/>
          <w:sz w:val="28"/>
          <w:szCs w:val="28"/>
        </w:rPr>
        <w:t xml:space="preserve">r policymakers in Asia. </w:t>
      </w:r>
      <w:proofErr w:type="spellStart"/>
      <w:r w:rsidR="00B343A7">
        <w:rPr>
          <w:rFonts w:asciiTheme="majorHAnsi" w:hAnsiTheme="majorHAnsi" w:cstheme="majorHAnsi"/>
          <w:sz w:val="28"/>
          <w:szCs w:val="28"/>
        </w:rPr>
        <w:t>Mandaluy</w:t>
      </w:r>
      <w:r>
        <w:rPr>
          <w:rFonts w:asciiTheme="majorHAnsi" w:hAnsiTheme="majorHAnsi" w:cstheme="majorHAnsi"/>
          <w:sz w:val="28"/>
          <w:szCs w:val="28"/>
        </w:rPr>
        <w:t>ong</w:t>
      </w:r>
      <w:proofErr w:type="spellEnd"/>
      <w:r>
        <w:rPr>
          <w:rFonts w:asciiTheme="majorHAnsi" w:hAnsiTheme="majorHAnsi" w:cstheme="majorHAnsi"/>
          <w:sz w:val="28"/>
          <w:szCs w:val="28"/>
        </w:rPr>
        <w:t xml:space="preserve"> City, Asian Development Bank and Hong Kong Comparative Education Research Centre, </w:t>
      </w:r>
      <w:proofErr w:type="gramStart"/>
      <w:r>
        <w:rPr>
          <w:rFonts w:asciiTheme="majorHAnsi" w:hAnsiTheme="majorHAnsi" w:cstheme="majorHAnsi"/>
          <w:sz w:val="28"/>
          <w:szCs w:val="28"/>
        </w:rPr>
        <w:t>The</w:t>
      </w:r>
      <w:proofErr w:type="gramEnd"/>
      <w:r>
        <w:rPr>
          <w:rFonts w:asciiTheme="majorHAnsi" w:hAnsiTheme="majorHAnsi" w:cstheme="majorHAnsi"/>
          <w:sz w:val="28"/>
          <w:szCs w:val="28"/>
        </w:rPr>
        <w:t xml:space="preserve"> University of Hong Kong.</w:t>
      </w:r>
    </w:p>
    <w:p w14:paraId="7D40A416" w14:textId="77777777" w:rsidR="00940D13" w:rsidRDefault="00940D13" w:rsidP="00940D13">
      <w:pPr>
        <w:jc w:val="both"/>
        <w:rPr>
          <w:rFonts w:asciiTheme="majorHAnsi" w:hAnsiTheme="majorHAnsi" w:cstheme="majorHAnsi"/>
          <w:sz w:val="28"/>
          <w:szCs w:val="28"/>
        </w:rPr>
      </w:pPr>
      <w:r w:rsidRPr="00CA4714">
        <w:rPr>
          <w:rFonts w:asciiTheme="majorHAnsi" w:hAnsiTheme="majorHAnsi" w:cstheme="majorHAnsi"/>
          <w:sz w:val="28"/>
          <w:szCs w:val="28"/>
        </w:rPr>
        <w:t>Bray, M. 1999. The shadow education system: Private tutoring and its implications for planners. UNESCO, Paris.</w:t>
      </w:r>
    </w:p>
    <w:p w14:paraId="33E3DD80" w14:textId="4A6CDBBE" w:rsidR="00940D13"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Buchmann, C. 2002. “Getting ahead in Kenya: Social capital, shadow education and achievement”. In Fuller, B., </w:t>
      </w:r>
      <w:proofErr w:type="spellStart"/>
      <w:r>
        <w:rPr>
          <w:rFonts w:asciiTheme="majorHAnsi" w:hAnsiTheme="majorHAnsi" w:cstheme="majorHAnsi"/>
          <w:sz w:val="28"/>
          <w:szCs w:val="28"/>
        </w:rPr>
        <w:t>Hannum</w:t>
      </w:r>
      <w:proofErr w:type="spellEnd"/>
      <w:r>
        <w:rPr>
          <w:rFonts w:asciiTheme="majorHAnsi" w:hAnsiTheme="majorHAnsi" w:cstheme="majorHAnsi"/>
          <w:sz w:val="28"/>
          <w:szCs w:val="28"/>
        </w:rPr>
        <w:t>, E. (eds</w:t>
      </w:r>
      <w:r w:rsidR="00B343A7">
        <w:rPr>
          <w:rFonts w:asciiTheme="majorHAnsi" w:hAnsiTheme="majorHAnsi" w:cstheme="majorHAnsi"/>
          <w:sz w:val="28"/>
          <w:szCs w:val="28"/>
        </w:rPr>
        <w:t>.)</w:t>
      </w:r>
      <w:r>
        <w:rPr>
          <w:rFonts w:asciiTheme="majorHAnsi" w:hAnsiTheme="majorHAnsi" w:cstheme="majorHAnsi"/>
          <w:sz w:val="28"/>
          <w:szCs w:val="28"/>
        </w:rPr>
        <w:t xml:space="preserve"> Schooling and social capital in diverse cultures. Amsterdam, JAI Press. Pp. 133-159. </w:t>
      </w:r>
    </w:p>
    <w:p w14:paraId="47B53491" w14:textId="77777777" w:rsidR="00940D13" w:rsidRDefault="00940D13" w:rsidP="00940D13">
      <w:pPr>
        <w:jc w:val="both"/>
        <w:rPr>
          <w:rFonts w:asciiTheme="majorHAnsi" w:hAnsiTheme="majorHAnsi" w:cstheme="majorHAnsi"/>
          <w:sz w:val="28"/>
          <w:szCs w:val="28"/>
        </w:rPr>
      </w:pPr>
      <w:r>
        <w:rPr>
          <w:rFonts w:asciiTheme="majorHAnsi" w:hAnsiTheme="majorHAnsi" w:cstheme="majorHAnsi"/>
          <w:sz w:val="28"/>
          <w:szCs w:val="28"/>
        </w:rPr>
        <w:t>Buchmann, C. 1999. “The state and schooling in Kenya: Historical developments and current challenges”. Africa Today, 46 (1): 95-117.</w:t>
      </w:r>
    </w:p>
    <w:p w14:paraId="0DAE79F1" w14:textId="77777777" w:rsidR="00940D13"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Central Statistical Office and ORC Macro. 2003. Zambia DHS </w:t>
      </w:r>
      <w:proofErr w:type="spellStart"/>
      <w:r>
        <w:rPr>
          <w:rFonts w:asciiTheme="majorHAnsi" w:hAnsiTheme="majorHAnsi" w:cstheme="majorHAnsi"/>
          <w:sz w:val="28"/>
          <w:szCs w:val="28"/>
        </w:rPr>
        <w:t>Eddata</w:t>
      </w:r>
      <w:proofErr w:type="spellEnd"/>
      <w:r>
        <w:rPr>
          <w:rFonts w:asciiTheme="majorHAnsi" w:hAnsiTheme="majorHAnsi" w:cstheme="majorHAnsi"/>
          <w:sz w:val="28"/>
          <w:szCs w:val="28"/>
        </w:rPr>
        <w:t xml:space="preserve"> Survey 2002. Education data for decision making. Lusaka, CSO.</w:t>
      </w:r>
    </w:p>
    <w:p w14:paraId="7988CF2A" w14:textId="77777777" w:rsidR="00940D13"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Chionga, N.C.B. 2016. As </w:t>
      </w:r>
      <w:proofErr w:type="spellStart"/>
      <w:r>
        <w:rPr>
          <w:rFonts w:asciiTheme="majorHAnsi" w:hAnsiTheme="majorHAnsi" w:cstheme="majorHAnsi"/>
          <w:sz w:val="28"/>
          <w:szCs w:val="28"/>
        </w:rPr>
        <w:t>explicacoes</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Seu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impacto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sobre</w:t>
      </w:r>
      <w:proofErr w:type="spellEnd"/>
      <w:r>
        <w:rPr>
          <w:rFonts w:asciiTheme="majorHAnsi" w:hAnsiTheme="majorHAnsi" w:cstheme="majorHAnsi"/>
          <w:sz w:val="28"/>
          <w:szCs w:val="28"/>
        </w:rPr>
        <w:t xml:space="preserve"> o </w:t>
      </w:r>
      <w:proofErr w:type="spellStart"/>
      <w:r>
        <w:rPr>
          <w:rFonts w:asciiTheme="majorHAnsi" w:hAnsiTheme="majorHAnsi" w:cstheme="majorHAnsi"/>
          <w:sz w:val="28"/>
          <w:szCs w:val="28"/>
        </w:rPr>
        <w:t>succeso</w:t>
      </w:r>
      <w:proofErr w:type="spellEnd"/>
      <w:r>
        <w:rPr>
          <w:rFonts w:asciiTheme="majorHAnsi" w:hAnsiTheme="majorHAnsi" w:cstheme="majorHAnsi"/>
          <w:sz w:val="28"/>
          <w:szCs w:val="28"/>
        </w:rPr>
        <w:t xml:space="preserve"> escolar e o </w:t>
      </w:r>
      <w:proofErr w:type="spellStart"/>
      <w:r>
        <w:rPr>
          <w:rFonts w:asciiTheme="majorHAnsi" w:hAnsiTheme="majorHAnsi" w:cstheme="majorHAnsi"/>
          <w:sz w:val="28"/>
          <w:szCs w:val="28"/>
        </w:rPr>
        <w:t>alargamento</w:t>
      </w:r>
      <w:proofErr w:type="spellEnd"/>
      <w:r>
        <w:rPr>
          <w:rFonts w:asciiTheme="majorHAnsi" w:hAnsiTheme="majorHAnsi" w:cstheme="majorHAnsi"/>
          <w:sz w:val="28"/>
          <w:szCs w:val="28"/>
        </w:rPr>
        <w:t xml:space="preserve"> da </w:t>
      </w:r>
      <w:proofErr w:type="spellStart"/>
      <w:r>
        <w:rPr>
          <w:rFonts w:asciiTheme="majorHAnsi" w:hAnsiTheme="majorHAnsi" w:cstheme="majorHAnsi"/>
          <w:sz w:val="28"/>
          <w:szCs w:val="28"/>
        </w:rPr>
        <w:t>classe</w:t>
      </w:r>
      <w:proofErr w:type="spellEnd"/>
      <w:r>
        <w:rPr>
          <w:rFonts w:asciiTheme="majorHAnsi" w:hAnsiTheme="majorHAnsi" w:cstheme="majorHAnsi"/>
          <w:sz w:val="28"/>
          <w:szCs w:val="28"/>
        </w:rPr>
        <w:t xml:space="preserve"> media </w:t>
      </w:r>
      <w:proofErr w:type="spellStart"/>
      <w:r>
        <w:rPr>
          <w:rFonts w:asciiTheme="majorHAnsi" w:hAnsiTheme="majorHAnsi" w:cstheme="majorHAnsi"/>
          <w:sz w:val="28"/>
          <w:szCs w:val="28"/>
        </w:rPr>
        <w:t>em</w:t>
      </w:r>
      <w:proofErr w:type="spellEnd"/>
      <w:r>
        <w:rPr>
          <w:rFonts w:asciiTheme="majorHAnsi" w:hAnsiTheme="majorHAnsi" w:cstheme="majorHAnsi"/>
          <w:sz w:val="28"/>
          <w:szCs w:val="28"/>
        </w:rPr>
        <w:t xml:space="preserve"> Angola. Masters dissertation. University of Minho.</w:t>
      </w:r>
    </w:p>
    <w:p w14:paraId="10807C71" w14:textId="3B5D090D" w:rsidR="00940D13" w:rsidRDefault="00B343A7" w:rsidP="00940D13">
      <w:pPr>
        <w:jc w:val="both"/>
        <w:rPr>
          <w:rFonts w:asciiTheme="majorHAnsi" w:hAnsiTheme="majorHAnsi" w:cstheme="majorHAnsi"/>
          <w:sz w:val="28"/>
          <w:szCs w:val="28"/>
        </w:rPr>
      </w:pPr>
      <w:r>
        <w:rPr>
          <w:rFonts w:asciiTheme="majorHAnsi" w:hAnsiTheme="majorHAnsi" w:cstheme="majorHAnsi"/>
          <w:sz w:val="28"/>
          <w:szCs w:val="28"/>
        </w:rPr>
        <w:t>Eilor, J. 2007. “I</w:t>
      </w:r>
      <w:r w:rsidR="00940D13">
        <w:rPr>
          <w:rFonts w:asciiTheme="majorHAnsi" w:hAnsiTheme="majorHAnsi" w:cstheme="majorHAnsi"/>
          <w:sz w:val="28"/>
          <w:szCs w:val="28"/>
        </w:rPr>
        <w:t>s coaching a challenge to Uganda’s education system?</w:t>
      </w:r>
      <w:r>
        <w:rPr>
          <w:rFonts w:asciiTheme="majorHAnsi" w:hAnsiTheme="majorHAnsi" w:cstheme="majorHAnsi"/>
          <w:sz w:val="28"/>
          <w:szCs w:val="28"/>
        </w:rPr>
        <w:t>”</w:t>
      </w:r>
      <w:r w:rsidR="00940D13">
        <w:rPr>
          <w:rFonts w:asciiTheme="majorHAnsi" w:hAnsiTheme="majorHAnsi" w:cstheme="majorHAnsi"/>
          <w:sz w:val="28"/>
          <w:szCs w:val="28"/>
        </w:rPr>
        <w:t xml:space="preserve"> Paper for the policy forum’ Confronting the shadow education system: What government policies for what private tutoring?</w:t>
      </w:r>
      <w:r>
        <w:rPr>
          <w:rFonts w:asciiTheme="majorHAnsi" w:hAnsiTheme="majorHAnsi" w:cstheme="majorHAnsi"/>
          <w:sz w:val="28"/>
          <w:szCs w:val="28"/>
        </w:rPr>
        <w:t>”</w:t>
      </w:r>
      <w:r w:rsidR="00940D13">
        <w:rPr>
          <w:rFonts w:asciiTheme="majorHAnsi" w:hAnsiTheme="majorHAnsi" w:cstheme="majorHAnsi"/>
          <w:sz w:val="28"/>
          <w:szCs w:val="28"/>
        </w:rPr>
        <w:t xml:space="preserve"> SEM 279. Paris, UNESCO, IIEP.</w:t>
      </w:r>
    </w:p>
    <w:p w14:paraId="2C32AA08" w14:textId="479C10CA" w:rsidR="00940D13" w:rsidRPr="00CA4714"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Getange, K. N., Obar, E. 2016. “Implications for private supplementary tuition on students’ academic performance in secondary education in </w:t>
      </w:r>
      <w:proofErr w:type="spellStart"/>
      <w:r>
        <w:rPr>
          <w:rFonts w:asciiTheme="majorHAnsi" w:hAnsiTheme="majorHAnsi" w:cstheme="majorHAnsi"/>
          <w:sz w:val="28"/>
          <w:szCs w:val="28"/>
        </w:rPr>
        <w:t>Awendo</w:t>
      </w:r>
      <w:proofErr w:type="spellEnd"/>
      <w:r>
        <w:rPr>
          <w:rFonts w:asciiTheme="majorHAnsi" w:hAnsiTheme="majorHAnsi" w:cstheme="majorHAnsi"/>
          <w:sz w:val="28"/>
          <w:szCs w:val="28"/>
        </w:rPr>
        <w:t xml:space="preserve"> sub-county, </w:t>
      </w:r>
      <w:proofErr w:type="spellStart"/>
      <w:r>
        <w:rPr>
          <w:rFonts w:asciiTheme="majorHAnsi" w:hAnsiTheme="majorHAnsi" w:cstheme="majorHAnsi"/>
          <w:sz w:val="28"/>
          <w:szCs w:val="28"/>
        </w:rPr>
        <w:lastRenderedPageBreak/>
        <w:t>Migori</w:t>
      </w:r>
      <w:proofErr w:type="spellEnd"/>
      <w:r>
        <w:rPr>
          <w:rFonts w:asciiTheme="majorHAnsi" w:hAnsiTheme="majorHAnsi" w:cstheme="majorHAnsi"/>
          <w:sz w:val="28"/>
          <w:szCs w:val="28"/>
        </w:rPr>
        <w:t xml:space="preserve"> County, Kenya”. International Journ</w:t>
      </w:r>
      <w:r w:rsidR="00B343A7">
        <w:rPr>
          <w:rFonts w:asciiTheme="majorHAnsi" w:hAnsiTheme="majorHAnsi" w:cstheme="majorHAnsi"/>
          <w:sz w:val="28"/>
          <w:szCs w:val="28"/>
        </w:rPr>
        <w:t>a</w:t>
      </w:r>
      <w:r>
        <w:rPr>
          <w:rFonts w:asciiTheme="majorHAnsi" w:hAnsiTheme="majorHAnsi" w:cstheme="majorHAnsi"/>
          <w:sz w:val="28"/>
          <w:szCs w:val="28"/>
        </w:rPr>
        <w:t>l of Novel Research in Education and Learning, 3(3): 5-21.</w:t>
      </w:r>
    </w:p>
    <w:p w14:paraId="2EB1CA7A" w14:textId="77777777" w:rsidR="00940D13" w:rsidRDefault="00940D13" w:rsidP="00940D13">
      <w:pPr>
        <w:jc w:val="both"/>
        <w:rPr>
          <w:rFonts w:asciiTheme="majorHAnsi" w:hAnsiTheme="majorHAnsi" w:cstheme="majorHAnsi"/>
          <w:sz w:val="28"/>
          <w:szCs w:val="28"/>
        </w:rPr>
      </w:pPr>
      <w:proofErr w:type="spellStart"/>
      <w:r w:rsidRPr="00CA4714">
        <w:rPr>
          <w:rFonts w:asciiTheme="majorHAnsi" w:hAnsiTheme="majorHAnsi" w:cstheme="majorHAnsi"/>
          <w:sz w:val="28"/>
          <w:szCs w:val="28"/>
        </w:rPr>
        <w:t>Houessou</w:t>
      </w:r>
      <w:proofErr w:type="spellEnd"/>
      <w:r w:rsidRPr="00CA4714">
        <w:rPr>
          <w:rFonts w:asciiTheme="majorHAnsi" w:hAnsiTheme="majorHAnsi" w:cstheme="majorHAnsi"/>
          <w:sz w:val="28"/>
          <w:szCs w:val="28"/>
        </w:rPr>
        <w:t xml:space="preserve">, 2014. “La repetition a domicile </w:t>
      </w:r>
      <w:proofErr w:type="spellStart"/>
      <w:r w:rsidRPr="00CA4714">
        <w:rPr>
          <w:rFonts w:asciiTheme="majorHAnsi" w:hAnsiTheme="majorHAnsi" w:cstheme="majorHAnsi"/>
          <w:sz w:val="28"/>
          <w:szCs w:val="28"/>
        </w:rPr>
        <w:t>comme</w:t>
      </w:r>
      <w:proofErr w:type="spellEnd"/>
      <w:r w:rsidRPr="00CA4714">
        <w:rPr>
          <w:rFonts w:asciiTheme="majorHAnsi" w:hAnsiTheme="majorHAnsi" w:cstheme="majorHAnsi"/>
          <w:sz w:val="28"/>
          <w:szCs w:val="28"/>
        </w:rPr>
        <w:t xml:space="preserve"> </w:t>
      </w:r>
      <w:proofErr w:type="spellStart"/>
      <w:r w:rsidRPr="00CA4714">
        <w:rPr>
          <w:rFonts w:asciiTheme="majorHAnsi" w:hAnsiTheme="majorHAnsi" w:cstheme="majorHAnsi"/>
          <w:sz w:val="28"/>
          <w:szCs w:val="28"/>
        </w:rPr>
        <w:t>soutien</w:t>
      </w:r>
      <w:proofErr w:type="spellEnd"/>
      <w:r w:rsidRPr="00CA4714">
        <w:rPr>
          <w:rFonts w:asciiTheme="majorHAnsi" w:hAnsiTheme="majorHAnsi" w:cstheme="majorHAnsi"/>
          <w:sz w:val="28"/>
          <w:szCs w:val="28"/>
        </w:rPr>
        <w:t xml:space="preserve"> </w:t>
      </w:r>
      <w:proofErr w:type="spellStart"/>
      <w:r w:rsidRPr="00CA4714">
        <w:rPr>
          <w:rFonts w:asciiTheme="majorHAnsi" w:hAnsiTheme="majorHAnsi" w:cstheme="majorHAnsi"/>
          <w:sz w:val="28"/>
          <w:szCs w:val="28"/>
        </w:rPr>
        <w:t>scolaire</w:t>
      </w:r>
      <w:proofErr w:type="spellEnd"/>
      <w:r w:rsidRPr="00CA4714">
        <w:rPr>
          <w:rFonts w:asciiTheme="majorHAnsi" w:hAnsiTheme="majorHAnsi" w:cstheme="majorHAnsi"/>
          <w:sz w:val="28"/>
          <w:szCs w:val="28"/>
        </w:rPr>
        <w:t xml:space="preserve"> au Benin”. Science </w:t>
      </w:r>
      <w:proofErr w:type="spellStart"/>
      <w:r w:rsidRPr="00CA4714">
        <w:rPr>
          <w:rFonts w:asciiTheme="majorHAnsi" w:hAnsiTheme="majorHAnsi" w:cstheme="majorHAnsi"/>
          <w:sz w:val="28"/>
          <w:szCs w:val="28"/>
        </w:rPr>
        <w:t>Humaines</w:t>
      </w:r>
      <w:proofErr w:type="spellEnd"/>
      <w:r w:rsidRPr="00CA4714">
        <w:rPr>
          <w:rFonts w:asciiTheme="majorHAnsi" w:hAnsiTheme="majorHAnsi" w:cstheme="majorHAnsi"/>
          <w:sz w:val="28"/>
          <w:szCs w:val="28"/>
        </w:rPr>
        <w:t>, 1, 2: 184-200.</w:t>
      </w:r>
    </w:p>
    <w:p w14:paraId="75B16E6D" w14:textId="46A06B71" w:rsidR="00940D13" w:rsidRPr="00CA4714"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Melese, T., Abebe, K.M. 2017. </w:t>
      </w:r>
      <w:r w:rsidR="00B343A7">
        <w:rPr>
          <w:rFonts w:asciiTheme="majorHAnsi" w:hAnsiTheme="majorHAnsi" w:cstheme="majorHAnsi"/>
          <w:sz w:val="28"/>
          <w:szCs w:val="28"/>
        </w:rPr>
        <w:t>“</w:t>
      </w:r>
      <w:r>
        <w:rPr>
          <w:rFonts w:asciiTheme="majorHAnsi" w:hAnsiTheme="majorHAnsi" w:cstheme="majorHAnsi"/>
          <w:sz w:val="28"/>
          <w:szCs w:val="28"/>
        </w:rPr>
        <w:t>Perceived impact of supplementary private tutoring on students: The</w:t>
      </w:r>
      <w:r w:rsidR="00B343A7">
        <w:rPr>
          <w:rFonts w:asciiTheme="majorHAnsi" w:hAnsiTheme="majorHAnsi" w:cstheme="majorHAnsi"/>
          <w:sz w:val="28"/>
          <w:szCs w:val="28"/>
        </w:rPr>
        <w:t xml:space="preserve"> case of upper primary students”.</w:t>
      </w:r>
      <w:r>
        <w:rPr>
          <w:rFonts w:asciiTheme="majorHAnsi" w:hAnsiTheme="majorHAnsi" w:cstheme="majorHAnsi"/>
          <w:sz w:val="28"/>
          <w:szCs w:val="28"/>
        </w:rPr>
        <w:t xml:space="preserve"> International Journal of Education, 9(4): 43-61. </w:t>
      </w:r>
    </w:p>
    <w:p w14:paraId="32E65012" w14:textId="1941C064" w:rsidR="00940D13"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Montgomery, M.R., </w:t>
      </w:r>
      <w:proofErr w:type="spellStart"/>
      <w:r>
        <w:rPr>
          <w:rFonts w:asciiTheme="majorHAnsi" w:hAnsiTheme="majorHAnsi" w:cstheme="majorHAnsi"/>
          <w:sz w:val="28"/>
          <w:szCs w:val="28"/>
        </w:rPr>
        <w:t>Agyeman</w:t>
      </w:r>
      <w:proofErr w:type="spellEnd"/>
      <w:r>
        <w:rPr>
          <w:rFonts w:asciiTheme="majorHAnsi" w:hAnsiTheme="majorHAnsi" w:cstheme="majorHAnsi"/>
          <w:sz w:val="28"/>
          <w:szCs w:val="28"/>
        </w:rPr>
        <w:t xml:space="preserve">, D., </w:t>
      </w:r>
      <w:proofErr w:type="spellStart"/>
      <w:r>
        <w:rPr>
          <w:rFonts w:asciiTheme="majorHAnsi" w:hAnsiTheme="majorHAnsi" w:cstheme="majorHAnsi"/>
          <w:sz w:val="28"/>
          <w:szCs w:val="28"/>
        </w:rPr>
        <w:t>Aglobitse</w:t>
      </w:r>
      <w:proofErr w:type="spellEnd"/>
      <w:r>
        <w:rPr>
          <w:rFonts w:asciiTheme="majorHAnsi" w:hAnsiTheme="majorHAnsi" w:cstheme="majorHAnsi"/>
          <w:sz w:val="28"/>
          <w:szCs w:val="28"/>
        </w:rPr>
        <w:t>, P.B.</w:t>
      </w:r>
      <w:proofErr w:type="gramStart"/>
      <w:r>
        <w:rPr>
          <w:rFonts w:asciiTheme="majorHAnsi" w:hAnsiTheme="majorHAnsi" w:cstheme="majorHAnsi"/>
          <w:sz w:val="28"/>
          <w:szCs w:val="28"/>
        </w:rPr>
        <w:t>,</w:t>
      </w:r>
      <w:proofErr w:type="spellStart"/>
      <w:r>
        <w:rPr>
          <w:rFonts w:asciiTheme="majorHAnsi" w:hAnsiTheme="majorHAnsi" w:cstheme="majorHAnsi"/>
          <w:sz w:val="28"/>
          <w:szCs w:val="28"/>
        </w:rPr>
        <w:t>Heiland</w:t>
      </w:r>
      <w:proofErr w:type="spellEnd"/>
      <w:proofErr w:type="gramEnd"/>
      <w:r>
        <w:rPr>
          <w:rFonts w:asciiTheme="majorHAnsi" w:hAnsiTheme="majorHAnsi" w:cstheme="majorHAnsi"/>
          <w:sz w:val="28"/>
          <w:szCs w:val="28"/>
        </w:rPr>
        <w:t>, F. 2000. New eleme</w:t>
      </w:r>
      <w:r w:rsidR="00B343A7">
        <w:rPr>
          <w:rFonts w:asciiTheme="majorHAnsi" w:hAnsiTheme="majorHAnsi" w:cstheme="majorHAnsi"/>
          <w:sz w:val="28"/>
          <w:szCs w:val="28"/>
        </w:rPr>
        <w:t>nts of the cost of the children</w:t>
      </w:r>
      <w:r>
        <w:rPr>
          <w:rFonts w:asciiTheme="majorHAnsi" w:hAnsiTheme="majorHAnsi" w:cstheme="majorHAnsi"/>
          <w:sz w:val="28"/>
          <w:szCs w:val="28"/>
        </w:rPr>
        <w:t>: Supplementary schooling in Ghana. Washington D.C., Futures Group International.</w:t>
      </w:r>
    </w:p>
    <w:p w14:paraId="489AA1C6" w14:textId="77777777" w:rsidR="00940D13"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National Population Commission and ORC Macro. 2004. DHS </w:t>
      </w:r>
      <w:proofErr w:type="spellStart"/>
      <w:r>
        <w:rPr>
          <w:rFonts w:asciiTheme="majorHAnsi" w:hAnsiTheme="majorHAnsi" w:cstheme="majorHAnsi"/>
          <w:sz w:val="28"/>
          <w:szCs w:val="28"/>
        </w:rPr>
        <w:t>Eddata</w:t>
      </w:r>
      <w:proofErr w:type="spellEnd"/>
      <w:r>
        <w:rPr>
          <w:rFonts w:asciiTheme="majorHAnsi" w:hAnsiTheme="majorHAnsi" w:cstheme="majorHAnsi"/>
          <w:sz w:val="28"/>
          <w:szCs w:val="28"/>
        </w:rPr>
        <w:t xml:space="preserve"> Survey 2002. Education data for decision making. Abuja, CSO, National Population Commission.</w:t>
      </w:r>
    </w:p>
    <w:p w14:paraId="44BF1700" w14:textId="1BC8D106" w:rsidR="00B343A7" w:rsidRDefault="00B343A7" w:rsidP="00940D13">
      <w:pPr>
        <w:jc w:val="both"/>
        <w:rPr>
          <w:rFonts w:asciiTheme="majorHAnsi" w:hAnsiTheme="majorHAnsi" w:cstheme="majorHAnsi"/>
          <w:sz w:val="28"/>
          <w:szCs w:val="28"/>
        </w:rPr>
      </w:pPr>
      <w:proofErr w:type="spellStart"/>
      <w:r>
        <w:rPr>
          <w:rFonts w:asciiTheme="majorHAnsi" w:hAnsiTheme="majorHAnsi" w:cstheme="majorHAnsi"/>
          <w:sz w:val="28"/>
          <w:szCs w:val="28"/>
        </w:rPr>
        <w:t>Napporn</w:t>
      </w:r>
      <w:proofErr w:type="spellEnd"/>
      <w:r>
        <w:rPr>
          <w:rFonts w:asciiTheme="majorHAnsi" w:hAnsiTheme="majorHAnsi" w:cstheme="majorHAnsi"/>
          <w:sz w:val="28"/>
          <w:szCs w:val="28"/>
        </w:rPr>
        <w:t xml:space="preserve">, C., </w:t>
      </w:r>
      <w:proofErr w:type="spellStart"/>
      <w:r>
        <w:rPr>
          <w:rFonts w:asciiTheme="majorHAnsi" w:hAnsiTheme="majorHAnsi" w:cstheme="majorHAnsi"/>
          <w:sz w:val="28"/>
          <w:szCs w:val="28"/>
        </w:rPr>
        <w:t>Rahamane</w:t>
      </w:r>
      <w:proofErr w:type="spellEnd"/>
      <w:r>
        <w:rPr>
          <w:rFonts w:asciiTheme="majorHAnsi" w:hAnsiTheme="majorHAnsi" w:cstheme="majorHAnsi"/>
          <w:sz w:val="28"/>
          <w:szCs w:val="28"/>
        </w:rPr>
        <w:t>, B-M, A. 2013. “</w:t>
      </w:r>
      <w:proofErr w:type="spellStart"/>
      <w:r>
        <w:rPr>
          <w:rFonts w:asciiTheme="majorHAnsi" w:hAnsiTheme="majorHAnsi" w:cstheme="majorHAnsi"/>
          <w:sz w:val="28"/>
          <w:szCs w:val="28"/>
        </w:rPr>
        <w:t>Accompagnement</w:t>
      </w:r>
      <w:proofErr w:type="spellEnd"/>
      <w:r>
        <w:rPr>
          <w:rFonts w:asciiTheme="majorHAnsi" w:hAnsiTheme="majorHAnsi" w:cstheme="majorHAnsi"/>
          <w:sz w:val="28"/>
          <w:szCs w:val="28"/>
        </w:rPr>
        <w:t xml:space="preserve"> et </w:t>
      </w:r>
      <w:proofErr w:type="spellStart"/>
      <w:r>
        <w:rPr>
          <w:rFonts w:asciiTheme="majorHAnsi" w:hAnsiTheme="majorHAnsi" w:cstheme="majorHAnsi"/>
          <w:sz w:val="28"/>
          <w:szCs w:val="28"/>
        </w:rPr>
        <w:t>souti</w:t>
      </w:r>
      <w:r w:rsidR="00F53784">
        <w:rPr>
          <w:rFonts w:asciiTheme="majorHAnsi" w:hAnsiTheme="majorHAnsi" w:cstheme="majorHAnsi"/>
          <w:sz w:val="28"/>
          <w:szCs w:val="28"/>
        </w:rPr>
        <w:t>en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scolaires</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l’experience</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beninoise</w:t>
      </w:r>
      <w:proofErr w:type="spellEnd"/>
      <w:r>
        <w:rPr>
          <w:rFonts w:asciiTheme="majorHAnsi" w:hAnsiTheme="majorHAnsi" w:cstheme="majorHAnsi"/>
          <w:sz w:val="28"/>
          <w:szCs w:val="28"/>
        </w:rPr>
        <w:t xml:space="preserve">”. Revue Internationale </w:t>
      </w:r>
      <w:proofErr w:type="spellStart"/>
      <w:r>
        <w:rPr>
          <w:rFonts w:asciiTheme="majorHAnsi" w:hAnsiTheme="majorHAnsi" w:cstheme="majorHAnsi"/>
          <w:sz w:val="28"/>
          <w:szCs w:val="28"/>
        </w:rPr>
        <w:t>d’education</w:t>
      </w:r>
      <w:proofErr w:type="spellEnd"/>
      <w:r>
        <w:rPr>
          <w:rFonts w:asciiTheme="majorHAnsi" w:hAnsiTheme="majorHAnsi" w:cstheme="majorHAnsi"/>
          <w:sz w:val="28"/>
          <w:szCs w:val="28"/>
        </w:rPr>
        <w:t xml:space="preserve"> de Sevres. 66:79-88.</w:t>
      </w:r>
    </w:p>
    <w:p w14:paraId="6F3CFD99" w14:textId="6D63B2B0" w:rsidR="00940D13"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Pare-Kabore., F. 2008. </w:t>
      </w:r>
      <w:r w:rsidR="00B343A7">
        <w:rPr>
          <w:rFonts w:asciiTheme="majorHAnsi" w:hAnsiTheme="majorHAnsi" w:cstheme="majorHAnsi"/>
          <w:sz w:val="28"/>
          <w:szCs w:val="28"/>
        </w:rPr>
        <w:t>“</w:t>
      </w:r>
      <w:r>
        <w:rPr>
          <w:rFonts w:asciiTheme="majorHAnsi" w:hAnsiTheme="majorHAnsi" w:cstheme="majorHAnsi"/>
          <w:sz w:val="28"/>
          <w:szCs w:val="28"/>
        </w:rPr>
        <w:t xml:space="preserve">Les </w:t>
      </w:r>
      <w:proofErr w:type="spellStart"/>
      <w:r>
        <w:rPr>
          <w:rFonts w:asciiTheme="majorHAnsi" w:hAnsiTheme="majorHAnsi" w:cstheme="majorHAnsi"/>
          <w:sz w:val="28"/>
          <w:szCs w:val="28"/>
        </w:rPr>
        <w:t>repetiteurs</w:t>
      </w:r>
      <w:proofErr w:type="spellEnd"/>
      <w:r>
        <w:rPr>
          <w:rFonts w:asciiTheme="majorHAnsi" w:hAnsiTheme="majorHAnsi" w:cstheme="majorHAnsi"/>
          <w:sz w:val="28"/>
          <w:szCs w:val="28"/>
        </w:rPr>
        <w:t xml:space="preserve"> a domicile </w:t>
      </w:r>
      <w:proofErr w:type="spellStart"/>
      <w:r>
        <w:rPr>
          <w:rFonts w:asciiTheme="majorHAnsi" w:hAnsiTheme="majorHAnsi" w:cstheme="majorHAnsi"/>
          <w:sz w:val="28"/>
          <w:szCs w:val="28"/>
        </w:rPr>
        <w:t>dans</w:t>
      </w:r>
      <w:proofErr w:type="spellEnd"/>
      <w:r>
        <w:rPr>
          <w:rFonts w:asciiTheme="majorHAnsi" w:hAnsiTheme="majorHAnsi" w:cstheme="majorHAnsi"/>
          <w:sz w:val="28"/>
          <w:szCs w:val="28"/>
        </w:rPr>
        <w:t xml:space="preserve"> la </w:t>
      </w:r>
      <w:proofErr w:type="spellStart"/>
      <w:r>
        <w:rPr>
          <w:rFonts w:asciiTheme="majorHAnsi" w:hAnsiTheme="majorHAnsi" w:cstheme="majorHAnsi"/>
          <w:sz w:val="28"/>
          <w:szCs w:val="28"/>
        </w:rPr>
        <w:t>ville</w:t>
      </w:r>
      <w:proofErr w:type="spellEnd"/>
      <w:r>
        <w:rPr>
          <w:rFonts w:asciiTheme="majorHAnsi" w:hAnsiTheme="majorHAnsi" w:cstheme="majorHAnsi"/>
          <w:sz w:val="28"/>
          <w:szCs w:val="28"/>
        </w:rPr>
        <w:t xml:space="preserve"> de </w:t>
      </w:r>
      <w:proofErr w:type="spellStart"/>
      <w:r>
        <w:rPr>
          <w:rFonts w:asciiTheme="majorHAnsi" w:hAnsiTheme="majorHAnsi" w:cstheme="majorHAnsi"/>
          <w:sz w:val="28"/>
          <w:szCs w:val="28"/>
        </w:rPr>
        <w:t>Ouagadougou</w:t>
      </w:r>
      <w:proofErr w:type="gramStart"/>
      <w:r>
        <w:rPr>
          <w:rFonts w:asciiTheme="majorHAnsi" w:hAnsiTheme="majorHAnsi" w:cstheme="majorHAnsi"/>
          <w:sz w:val="28"/>
          <w:szCs w:val="28"/>
        </w:rPr>
        <w:t>:etat</w:t>
      </w:r>
      <w:proofErr w:type="spellEnd"/>
      <w:proofErr w:type="gramEnd"/>
      <w:r>
        <w:rPr>
          <w:rFonts w:asciiTheme="majorHAnsi" w:hAnsiTheme="majorHAnsi" w:cstheme="majorHAnsi"/>
          <w:sz w:val="28"/>
          <w:szCs w:val="28"/>
        </w:rPr>
        <w:t xml:space="preserve"> des </w:t>
      </w:r>
      <w:proofErr w:type="spellStart"/>
      <w:r>
        <w:rPr>
          <w:rFonts w:asciiTheme="majorHAnsi" w:hAnsiTheme="majorHAnsi" w:cstheme="majorHAnsi"/>
          <w:sz w:val="28"/>
          <w:szCs w:val="28"/>
        </w:rPr>
        <w:t>lieux</w:t>
      </w:r>
      <w:proofErr w:type="spellEnd"/>
      <w:r>
        <w:rPr>
          <w:rFonts w:asciiTheme="majorHAnsi" w:hAnsiTheme="majorHAnsi" w:cstheme="majorHAnsi"/>
          <w:sz w:val="28"/>
          <w:szCs w:val="28"/>
        </w:rPr>
        <w:t xml:space="preserve"> et influence sur le </w:t>
      </w:r>
      <w:proofErr w:type="spellStart"/>
      <w:r>
        <w:rPr>
          <w:rFonts w:asciiTheme="majorHAnsi" w:hAnsiTheme="majorHAnsi" w:cstheme="majorHAnsi"/>
          <w:sz w:val="28"/>
          <w:szCs w:val="28"/>
        </w:rPr>
        <w:t>rendement</w:t>
      </w:r>
      <w:proofErr w:type="spellEnd"/>
      <w:r>
        <w:rPr>
          <w:rFonts w:asciiTheme="majorHAnsi" w:hAnsiTheme="majorHAnsi" w:cstheme="majorHAnsi"/>
          <w:sz w:val="28"/>
          <w:szCs w:val="28"/>
        </w:rPr>
        <w:t xml:space="preserve"> des </w:t>
      </w:r>
      <w:proofErr w:type="spellStart"/>
      <w:r>
        <w:rPr>
          <w:rFonts w:asciiTheme="majorHAnsi" w:hAnsiTheme="majorHAnsi" w:cstheme="majorHAnsi"/>
          <w:sz w:val="28"/>
          <w:szCs w:val="28"/>
        </w:rPr>
        <w:t>eleves</w:t>
      </w:r>
      <w:proofErr w:type="spellEnd"/>
      <w:r>
        <w:rPr>
          <w:rFonts w:asciiTheme="majorHAnsi" w:hAnsiTheme="majorHAnsi" w:cstheme="majorHAnsi"/>
          <w:sz w:val="28"/>
          <w:szCs w:val="28"/>
        </w:rPr>
        <w:t xml:space="preserve"> au </w:t>
      </w:r>
      <w:proofErr w:type="spellStart"/>
      <w:r>
        <w:rPr>
          <w:rFonts w:asciiTheme="majorHAnsi" w:hAnsiTheme="majorHAnsi" w:cstheme="majorHAnsi"/>
          <w:sz w:val="28"/>
          <w:szCs w:val="28"/>
        </w:rPr>
        <w:t>secondaire</w:t>
      </w:r>
      <w:proofErr w:type="spellEnd"/>
      <w:r w:rsidR="00B343A7">
        <w:rPr>
          <w:rFonts w:asciiTheme="majorHAnsi" w:hAnsiTheme="majorHAnsi" w:cstheme="majorHAnsi"/>
          <w:sz w:val="28"/>
          <w:szCs w:val="28"/>
        </w:rPr>
        <w:t>”</w:t>
      </w:r>
      <w:r>
        <w:rPr>
          <w:rFonts w:asciiTheme="majorHAnsi" w:hAnsiTheme="majorHAnsi" w:cstheme="majorHAnsi"/>
          <w:sz w:val="28"/>
          <w:szCs w:val="28"/>
        </w:rPr>
        <w:t>. Cahiers du CERLESHS, 29, University of Ouagadougou.</w:t>
      </w:r>
    </w:p>
    <w:p w14:paraId="11D9BA2A" w14:textId="2FCB8C01" w:rsidR="00940D13" w:rsidRDefault="00940D13" w:rsidP="00940D13">
      <w:pPr>
        <w:jc w:val="both"/>
        <w:rPr>
          <w:rFonts w:asciiTheme="majorHAnsi" w:hAnsiTheme="majorHAnsi" w:cstheme="majorHAnsi"/>
          <w:sz w:val="28"/>
          <w:szCs w:val="28"/>
        </w:rPr>
      </w:pPr>
      <w:r>
        <w:rPr>
          <w:rFonts w:asciiTheme="majorHAnsi" w:hAnsiTheme="majorHAnsi" w:cstheme="majorHAnsi"/>
          <w:sz w:val="28"/>
          <w:szCs w:val="28"/>
        </w:rPr>
        <w:t xml:space="preserve">Simbarashe, M., Edlight, M. 2011. “Exploring the practice of ‘extra’ lessons as offered in </w:t>
      </w:r>
      <w:proofErr w:type="spellStart"/>
      <w:r>
        <w:rPr>
          <w:rFonts w:asciiTheme="majorHAnsi" w:hAnsiTheme="majorHAnsi" w:cstheme="majorHAnsi"/>
          <w:sz w:val="28"/>
          <w:szCs w:val="28"/>
        </w:rPr>
        <w:t>Chinhyi</w:t>
      </w:r>
      <w:proofErr w:type="spellEnd"/>
      <w:r>
        <w:rPr>
          <w:rFonts w:asciiTheme="majorHAnsi" w:hAnsiTheme="majorHAnsi" w:cstheme="majorHAnsi"/>
          <w:sz w:val="28"/>
          <w:szCs w:val="28"/>
        </w:rPr>
        <w:t xml:space="preserve"> urban secondary schools, Mash</w:t>
      </w:r>
      <w:r w:rsidR="00B343A7">
        <w:rPr>
          <w:rFonts w:asciiTheme="majorHAnsi" w:hAnsiTheme="majorHAnsi" w:cstheme="majorHAnsi"/>
          <w:sz w:val="28"/>
          <w:szCs w:val="28"/>
        </w:rPr>
        <w:t>onaland West Province, Zimbabwe</w:t>
      </w:r>
      <w:r>
        <w:rPr>
          <w:rFonts w:asciiTheme="majorHAnsi" w:hAnsiTheme="majorHAnsi" w:cstheme="majorHAnsi"/>
          <w:sz w:val="28"/>
          <w:szCs w:val="28"/>
        </w:rPr>
        <w:t>”</w:t>
      </w:r>
      <w:r w:rsidR="00B343A7">
        <w:rPr>
          <w:rFonts w:asciiTheme="majorHAnsi" w:hAnsiTheme="majorHAnsi" w:cstheme="majorHAnsi"/>
          <w:sz w:val="28"/>
          <w:szCs w:val="28"/>
        </w:rPr>
        <w:t>.</w:t>
      </w:r>
      <w:r>
        <w:rPr>
          <w:rFonts w:asciiTheme="majorHAnsi" w:hAnsiTheme="majorHAnsi" w:cstheme="majorHAnsi"/>
          <w:sz w:val="28"/>
          <w:szCs w:val="28"/>
        </w:rPr>
        <w:t xml:space="preserve"> Journal of Innovative Research in Management and Humanities, 2(1): 26-35.</w:t>
      </w:r>
    </w:p>
    <w:p w14:paraId="68C7A02B" w14:textId="296E6B03" w:rsidR="00940D13" w:rsidRPr="00CA4714" w:rsidRDefault="00940D13" w:rsidP="00940D13">
      <w:pPr>
        <w:jc w:val="both"/>
        <w:rPr>
          <w:rFonts w:asciiTheme="majorHAnsi" w:hAnsiTheme="majorHAnsi" w:cstheme="majorHAnsi"/>
          <w:sz w:val="28"/>
          <w:szCs w:val="28"/>
        </w:rPr>
      </w:pPr>
      <w:proofErr w:type="spellStart"/>
      <w:r w:rsidRPr="00CA4714">
        <w:rPr>
          <w:rFonts w:asciiTheme="majorHAnsi" w:hAnsiTheme="majorHAnsi" w:cstheme="majorHAnsi"/>
          <w:sz w:val="28"/>
          <w:szCs w:val="28"/>
        </w:rPr>
        <w:t>Yabouri</w:t>
      </w:r>
      <w:proofErr w:type="spellEnd"/>
      <w:r w:rsidRPr="00CA4714">
        <w:rPr>
          <w:rFonts w:asciiTheme="majorHAnsi" w:hAnsiTheme="majorHAnsi" w:cstheme="majorHAnsi"/>
          <w:sz w:val="28"/>
          <w:szCs w:val="28"/>
        </w:rPr>
        <w:t xml:space="preserve">, N., </w:t>
      </w:r>
      <w:proofErr w:type="spellStart"/>
      <w:r w:rsidRPr="00CA4714">
        <w:rPr>
          <w:rFonts w:asciiTheme="majorHAnsi" w:hAnsiTheme="majorHAnsi" w:cstheme="majorHAnsi"/>
          <w:sz w:val="28"/>
          <w:szCs w:val="28"/>
        </w:rPr>
        <w:t>Lare</w:t>
      </w:r>
      <w:proofErr w:type="spellEnd"/>
      <w:r w:rsidRPr="00CA4714">
        <w:rPr>
          <w:rFonts w:asciiTheme="majorHAnsi" w:hAnsiTheme="majorHAnsi" w:cstheme="majorHAnsi"/>
          <w:sz w:val="28"/>
          <w:szCs w:val="28"/>
        </w:rPr>
        <w:t xml:space="preserve">, Y., </w:t>
      </w:r>
      <w:proofErr w:type="spellStart"/>
      <w:r w:rsidRPr="00CA4714">
        <w:rPr>
          <w:rFonts w:asciiTheme="majorHAnsi" w:hAnsiTheme="majorHAnsi" w:cstheme="majorHAnsi"/>
          <w:sz w:val="28"/>
          <w:szCs w:val="28"/>
        </w:rPr>
        <w:t>Maleme</w:t>
      </w:r>
      <w:proofErr w:type="spellEnd"/>
      <w:r w:rsidRPr="00CA4714">
        <w:rPr>
          <w:rFonts w:asciiTheme="majorHAnsi" w:hAnsiTheme="majorHAnsi" w:cstheme="majorHAnsi"/>
          <w:sz w:val="28"/>
          <w:szCs w:val="28"/>
        </w:rPr>
        <w:t xml:space="preserve">, D. 2010. Cours de repetition: </w:t>
      </w:r>
      <w:r>
        <w:rPr>
          <w:rFonts w:asciiTheme="majorHAnsi" w:hAnsiTheme="majorHAnsi" w:cstheme="majorHAnsi"/>
          <w:sz w:val="28"/>
          <w:szCs w:val="28"/>
        </w:rPr>
        <w:t>“</w:t>
      </w:r>
      <w:proofErr w:type="spellStart"/>
      <w:r w:rsidRPr="00CA4714">
        <w:rPr>
          <w:rFonts w:asciiTheme="majorHAnsi" w:hAnsiTheme="majorHAnsi" w:cstheme="majorHAnsi"/>
          <w:sz w:val="28"/>
          <w:szCs w:val="28"/>
        </w:rPr>
        <w:t>Pratiques</w:t>
      </w:r>
      <w:proofErr w:type="spellEnd"/>
      <w:r w:rsidRPr="00CA4714">
        <w:rPr>
          <w:rFonts w:asciiTheme="majorHAnsi" w:hAnsiTheme="majorHAnsi" w:cstheme="majorHAnsi"/>
          <w:sz w:val="28"/>
          <w:szCs w:val="28"/>
        </w:rPr>
        <w:t xml:space="preserve"> et influence sur les </w:t>
      </w:r>
      <w:proofErr w:type="spellStart"/>
      <w:r w:rsidRPr="00CA4714">
        <w:rPr>
          <w:rFonts w:asciiTheme="majorHAnsi" w:hAnsiTheme="majorHAnsi" w:cstheme="majorHAnsi"/>
          <w:sz w:val="28"/>
          <w:szCs w:val="28"/>
        </w:rPr>
        <w:t>resultats</w:t>
      </w:r>
      <w:proofErr w:type="spellEnd"/>
      <w:r w:rsidRPr="00CA4714">
        <w:rPr>
          <w:rFonts w:asciiTheme="majorHAnsi" w:hAnsiTheme="majorHAnsi" w:cstheme="majorHAnsi"/>
          <w:sz w:val="28"/>
          <w:szCs w:val="28"/>
        </w:rPr>
        <w:t xml:space="preserve"> </w:t>
      </w:r>
      <w:proofErr w:type="gramStart"/>
      <w:r w:rsidRPr="00CA4714">
        <w:rPr>
          <w:rFonts w:asciiTheme="majorHAnsi" w:hAnsiTheme="majorHAnsi" w:cstheme="majorHAnsi"/>
          <w:sz w:val="28"/>
          <w:szCs w:val="28"/>
        </w:rPr>
        <w:t>a</w:t>
      </w:r>
      <w:proofErr w:type="gramEnd"/>
      <w:r w:rsidRPr="00CA4714">
        <w:rPr>
          <w:rFonts w:asciiTheme="majorHAnsi" w:hAnsiTheme="majorHAnsi" w:cstheme="majorHAnsi"/>
          <w:sz w:val="28"/>
          <w:szCs w:val="28"/>
        </w:rPr>
        <w:t xml:space="preserve"> </w:t>
      </w:r>
      <w:proofErr w:type="spellStart"/>
      <w:r w:rsidRPr="00CA4714">
        <w:rPr>
          <w:rFonts w:asciiTheme="majorHAnsi" w:hAnsiTheme="majorHAnsi" w:cstheme="majorHAnsi"/>
          <w:sz w:val="28"/>
          <w:szCs w:val="28"/>
        </w:rPr>
        <w:t>l’examen</w:t>
      </w:r>
      <w:proofErr w:type="spellEnd"/>
      <w:r w:rsidRPr="00CA4714">
        <w:rPr>
          <w:rFonts w:asciiTheme="majorHAnsi" w:hAnsiTheme="majorHAnsi" w:cstheme="majorHAnsi"/>
          <w:sz w:val="28"/>
          <w:szCs w:val="28"/>
        </w:rPr>
        <w:t xml:space="preserve">. </w:t>
      </w:r>
      <w:proofErr w:type="spellStart"/>
      <w:r w:rsidRPr="00CA4714">
        <w:rPr>
          <w:rFonts w:asciiTheme="majorHAnsi" w:hAnsiTheme="majorHAnsi" w:cstheme="majorHAnsi"/>
          <w:sz w:val="28"/>
          <w:szCs w:val="28"/>
        </w:rPr>
        <w:t>Cas</w:t>
      </w:r>
      <w:proofErr w:type="spellEnd"/>
      <w:r w:rsidRPr="00CA4714">
        <w:rPr>
          <w:rFonts w:asciiTheme="majorHAnsi" w:hAnsiTheme="majorHAnsi" w:cstheme="majorHAnsi"/>
          <w:sz w:val="28"/>
          <w:szCs w:val="28"/>
        </w:rPr>
        <w:t xml:space="preserve"> des </w:t>
      </w:r>
      <w:proofErr w:type="spellStart"/>
      <w:r w:rsidRPr="00CA4714">
        <w:rPr>
          <w:rFonts w:asciiTheme="majorHAnsi" w:hAnsiTheme="majorHAnsi" w:cstheme="majorHAnsi"/>
          <w:sz w:val="28"/>
          <w:szCs w:val="28"/>
        </w:rPr>
        <w:t>el</w:t>
      </w:r>
      <w:r w:rsidR="00B343A7">
        <w:rPr>
          <w:rFonts w:asciiTheme="majorHAnsi" w:hAnsiTheme="majorHAnsi" w:cstheme="majorHAnsi"/>
          <w:sz w:val="28"/>
          <w:szCs w:val="28"/>
        </w:rPr>
        <w:t>eves</w:t>
      </w:r>
      <w:proofErr w:type="spellEnd"/>
      <w:r w:rsidR="00B343A7">
        <w:rPr>
          <w:rFonts w:asciiTheme="majorHAnsi" w:hAnsiTheme="majorHAnsi" w:cstheme="majorHAnsi"/>
          <w:sz w:val="28"/>
          <w:szCs w:val="28"/>
        </w:rPr>
        <w:t xml:space="preserve"> de CM2 </w:t>
      </w:r>
      <w:proofErr w:type="spellStart"/>
      <w:r w:rsidR="00B343A7">
        <w:rPr>
          <w:rFonts w:asciiTheme="majorHAnsi" w:hAnsiTheme="majorHAnsi" w:cstheme="majorHAnsi"/>
          <w:sz w:val="28"/>
          <w:szCs w:val="28"/>
        </w:rPr>
        <w:t>en</w:t>
      </w:r>
      <w:proofErr w:type="spellEnd"/>
      <w:r w:rsidR="00B343A7">
        <w:rPr>
          <w:rFonts w:asciiTheme="majorHAnsi" w:hAnsiTheme="majorHAnsi" w:cstheme="majorHAnsi"/>
          <w:sz w:val="28"/>
          <w:szCs w:val="28"/>
        </w:rPr>
        <w:t xml:space="preserve"> 2009-2010 a </w:t>
      </w:r>
      <w:proofErr w:type="spellStart"/>
      <w:r w:rsidR="00B343A7">
        <w:rPr>
          <w:rFonts w:asciiTheme="majorHAnsi" w:hAnsiTheme="majorHAnsi" w:cstheme="majorHAnsi"/>
          <w:sz w:val="28"/>
          <w:szCs w:val="28"/>
        </w:rPr>
        <w:t>Lome</w:t>
      </w:r>
      <w:proofErr w:type="spellEnd"/>
      <w:r>
        <w:rPr>
          <w:rFonts w:asciiTheme="majorHAnsi" w:hAnsiTheme="majorHAnsi" w:cstheme="majorHAnsi"/>
          <w:sz w:val="28"/>
          <w:szCs w:val="28"/>
        </w:rPr>
        <w:t>”</w:t>
      </w:r>
      <w:r w:rsidR="00B343A7">
        <w:rPr>
          <w:rFonts w:asciiTheme="majorHAnsi" w:hAnsiTheme="majorHAnsi" w:cstheme="majorHAnsi"/>
          <w:sz w:val="28"/>
          <w:szCs w:val="28"/>
        </w:rPr>
        <w:t>.</w:t>
      </w:r>
      <w:r w:rsidRPr="00CA4714">
        <w:rPr>
          <w:rFonts w:asciiTheme="majorHAnsi" w:hAnsiTheme="majorHAnsi" w:cstheme="majorHAnsi"/>
          <w:sz w:val="28"/>
          <w:szCs w:val="28"/>
        </w:rPr>
        <w:t xml:space="preserve"> </w:t>
      </w:r>
      <w:proofErr w:type="spellStart"/>
      <w:r w:rsidRPr="00CA4714">
        <w:rPr>
          <w:rFonts w:asciiTheme="majorHAnsi" w:hAnsiTheme="majorHAnsi" w:cstheme="majorHAnsi"/>
          <w:sz w:val="28"/>
          <w:szCs w:val="28"/>
        </w:rPr>
        <w:t>Reseau</w:t>
      </w:r>
      <w:proofErr w:type="spellEnd"/>
      <w:r w:rsidRPr="00CA4714">
        <w:rPr>
          <w:rFonts w:asciiTheme="majorHAnsi" w:hAnsiTheme="majorHAnsi" w:cstheme="majorHAnsi"/>
          <w:sz w:val="28"/>
          <w:szCs w:val="28"/>
        </w:rPr>
        <w:t xml:space="preserve"> </w:t>
      </w:r>
      <w:proofErr w:type="spellStart"/>
      <w:r w:rsidRPr="00CA4714">
        <w:rPr>
          <w:rFonts w:asciiTheme="majorHAnsi" w:hAnsiTheme="majorHAnsi" w:cstheme="majorHAnsi"/>
          <w:sz w:val="28"/>
          <w:szCs w:val="28"/>
        </w:rPr>
        <w:t>Ouest</w:t>
      </w:r>
      <w:proofErr w:type="spellEnd"/>
      <w:r w:rsidRPr="00CA4714">
        <w:rPr>
          <w:rFonts w:asciiTheme="majorHAnsi" w:hAnsiTheme="majorHAnsi" w:cstheme="majorHAnsi"/>
          <w:sz w:val="28"/>
          <w:szCs w:val="28"/>
        </w:rPr>
        <w:t xml:space="preserve"> </w:t>
      </w:r>
      <w:proofErr w:type="gramStart"/>
      <w:r w:rsidRPr="00CA4714">
        <w:rPr>
          <w:rFonts w:asciiTheme="majorHAnsi" w:hAnsiTheme="majorHAnsi" w:cstheme="majorHAnsi"/>
          <w:sz w:val="28"/>
          <w:szCs w:val="28"/>
        </w:rPr>
        <w:t>et</w:t>
      </w:r>
      <w:proofErr w:type="gramEnd"/>
      <w:r w:rsidRPr="00CA4714">
        <w:rPr>
          <w:rFonts w:asciiTheme="majorHAnsi" w:hAnsiTheme="majorHAnsi" w:cstheme="majorHAnsi"/>
          <w:sz w:val="28"/>
          <w:szCs w:val="28"/>
        </w:rPr>
        <w:t xml:space="preserve"> Centre </w:t>
      </w:r>
      <w:proofErr w:type="spellStart"/>
      <w:r w:rsidRPr="00CA4714">
        <w:rPr>
          <w:rFonts w:asciiTheme="majorHAnsi" w:hAnsiTheme="majorHAnsi" w:cstheme="majorHAnsi"/>
          <w:sz w:val="28"/>
          <w:szCs w:val="28"/>
        </w:rPr>
        <w:t>Africain</w:t>
      </w:r>
      <w:proofErr w:type="spellEnd"/>
      <w:r w:rsidRPr="00CA4714">
        <w:rPr>
          <w:rFonts w:asciiTheme="majorHAnsi" w:hAnsiTheme="majorHAnsi" w:cstheme="majorHAnsi"/>
          <w:sz w:val="28"/>
          <w:szCs w:val="28"/>
        </w:rPr>
        <w:t xml:space="preserve"> de </w:t>
      </w:r>
      <w:proofErr w:type="spellStart"/>
      <w:r w:rsidRPr="00CA4714">
        <w:rPr>
          <w:rFonts w:asciiTheme="majorHAnsi" w:hAnsiTheme="majorHAnsi" w:cstheme="majorHAnsi"/>
          <w:sz w:val="28"/>
          <w:szCs w:val="28"/>
        </w:rPr>
        <w:t>Recherche</w:t>
      </w:r>
      <w:proofErr w:type="spellEnd"/>
      <w:r w:rsidRPr="00CA4714">
        <w:rPr>
          <w:rFonts w:asciiTheme="majorHAnsi" w:hAnsiTheme="majorHAnsi" w:cstheme="majorHAnsi"/>
          <w:sz w:val="28"/>
          <w:szCs w:val="28"/>
        </w:rPr>
        <w:t xml:space="preserve"> </w:t>
      </w:r>
      <w:proofErr w:type="spellStart"/>
      <w:r w:rsidRPr="00CA4714">
        <w:rPr>
          <w:rFonts w:asciiTheme="majorHAnsi" w:hAnsiTheme="majorHAnsi" w:cstheme="majorHAnsi"/>
          <w:sz w:val="28"/>
          <w:szCs w:val="28"/>
        </w:rPr>
        <w:t>en</w:t>
      </w:r>
      <w:proofErr w:type="spellEnd"/>
      <w:r w:rsidRPr="00CA4714">
        <w:rPr>
          <w:rFonts w:asciiTheme="majorHAnsi" w:hAnsiTheme="majorHAnsi" w:cstheme="majorHAnsi"/>
          <w:sz w:val="28"/>
          <w:szCs w:val="28"/>
        </w:rPr>
        <w:t xml:space="preserve"> Education. Edition 2010. Bamako, UEMOA.</w:t>
      </w:r>
    </w:p>
    <w:p w14:paraId="4D587354" w14:textId="77777777" w:rsidR="00940D13" w:rsidRPr="00CA4714" w:rsidRDefault="00940D13" w:rsidP="00940D13">
      <w:pPr>
        <w:rPr>
          <w:rFonts w:asciiTheme="majorHAnsi" w:hAnsiTheme="majorHAnsi" w:cstheme="majorHAnsi"/>
          <w:sz w:val="28"/>
          <w:szCs w:val="28"/>
        </w:rPr>
      </w:pPr>
      <w:r w:rsidRPr="00CA4714">
        <w:rPr>
          <w:rFonts w:asciiTheme="majorHAnsi" w:hAnsiTheme="majorHAnsi" w:cstheme="majorHAnsi"/>
          <w:sz w:val="28"/>
          <w:szCs w:val="28"/>
        </w:rPr>
        <w:br w:type="page"/>
      </w:r>
    </w:p>
    <w:tbl>
      <w:tblPr>
        <w:tblW w:w="9026" w:type="dxa"/>
        <w:tblLook w:val="04A0" w:firstRow="1" w:lastRow="0" w:firstColumn="1" w:lastColumn="0" w:noHBand="0" w:noVBand="1"/>
      </w:tblPr>
      <w:tblGrid>
        <w:gridCol w:w="2376"/>
        <w:gridCol w:w="1253"/>
        <w:gridCol w:w="1851"/>
        <w:gridCol w:w="1563"/>
        <w:gridCol w:w="1696"/>
        <w:gridCol w:w="287"/>
      </w:tblGrid>
      <w:tr w:rsidR="001D15BD" w:rsidRPr="001D15BD" w14:paraId="46D6658C" w14:textId="77777777" w:rsidTr="009C5214">
        <w:trPr>
          <w:trHeight w:val="300"/>
        </w:trPr>
        <w:tc>
          <w:tcPr>
            <w:tcW w:w="9026" w:type="dxa"/>
            <w:gridSpan w:val="6"/>
            <w:tcBorders>
              <w:top w:val="nil"/>
              <w:left w:val="nil"/>
              <w:bottom w:val="nil"/>
              <w:right w:val="nil"/>
            </w:tcBorders>
            <w:shd w:val="clear" w:color="auto" w:fill="auto"/>
            <w:noWrap/>
            <w:vAlign w:val="bottom"/>
            <w:hideMark/>
          </w:tcPr>
          <w:tbl>
            <w:tblPr>
              <w:tblW w:w="8690" w:type="dxa"/>
              <w:tblLook w:val="04A0" w:firstRow="1" w:lastRow="0" w:firstColumn="1" w:lastColumn="0" w:noHBand="0" w:noVBand="1"/>
            </w:tblPr>
            <w:tblGrid>
              <w:gridCol w:w="1247"/>
              <w:gridCol w:w="1189"/>
              <w:gridCol w:w="1270"/>
              <w:gridCol w:w="1271"/>
              <w:gridCol w:w="1191"/>
              <w:gridCol w:w="799"/>
              <w:gridCol w:w="1825"/>
            </w:tblGrid>
            <w:tr w:rsidR="00AF4DE0" w:rsidRPr="00D43138" w14:paraId="2B6F2AA5" w14:textId="77777777" w:rsidTr="00CA4714">
              <w:trPr>
                <w:trHeight w:val="300"/>
              </w:trPr>
              <w:tc>
                <w:tcPr>
                  <w:tcW w:w="8690" w:type="dxa"/>
                  <w:gridSpan w:val="7"/>
                  <w:tcBorders>
                    <w:top w:val="nil"/>
                    <w:left w:val="nil"/>
                    <w:bottom w:val="nil"/>
                    <w:right w:val="nil"/>
                  </w:tcBorders>
                  <w:shd w:val="clear" w:color="auto" w:fill="auto"/>
                  <w:noWrap/>
                  <w:vAlign w:val="bottom"/>
                  <w:hideMark/>
                </w:tcPr>
                <w:p w14:paraId="13C5EF04"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lastRenderedPageBreak/>
                    <w:t>Table 1: Background information on countries in Francophone West Africa, various years 2015-2018</w:t>
                  </w:r>
                </w:p>
              </w:tc>
            </w:tr>
            <w:tr w:rsidR="00AF4DE0" w:rsidRPr="00D43138" w14:paraId="09810632" w14:textId="77777777" w:rsidTr="00CA4714">
              <w:trPr>
                <w:trHeight w:val="288"/>
              </w:trPr>
              <w:tc>
                <w:tcPr>
                  <w:tcW w:w="1247" w:type="dxa"/>
                  <w:tcBorders>
                    <w:top w:val="single" w:sz="8" w:space="0" w:color="auto"/>
                    <w:left w:val="single" w:sz="8" w:space="0" w:color="auto"/>
                    <w:bottom w:val="nil"/>
                    <w:right w:val="nil"/>
                  </w:tcBorders>
                  <w:shd w:val="clear" w:color="000000" w:fill="EDEDED"/>
                  <w:noWrap/>
                  <w:vAlign w:val="bottom"/>
                  <w:hideMark/>
                </w:tcPr>
                <w:p w14:paraId="62C3CCA3"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 </w:t>
                  </w:r>
                </w:p>
              </w:tc>
              <w:tc>
                <w:tcPr>
                  <w:tcW w:w="1138" w:type="dxa"/>
                  <w:tcBorders>
                    <w:top w:val="single" w:sz="8" w:space="0" w:color="auto"/>
                    <w:left w:val="nil"/>
                    <w:bottom w:val="nil"/>
                    <w:right w:val="nil"/>
                  </w:tcBorders>
                  <w:shd w:val="clear" w:color="000000" w:fill="EDEDED"/>
                  <w:noWrap/>
                  <w:vAlign w:val="bottom"/>
                  <w:hideMark/>
                </w:tcPr>
                <w:p w14:paraId="0C8E7B1C"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 xml:space="preserve">Population </w:t>
                  </w:r>
                </w:p>
              </w:tc>
              <w:tc>
                <w:tcPr>
                  <w:tcW w:w="1270" w:type="dxa"/>
                  <w:tcBorders>
                    <w:top w:val="single" w:sz="8" w:space="0" w:color="auto"/>
                    <w:left w:val="nil"/>
                    <w:bottom w:val="nil"/>
                    <w:right w:val="nil"/>
                  </w:tcBorders>
                  <w:shd w:val="clear" w:color="000000" w:fill="EDEDED"/>
                  <w:noWrap/>
                  <w:vAlign w:val="bottom"/>
                  <w:hideMark/>
                </w:tcPr>
                <w:p w14:paraId="5115983E"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GDP</w:t>
                  </w:r>
                  <w:r>
                    <w:rPr>
                      <w:rFonts w:ascii="Calibri" w:eastAsia="Times New Roman" w:hAnsi="Calibri" w:cs="Calibri"/>
                      <w:color w:val="000000"/>
                      <w:lang w:eastAsia="en-GB"/>
                    </w:rPr>
                    <w:t xml:space="preserve"> </w:t>
                  </w:r>
                  <w:r w:rsidRPr="00D43138">
                    <w:rPr>
                      <w:rFonts w:ascii="Calibri" w:eastAsia="Times New Roman" w:hAnsi="Calibri" w:cs="Calibri"/>
                      <w:color w:val="000000"/>
                      <w:lang w:eastAsia="en-GB"/>
                    </w:rPr>
                    <w:t xml:space="preserve">pc </w:t>
                  </w:r>
                </w:p>
              </w:tc>
              <w:tc>
                <w:tcPr>
                  <w:tcW w:w="1271" w:type="dxa"/>
                  <w:tcBorders>
                    <w:top w:val="single" w:sz="8" w:space="0" w:color="auto"/>
                    <w:left w:val="nil"/>
                    <w:bottom w:val="nil"/>
                    <w:right w:val="nil"/>
                  </w:tcBorders>
                  <w:shd w:val="clear" w:color="000000" w:fill="EDEDED"/>
                  <w:noWrap/>
                  <w:vAlign w:val="bottom"/>
                  <w:hideMark/>
                </w:tcPr>
                <w:p w14:paraId="447E6FC5"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Poverty head</w:t>
                  </w:r>
                </w:p>
              </w:tc>
              <w:tc>
                <w:tcPr>
                  <w:tcW w:w="1140" w:type="dxa"/>
                  <w:tcBorders>
                    <w:top w:val="single" w:sz="8" w:space="0" w:color="auto"/>
                    <w:left w:val="nil"/>
                    <w:bottom w:val="nil"/>
                    <w:right w:val="nil"/>
                  </w:tcBorders>
                  <w:shd w:val="clear" w:color="000000" w:fill="EDEDED"/>
                  <w:noWrap/>
                  <w:vAlign w:val="bottom"/>
                  <w:hideMark/>
                </w:tcPr>
                <w:p w14:paraId="4192ABF6"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 Muslim</w:t>
                  </w:r>
                </w:p>
              </w:tc>
              <w:tc>
                <w:tcPr>
                  <w:tcW w:w="799" w:type="dxa"/>
                  <w:tcBorders>
                    <w:top w:val="single" w:sz="8" w:space="0" w:color="auto"/>
                    <w:left w:val="nil"/>
                    <w:bottom w:val="nil"/>
                    <w:right w:val="nil"/>
                  </w:tcBorders>
                  <w:shd w:val="clear" w:color="000000" w:fill="EDEDED"/>
                  <w:noWrap/>
                  <w:vAlign w:val="bottom"/>
                  <w:hideMark/>
                </w:tcPr>
                <w:p w14:paraId="32DBDC94"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 urban</w:t>
                  </w:r>
                </w:p>
              </w:tc>
              <w:tc>
                <w:tcPr>
                  <w:tcW w:w="1825" w:type="dxa"/>
                  <w:tcBorders>
                    <w:top w:val="single" w:sz="8" w:space="0" w:color="auto"/>
                    <w:left w:val="nil"/>
                    <w:bottom w:val="nil"/>
                    <w:right w:val="single" w:sz="8" w:space="0" w:color="auto"/>
                  </w:tcBorders>
                  <w:shd w:val="clear" w:color="000000" w:fill="EDEDED"/>
                  <w:noWrap/>
                  <w:vAlign w:val="bottom"/>
                  <w:hideMark/>
                </w:tcPr>
                <w:p w14:paraId="37A9D5EF"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Primary school</w:t>
                  </w:r>
                </w:p>
              </w:tc>
            </w:tr>
            <w:tr w:rsidR="00AF4DE0" w:rsidRPr="00D43138" w14:paraId="023FA382" w14:textId="77777777" w:rsidTr="00CA4714">
              <w:trPr>
                <w:trHeight w:val="288"/>
              </w:trPr>
              <w:tc>
                <w:tcPr>
                  <w:tcW w:w="1247" w:type="dxa"/>
                  <w:tcBorders>
                    <w:top w:val="nil"/>
                    <w:left w:val="single" w:sz="8" w:space="0" w:color="auto"/>
                    <w:bottom w:val="nil"/>
                    <w:right w:val="nil"/>
                  </w:tcBorders>
                  <w:shd w:val="clear" w:color="000000" w:fill="EDEDED"/>
                  <w:noWrap/>
                  <w:vAlign w:val="bottom"/>
                  <w:hideMark/>
                </w:tcPr>
                <w:p w14:paraId="35D773DF"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Country</w:t>
                  </w:r>
                </w:p>
              </w:tc>
              <w:tc>
                <w:tcPr>
                  <w:tcW w:w="1138" w:type="dxa"/>
                  <w:tcBorders>
                    <w:top w:val="nil"/>
                    <w:left w:val="nil"/>
                    <w:bottom w:val="nil"/>
                    <w:right w:val="nil"/>
                  </w:tcBorders>
                  <w:shd w:val="clear" w:color="000000" w:fill="EDEDED"/>
                  <w:noWrap/>
                  <w:vAlign w:val="bottom"/>
                  <w:hideMark/>
                </w:tcPr>
                <w:p w14:paraId="25850555"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(million)</w:t>
                  </w:r>
                </w:p>
              </w:tc>
              <w:tc>
                <w:tcPr>
                  <w:tcW w:w="1270" w:type="dxa"/>
                  <w:tcBorders>
                    <w:top w:val="nil"/>
                    <w:left w:val="nil"/>
                    <w:bottom w:val="nil"/>
                    <w:right w:val="nil"/>
                  </w:tcBorders>
                  <w:shd w:val="clear" w:color="000000" w:fill="EDEDED"/>
                  <w:noWrap/>
                  <w:vAlign w:val="bottom"/>
                  <w:hideMark/>
                </w:tcPr>
                <w:p w14:paraId="7B2A671D" w14:textId="77777777" w:rsidR="00AF4DE0" w:rsidRPr="00D43138" w:rsidRDefault="00AF4DE0" w:rsidP="00AF4DE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US$ PPP</w:t>
                  </w:r>
                </w:p>
              </w:tc>
              <w:tc>
                <w:tcPr>
                  <w:tcW w:w="1271" w:type="dxa"/>
                  <w:tcBorders>
                    <w:top w:val="nil"/>
                    <w:left w:val="nil"/>
                    <w:bottom w:val="nil"/>
                    <w:right w:val="nil"/>
                  </w:tcBorders>
                  <w:shd w:val="clear" w:color="000000" w:fill="EDEDED"/>
                  <w:noWrap/>
                  <w:vAlign w:val="bottom"/>
                  <w:hideMark/>
                </w:tcPr>
                <w:p w14:paraId="24C2D08D"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count</w:t>
                  </w:r>
                </w:p>
              </w:tc>
              <w:tc>
                <w:tcPr>
                  <w:tcW w:w="1140" w:type="dxa"/>
                  <w:tcBorders>
                    <w:top w:val="nil"/>
                    <w:left w:val="nil"/>
                    <w:bottom w:val="nil"/>
                    <w:right w:val="nil"/>
                  </w:tcBorders>
                  <w:shd w:val="clear" w:color="000000" w:fill="EDEDED"/>
                  <w:noWrap/>
                  <w:vAlign w:val="bottom"/>
                  <w:hideMark/>
                </w:tcPr>
                <w:p w14:paraId="60C7855E"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population</w:t>
                  </w:r>
                </w:p>
              </w:tc>
              <w:tc>
                <w:tcPr>
                  <w:tcW w:w="799" w:type="dxa"/>
                  <w:tcBorders>
                    <w:top w:val="nil"/>
                    <w:left w:val="nil"/>
                    <w:bottom w:val="nil"/>
                    <w:right w:val="nil"/>
                  </w:tcBorders>
                  <w:shd w:val="clear" w:color="000000" w:fill="EDEDED"/>
                  <w:noWrap/>
                  <w:vAlign w:val="bottom"/>
                  <w:hideMark/>
                </w:tcPr>
                <w:p w14:paraId="61544050"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 </w:t>
                  </w:r>
                </w:p>
              </w:tc>
              <w:tc>
                <w:tcPr>
                  <w:tcW w:w="1825" w:type="dxa"/>
                  <w:tcBorders>
                    <w:top w:val="nil"/>
                    <w:left w:val="nil"/>
                    <w:bottom w:val="nil"/>
                    <w:right w:val="single" w:sz="8" w:space="0" w:color="auto"/>
                  </w:tcBorders>
                  <w:shd w:val="clear" w:color="000000" w:fill="EDEDED"/>
                  <w:noWrap/>
                  <w:vAlign w:val="bottom"/>
                  <w:hideMark/>
                </w:tcPr>
                <w:p w14:paraId="78341CBE"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completion rate</w:t>
                  </w:r>
                </w:p>
              </w:tc>
            </w:tr>
            <w:tr w:rsidR="00AF4DE0" w:rsidRPr="00D43138" w14:paraId="24F114B3" w14:textId="77777777" w:rsidTr="00CA4714">
              <w:trPr>
                <w:trHeight w:val="288"/>
              </w:trPr>
              <w:tc>
                <w:tcPr>
                  <w:tcW w:w="1247" w:type="dxa"/>
                  <w:tcBorders>
                    <w:top w:val="single" w:sz="4" w:space="0" w:color="auto"/>
                    <w:left w:val="single" w:sz="8" w:space="0" w:color="auto"/>
                    <w:bottom w:val="nil"/>
                    <w:right w:val="nil"/>
                  </w:tcBorders>
                  <w:shd w:val="clear" w:color="000000" w:fill="DDEBF7"/>
                  <w:noWrap/>
                  <w:vAlign w:val="bottom"/>
                  <w:hideMark/>
                </w:tcPr>
                <w:p w14:paraId="5E7056B7"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Benin</w:t>
                  </w:r>
                </w:p>
              </w:tc>
              <w:tc>
                <w:tcPr>
                  <w:tcW w:w="1138" w:type="dxa"/>
                  <w:tcBorders>
                    <w:top w:val="single" w:sz="4" w:space="0" w:color="auto"/>
                    <w:left w:val="nil"/>
                    <w:bottom w:val="nil"/>
                    <w:right w:val="nil"/>
                  </w:tcBorders>
                  <w:shd w:val="clear" w:color="000000" w:fill="DDEBF7"/>
                  <w:noWrap/>
                  <w:vAlign w:val="bottom"/>
                  <w:hideMark/>
                </w:tcPr>
                <w:p w14:paraId="16BB95EF"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11.8</w:t>
                  </w:r>
                </w:p>
              </w:tc>
              <w:tc>
                <w:tcPr>
                  <w:tcW w:w="1270" w:type="dxa"/>
                  <w:tcBorders>
                    <w:top w:val="single" w:sz="4" w:space="0" w:color="auto"/>
                    <w:left w:val="nil"/>
                    <w:bottom w:val="nil"/>
                    <w:right w:val="nil"/>
                  </w:tcBorders>
                  <w:shd w:val="clear" w:color="000000" w:fill="DDEBF7"/>
                  <w:noWrap/>
                  <w:vAlign w:val="bottom"/>
                  <w:hideMark/>
                </w:tcPr>
                <w:p w14:paraId="3573A813"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3432</w:t>
                  </w:r>
                </w:p>
              </w:tc>
              <w:tc>
                <w:tcPr>
                  <w:tcW w:w="1271" w:type="dxa"/>
                  <w:tcBorders>
                    <w:top w:val="single" w:sz="4" w:space="0" w:color="auto"/>
                    <w:left w:val="nil"/>
                    <w:bottom w:val="nil"/>
                    <w:right w:val="nil"/>
                  </w:tcBorders>
                  <w:shd w:val="clear" w:color="000000" w:fill="DDEBF7"/>
                  <w:noWrap/>
                  <w:vAlign w:val="bottom"/>
                  <w:hideMark/>
                </w:tcPr>
                <w:p w14:paraId="3103A7DC"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50</w:t>
                  </w:r>
                </w:p>
              </w:tc>
              <w:tc>
                <w:tcPr>
                  <w:tcW w:w="1140" w:type="dxa"/>
                  <w:tcBorders>
                    <w:top w:val="single" w:sz="4" w:space="0" w:color="auto"/>
                    <w:left w:val="nil"/>
                    <w:bottom w:val="nil"/>
                    <w:right w:val="nil"/>
                  </w:tcBorders>
                  <w:shd w:val="clear" w:color="000000" w:fill="DDEBF7"/>
                  <w:noWrap/>
                  <w:vAlign w:val="bottom"/>
                  <w:hideMark/>
                </w:tcPr>
                <w:p w14:paraId="744B7D48"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28</w:t>
                  </w:r>
                </w:p>
              </w:tc>
              <w:tc>
                <w:tcPr>
                  <w:tcW w:w="799" w:type="dxa"/>
                  <w:tcBorders>
                    <w:top w:val="single" w:sz="4" w:space="0" w:color="auto"/>
                    <w:left w:val="nil"/>
                    <w:bottom w:val="nil"/>
                    <w:right w:val="nil"/>
                  </w:tcBorders>
                  <w:shd w:val="clear" w:color="000000" w:fill="DDEBF7"/>
                  <w:noWrap/>
                  <w:vAlign w:val="bottom"/>
                  <w:hideMark/>
                </w:tcPr>
                <w:p w14:paraId="0F12359C"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48</w:t>
                  </w:r>
                </w:p>
              </w:tc>
              <w:tc>
                <w:tcPr>
                  <w:tcW w:w="1825" w:type="dxa"/>
                  <w:tcBorders>
                    <w:top w:val="single" w:sz="4" w:space="0" w:color="auto"/>
                    <w:left w:val="nil"/>
                    <w:bottom w:val="nil"/>
                    <w:right w:val="single" w:sz="8" w:space="0" w:color="auto"/>
                  </w:tcBorders>
                  <w:shd w:val="clear" w:color="000000" w:fill="DDEBF7"/>
                  <w:noWrap/>
                  <w:vAlign w:val="bottom"/>
                  <w:hideMark/>
                </w:tcPr>
                <w:p w14:paraId="489F5E4A"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64</w:t>
                  </w:r>
                </w:p>
              </w:tc>
            </w:tr>
            <w:tr w:rsidR="00AF4DE0" w:rsidRPr="00D43138" w14:paraId="505AEA3B" w14:textId="77777777" w:rsidTr="00CA4714">
              <w:trPr>
                <w:trHeight w:val="288"/>
              </w:trPr>
              <w:tc>
                <w:tcPr>
                  <w:tcW w:w="1247" w:type="dxa"/>
                  <w:tcBorders>
                    <w:top w:val="nil"/>
                    <w:left w:val="single" w:sz="8" w:space="0" w:color="auto"/>
                    <w:bottom w:val="nil"/>
                    <w:right w:val="nil"/>
                  </w:tcBorders>
                  <w:shd w:val="clear" w:color="000000" w:fill="DDEBF7"/>
                  <w:noWrap/>
                  <w:vAlign w:val="bottom"/>
                  <w:hideMark/>
                </w:tcPr>
                <w:p w14:paraId="4FB3EC5F"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Burkina Faso</w:t>
                  </w:r>
                </w:p>
              </w:tc>
              <w:tc>
                <w:tcPr>
                  <w:tcW w:w="1138" w:type="dxa"/>
                  <w:tcBorders>
                    <w:top w:val="nil"/>
                    <w:left w:val="nil"/>
                    <w:bottom w:val="nil"/>
                    <w:right w:val="nil"/>
                  </w:tcBorders>
                  <w:shd w:val="clear" w:color="000000" w:fill="DDEBF7"/>
                  <w:noWrap/>
                  <w:vAlign w:val="bottom"/>
                  <w:hideMark/>
                </w:tcPr>
                <w:p w14:paraId="447FCE14"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20.3</w:t>
                  </w:r>
                </w:p>
              </w:tc>
              <w:tc>
                <w:tcPr>
                  <w:tcW w:w="1270" w:type="dxa"/>
                  <w:tcBorders>
                    <w:top w:val="nil"/>
                    <w:left w:val="nil"/>
                    <w:bottom w:val="nil"/>
                    <w:right w:val="nil"/>
                  </w:tcBorders>
                  <w:shd w:val="clear" w:color="000000" w:fill="DDEBF7"/>
                  <w:noWrap/>
                  <w:vAlign w:val="bottom"/>
                  <w:hideMark/>
                </w:tcPr>
                <w:p w14:paraId="7611BFBC"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2275</w:t>
                  </w:r>
                </w:p>
              </w:tc>
              <w:tc>
                <w:tcPr>
                  <w:tcW w:w="1271" w:type="dxa"/>
                  <w:tcBorders>
                    <w:top w:val="nil"/>
                    <w:left w:val="nil"/>
                    <w:bottom w:val="nil"/>
                    <w:right w:val="nil"/>
                  </w:tcBorders>
                  <w:shd w:val="clear" w:color="000000" w:fill="DDEBF7"/>
                  <w:noWrap/>
                  <w:vAlign w:val="bottom"/>
                  <w:hideMark/>
                </w:tcPr>
                <w:p w14:paraId="21F593C6"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44</w:t>
                  </w:r>
                </w:p>
              </w:tc>
              <w:tc>
                <w:tcPr>
                  <w:tcW w:w="1140" w:type="dxa"/>
                  <w:tcBorders>
                    <w:top w:val="nil"/>
                    <w:left w:val="nil"/>
                    <w:bottom w:val="nil"/>
                    <w:right w:val="nil"/>
                  </w:tcBorders>
                  <w:shd w:val="clear" w:color="000000" w:fill="DDEBF7"/>
                  <w:noWrap/>
                  <w:vAlign w:val="bottom"/>
                  <w:hideMark/>
                </w:tcPr>
                <w:p w14:paraId="6532CBCC"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62</w:t>
                  </w:r>
                </w:p>
              </w:tc>
              <w:tc>
                <w:tcPr>
                  <w:tcW w:w="799" w:type="dxa"/>
                  <w:tcBorders>
                    <w:top w:val="nil"/>
                    <w:left w:val="nil"/>
                    <w:bottom w:val="nil"/>
                    <w:right w:val="nil"/>
                  </w:tcBorders>
                  <w:shd w:val="clear" w:color="000000" w:fill="DDEBF7"/>
                  <w:noWrap/>
                  <w:vAlign w:val="bottom"/>
                  <w:hideMark/>
                </w:tcPr>
                <w:p w14:paraId="68C14C24"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30</w:t>
                  </w:r>
                </w:p>
              </w:tc>
              <w:tc>
                <w:tcPr>
                  <w:tcW w:w="1825" w:type="dxa"/>
                  <w:tcBorders>
                    <w:top w:val="nil"/>
                    <w:left w:val="nil"/>
                    <w:bottom w:val="nil"/>
                    <w:right w:val="single" w:sz="8" w:space="0" w:color="auto"/>
                  </w:tcBorders>
                  <w:shd w:val="clear" w:color="000000" w:fill="DDEBF7"/>
                  <w:noWrap/>
                  <w:vAlign w:val="bottom"/>
                  <w:hideMark/>
                </w:tcPr>
                <w:p w14:paraId="5A92E4A8"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65</w:t>
                  </w:r>
                </w:p>
              </w:tc>
            </w:tr>
            <w:tr w:rsidR="00AF4DE0" w:rsidRPr="00D43138" w14:paraId="41666E98" w14:textId="77777777" w:rsidTr="00CA4714">
              <w:trPr>
                <w:trHeight w:val="288"/>
              </w:trPr>
              <w:tc>
                <w:tcPr>
                  <w:tcW w:w="1247" w:type="dxa"/>
                  <w:tcBorders>
                    <w:top w:val="nil"/>
                    <w:left w:val="single" w:sz="8" w:space="0" w:color="auto"/>
                    <w:bottom w:val="nil"/>
                    <w:right w:val="nil"/>
                  </w:tcBorders>
                  <w:shd w:val="clear" w:color="000000" w:fill="DDEBF7"/>
                  <w:noWrap/>
                  <w:vAlign w:val="bottom"/>
                  <w:hideMark/>
                </w:tcPr>
                <w:p w14:paraId="4AD8B42C"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Cameroon</w:t>
                  </w:r>
                </w:p>
              </w:tc>
              <w:tc>
                <w:tcPr>
                  <w:tcW w:w="1138" w:type="dxa"/>
                  <w:tcBorders>
                    <w:top w:val="nil"/>
                    <w:left w:val="nil"/>
                    <w:bottom w:val="nil"/>
                    <w:right w:val="nil"/>
                  </w:tcBorders>
                  <w:shd w:val="clear" w:color="000000" w:fill="DDEBF7"/>
                  <w:noWrap/>
                  <w:vAlign w:val="bottom"/>
                  <w:hideMark/>
                </w:tcPr>
                <w:p w14:paraId="7684D48C"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25.9</w:t>
                  </w:r>
                </w:p>
              </w:tc>
              <w:tc>
                <w:tcPr>
                  <w:tcW w:w="1270" w:type="dxa"/>
                  <w:tcBorders>
                    <w:top w:val="nil"/>
                    <w:left w:val="nil"/>
                    <w:bottom w:val="nil"/>
                    <w:right w:val="nil"/>
                  </w:tcBorders>
                  <w:shd w:val="clear" w:color="000000" w:fill="DDEBF7"/>
                  <w:noWrap/>
                  <w:vAlign w:val="bottom"/>
                  <w:hideMark/>
                </w:tcPr>
                <w:p w14:paraId="60DAF385"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3804</w:t>
                  </w:r>
                </w:p>
              </w:tc>
              <w:tc>
                <w:tcPr>
                  <w:tcW w:w="1271" w:type="dxa"/>
                  <w:tcBorders>
                    <w:top w:val="nil"/>
                    <w:left w:val="nil"/>
                    <w:bottom w:val="nil"/>
                    <w:right w:val="nil"/>
                  </w:tcBorders>
                  <w:shd w:val="clear" w:color="000000" w:fill="DDEBF7"/>
                  <w:noWrap/>
                  <w:vAlign w:val="bottom"/>
                  <w:hideMark/>
                </w:tcPr>
                <w:p w14:paraId="4ABD2E7A"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26</w:t>
                  </w:r>
                </w:p>
              </w:tc>
              <w:tc>
                <w:tcPr>
                  <w:tcW w:w="1140" w:type="dxa"/>
                  <w:tcBorders>
                    <w:top w:val="nil"/>
                    <w:left w:val="nil"/>
                    <w:bottom w:val="nil"/>
                    <w:right w:val="nil"/>
                  </w:tcBorders>
                  <w:shd w:val="clear" w:color="000000" w:fill="DDEBF7"/>
                  <w:noWrap/>
                  <w:vAlign w:val="bottom"/>
                  <w:hideMark/>
                </w:tcPr>
                <w:p w14:paraId="56ACCD25"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30</w:t>
                  </w:r>
                </w:p>
              </w:tc>
              <w:tc>
                <w:tcPr>
                  <w:tcW w:w="799" w:type="dxa"/>
                  <w:tcBorders>
                    <w:top w:val="nil"/>
                    <w:left w:val="nil"/>
                    <w:bottom w:val="nil"/>
                    <w:right w:val="nil"/>
                  </w:tcBorders>
                  <w:shd w:val="clear" w:color="000000" w:fill="DDEBF7"/>
                  <w:noWrap/>
                  <w:vAlign w:val="bottom"/>
                  <w:hideMark/>
                </w:tcPr>
                <w:p w14:paraId="3E46E194"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57</w:t>
                  </w:r>
                </w:p>
              </w:tc>
              <w:tc>
                <w:tcPr>
                  <w:tcW w:w="1825" w:type="dxa"/>
                  <w:tcBorders>
                    <w:top w:val="nil"/>
                    <w:left w:val="nil"/>
                    <w:bottom w:val="nil"/>
                    <w:right w:val="single" w:sz="8" w:space="0" w:color="auto"/>
                  </w:tcBorders>
                  <w:shd w:val="clear" w:color="000000" w:fill="DDEBF7"/>
                  <w:noWrap/>
                  <w:vAlign w:val="bottom"/>
                  <w:hideMark/>
                </w:tcPr>
                <w:p w14:paraId="4048BC23"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65</w:t>
                  </w:r>
                </w:p>
              </w:tc>
            </w:tr>
            <w:tr w:rsidR="00AF4DE0" w:rsidRPr="00D43138" w14:paraId="5C461AA3" w14:textId="77777777" w:rsidTr="00CA4714">
              <w:trPr>
                <w:trHeight w:val="288"/>
              </w:trPr>
              <w:tc>
                <w:tcPr>
                  <w:tcW w:w="1247" w:type="dxa"/>
                  <w:tcBorders>
                    <w:top w:val="nil"/>
                    <w:left w:val="single" w:sz="8" w:space="0" w:color="auto"/>
                    <w:bottom w:val="nil"/>
                    <w:right w:val="nil"/>
                  </w:tcBorders>
                  <w:shd w:val="clear" w:color="000000" w:fill="DDEBF7"/>
                  <w:noWrap/>
                  <w:vAlign w:val="bottom"/>
                  <w:hideMark/>
                </w:tcPr>
                <w:p w14:paraId="11AD9BEE"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Congo</w:t>
                  </w:r>
                </w:p>
              </w:tc>
              <w:tc>
                <w:tcPr>
                  <w:tcW w:w="1138" w:type="dxa"/>
                  <w:tcBorders>
                    <w:top w:val="nil"/>
                    <w:left w:val="nil"/>
                    <w:bottom w:val="nil"/>
                    <w:right w:val="nil"/>
                  </w:tcBorders>
                  <w:shd w:val="clear" w:color="000000" w:fill="DDEBF7"/>
                  <w:noWrap/>
                  <w:vAlign w:val="bottom"/>
                  <w:hideMark/>
                </w:tcPr>
                <w:p w14:paraId="4C43C3B7"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5.4</w:t>
                  </w:r>
                </w:p>
              </w:tc>
              <w:tc>
                <w:tcPr>
                  <w:tcW w:w="1270" w:type="dxa"/>
                  <w:tcBorders>
                    <w:top w:val="nil"/>
                    <w:left w:val="nil"/>
                    <w:bottom w:val="nil"/>
                    <w:right w:val="nil"/>
                  </w:tcBorders>
                  <w:shd w:val="clear" w:color="000000" w:fill="DDEBF7"/>
                  <w:noWrap/>
                  <w:vAlign w:val="bottom"/>
                  <w:hideMark/>
                </w:tcPr>
                <w:p w14:paraId="5EB81D8B"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3836</w:t>
                  </w:r>
                </w:p>
              </w:tc>
              <w:tc>
                <w:tcPr>
                  <w:tcW w:w="1271" w:type="dxa"/>
                  <w:tcBorders>
                    <w:top w:val="nil"/>
                    <w:left w:val="nil"/>
                    <w:bottom w:val="nil"/>
                    <w:right w:val="nil"/>
                  </w:tcBorders>
                  <w:shd w:val="clear" w:color="000000" w:fill="DDEBF7"/>
                  <w:noWrap/>
                  <w:vAlign w:val="bottom"/>
                  <w:hideMark/>
                </w:tcPr>
                <w:p w14:paraId="58524412"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40</w:t>
                  </w:r>
                </w:p>
              </w:tc>
              <w:tc>
                <w:tcPr>
                  <w:tcW w:w="1140" w:type="dxa"/>
                  <w:tcBorders>
                    <w:top w:val="nil"/>
                    <w:left w:val="nil"/>
                    <w:bottom w:val="nil"/>
                    <w:right w:val="nil"/>
                  </w:tcBorders>
                  <w:shd w:val="clear" w:color="000000" w:fill="DDEBF7"/>
                  <w:noWrap/>
                  <w:vAlign w:val="bottom"/>
                  <w:hideMark/>
                </w:tcPr>
                <w:p w14:paraId="670A59ED"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24</w:t>
                  </w:r>
                </w:p>
              </w:tc>
              <w:tc>
                <w:tcPr>
                  <w:tcW w:w="799" w:type="dxa"/>
                  <w:tcBorders>
                    <w:top w:val="nil"/>
                    <w:left w:val="nil"/>
                    <w:bottom w:val="nil"/>
                    <w:right w:val="nil"/>
                  </w:tcBorders>
                  <w:shd w:val="clear" w:color="000000" w:fill="DDEBF7"/>
                  <w:noWrap/>
                  <w:vAlign w:val="bottom"/>
                  <w:hideMark/>
                </w:tcPr>
                <w:p w14:paraId="1328CED0"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67</w:t>
                  </w:r>
                </w:p>
              </w:tc>
              <w:tc>
                <w:tcPr>
                  <w:tcW w:w="1825" w:type="dxa"/>
                  <w:tcBorders>
                    <w:top w:val="nil"/>
                    <w:left w:val="nil"/>
                    <w:bottom w:val="nil"/>
                    <w:right w:val="single" w:sz="8" w:space="0" w:color="auto"/>
                  </w:tcBorders>
                  <w:shd w:val="clear" w:color="000000" w:fill="DDEBF7"/>
                  <w:noWrap/>
                  <w:vAlign w:val="bottom"/>
                  <w:hideMark/>
                </w:tcPr>
                <w:p w14:paraId="1F92C2C1"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72</w:t>
                  </w:r>
                </w:p>
              </w:tc>
            </w:tr>
            <w:tr w:rsidR="00AF4DE0" w:rsidRPr="00D43138" w14:paraId="1F4EB582" w14:textId="77777777" w:rsidTr="00CA4714">
              <w:trPr>
                <w:trHeight w:val="288"/>
              </w:trPr>
              <w:tc>
                <w:tcPr>
                  <w:tcW w:w="1247" w:type="dxa"/>
                  <w:tcBorders>
                    <w:top w:val="nil"/>
                    <w:left w:val="single" w:sz="8" w:space="0" w:color="auto"/>
                    <w:bottom w:val="nil"/>
                    <w:right w:val="nil"/>
                  </w:tcBorders>
                  <w:shd w:val="clear" w:color="000000" w:fill="DDEBF7"/>
                  <w:noWrap/>
                  <w:vAlign w:val="bottom"/>
                  <w:hideMark/>
                </w:tcPr>
                <w:p w14:paraId="0878C5B8"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Cote d'Ivoire</w:t>
                  </w:r>
                </w:p>
              </w:tc>
              <w:tc>
                <w:tcPr>
                  <w:tcW w:w="1138" w:type="dxa"/>
                  <w:tcBorders>
                    <w:top w:val="nil"/>
                    <w:left w:val="nil"/>
                    <w:bottom w:val="nil"/>
                    <w:right w:val="nil"/>
                  </w:tcBorders>
                  <w:shd w:val="clear" w:color="000000" w:fill="DDEBF7"/>
                  <w:noWrap/>
                  <w:vAlign w:val="bottom"/>
                  <w:hideMark/>
                </w:tcPr>
                <w:p w14:paraId="1C45E9E7"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25.7</w:t>
                  </w:r>
                </w:p>
              </w:tc>
              <w:tc>
                <w:tcPr>
                  <w:tcW w:w="1270" w:type="dxa"/>
                  <w:tcBorders>
                    <w:top w:val="nil"/>
                    <w:left w:val="nil"/>
                    <w:bottom w:val="nil"/>
                    <w:right w:val="nil"/>
                  </w:tcBorders>
                  <w:shd w:val="clear" w:color="000000" w:fill="DDEBF7"/>
                  <w:noWrap/>
                  <w:vAlign w:val="bottom"/>
                  <w:hideMark/>
                </w:tcPr>
                <w:p w14:paraId="412B1663"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5443</w:t>
                  </w:r>
                </w:p>
              </w:tc>
              <w:tc>
                <w:tcPr>
                  <w:tcW w:w="1271" w:type="dxa"/>
                  <w:tcBorders>
                    <w:top w:val="nil"/>
                    <w:left w:val="nil"/>
                    <w:bottom w:val="nil"/>
                    <w:right w:val="nil"/>
                  </w:tcBorders>
                  <w:shd w:val="clear" w:color="000000" w:fill="DDEBF7"/>
                  <w:noWrap/>
                  <w:vAlign w:val="bottom"/>
                  <w:hideMark/>
                </w:tcPr>
                <w:p w14:paraId="2D06BB25"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30</w:t>
                  </w:r>
                </w:p>
              </w:tc>
              <w:tc>
                <w:tcPr>
                  <w:tcW w:w="1140" w:type="dxa"/>
                  <w:tcBorders>
                    <w:top w:val="nil"/>
                    <w:left w:val="nil"/>
                    <w:bottom w:val="nil"/>
                    <w:right w:val="nil"/>
                  </w:tcBorders>
                  <w:shd w:val="clear" w:color="000000" w:fill="DDEBF7"/>
                  <w:noWrap/>
                  <w:vAlign w:val="bottom"/>
                  <w:hideMark/>
                </w:tcPr>
                <w:p w14:paraId="7646327C"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43</w:t>
                  </w:r>
                </w:p>
              </w:tc>
              <w:tc>
                <w:tcPr>
                  <w:tcW w:w="799" w:type="dxa"/>
                  <w:tcBorders>
                    <w:top w:val="nil"/>
                    <w:left w:val="nil"/>
                    <w:bottom w:val="nil"/>
                    <w:right w:val="nil"/>
                  </w:tcBorders>
                  <w:shd w:val="clear" w:color="000000" w:fill="DDEBF7"/>
                  <w:noWrap/>
                  <w:vAlign w:val="bottom"/>
                  <w:hideMark/>
                </w:tcPr>
                <w:p w14:paraId="7E0BBA27"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51</w:t>
                  </w:r>
                </w:p>
              </w:tc>
              <w:tc>
                <w:tcPr>
                  <w:tcW w:w="1825" w:type="dxa"/>
                  <w:tcBorders>
                    <w:top w:val="nil"/>
                    <w:left w:val="nil"/>
                    <w:bottom w:val="nil"/>
                    <w:right w:val="single" w:sz="8" w:space="0" w:color="auto"/>
                  </w:tcBorders>
                  <w:shd w:val="clear" w:color="000000" w:fill="DDEBF7"/>
                  <w:noWrap/>
                  <w:vAlign w:val="bottom"/>
                  <w:hideMark/>
                </w:tcPr>
                <w:p w14:paraId="22F154CB"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79</w:t>
                  </w:r>
                </w:p>
              </w:tc>
            </w:tr>
            <w:tr w:rsidR="00AF4DE0" w:rsidRPr="00D43138" w14:paraId="58BAE721" w14:textId="77777777" w:rsidTr="00CA4714">
              <w:trPr>
                <w:trHeight w:val="288"/>
              </w:trPr>
              <w:tc>
                <w:tcPr>
                  <w:tcW w:w="1247" w:type="dxa"/>
                  <w:tcBorders>
                    <w:top w:val="nil"/>
                    <w:left w:val="single" w:sz="8" w:space="0" w:color="auto"/>
                    <w:bottom w:val="nil"/>
                    <w:right w:val="nil"/>
                  </w:tcBorders>
                  <w:shd w:val="clear" w:color="000000" w:fill="DDEBF7"/>
                  <w:noWrap/>
                  <w:vAlign w:val="bottom"/>
                  <w:hideMark/>
                </w:tcPr>
                <w:p w14:paraId="2995F3D3"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Niger</w:t>
                  </w:r>
                </w:p>
              </w:tc>
              <w:tc>
                <w:tcPr>
                  <w:tcW w:w="1138" w:type="dxa"/>
                  <w:tcBorders>
                    <w:top w:val="nil"/>
                    <w:left w:val="nil"/>
                    <w:bottom w:val="nil"/>
                    <w:right w:val="nil"/>
                  </w:tcBorders>
                  <w:shd w:val="clear" w:color="000000" w:fill="DDEBF7"/>
                  <w:noWrap/>
                  <w:vAlign w:val="bottom"/>
                  <w:hideMark/>
                </w:tcPr>
                <w:p w14:paraId="78B7B6F2"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23.3</w:t>
                  </w:r>
                </w:p>
              </w:tc>
              <w:tc>
                <w:tcPr>
                  <w:tcW w:w="1270" w:type="dxa"/>
                  <w:tcBorders>
                    <w:top w:val="nil"/>
                    <w:left w:val="nil"/>
                    <w:bottom w:val="nil"/>
                    <w:right w:val="nil"/>
                  </w:tcBorders>
                  <w:shd w:val="clear" w:color="000000" w:fill="DDEBF7"/>
                  <w:noWrap/>
                  <w:vAlign w:val="bottom"/>
                  <w:hideMark/>
                </w:tcPr>
                <w:p w14:paraId="3AF26530"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1279</w:t>
                  </w:r>
                </w:p>
              </w:tc>
              <w:tc>
                <w:tcPr>
                  <w:tcW w:w="1271" w:type="dxa"/>
                  <w:tcBorders>
                    <w:top w:val="nil"/>
                    <w:left w:val="nil"/>
                    <w:bottom w:val="nil"/>
                    <w:right w:val="nil"/>
                  </w:tcBorders>
                  <w:shd w:val="clear" w:color="000000" w:fill="DDEBF7"/>
                  <w:noWrap/>
                  <w:vAlign w:val="bottom"/>
                  <w:hideMark/>
                </w:tcPr>
                <w:p w14:paraId="0020C546"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45</w:t>
                  </w:r>
                </w:p>
              </w:tc>
              <w:tc>
                <w:tcPr>
                  <w:tcW w:w="1140" w:type="dxa"/>
                  <w:tcBorders>
                    <w:top w:val="nil"/>
                    <w:left w:val="nil"/>
                    <w:bottom w:val="nil"/>
                    <w:right w:val="nil"/>
                  </w:tcBorders>
                  <w:shd w:val="clear" w:color="000000" w:fill="DDEBF7"/>
                  <w:noWrap/>
                  <w:vAlign w:val="bottom"/>
                  <w:hideMark/>
                </w:tcPr>
                <w:p w14:paraId="043CB1F3"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98</w:t>
                  </w:r>
                </w:p>
              </w:tc>
              <w:tc>
                <w:tcPr>
                  <w:tcW w:w="799" w:type="dxa"/>
                  <w:tcBorders>
                    <w:top w:val="nil"/>
                    <w:left w:val="nil"/>
                    <w:bottom w:val="nil"/>
                    <w:right w:val="nil"/>
                  </w:tcBorders>
                  <w:shd w:val="clear" w:color="000000" w:fill="DDEBF7"/>
                  <w:noWrap/>
                  <w:vAlign w:val="bottom"/>
                  <w:hideMark/>
                </w:tcPr>
                <w:p w14:paraId="27836E81"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17</w:t>
                  </w:r>
                </w:p>
              </w:tc>
              <w:tc>
                <w:tcPr>
                  <w:tcW w:w="1825" w:type="dxa"/>
                  <w:tcBorders>
                    <w:top w:val="nil"/>
                    <w:left w:val="nil"/>
                    <w:bottom w:val="nil"/>
                    <w:right w:val="single" w:sz="8" w:space="0" w:color="auto"/>
                  </w:tcBorders>
                  <w:shd w:val="clear" w:color="000000" w:fill="DDEBF7"/>
                  <w:noWrap/>
                  <w:vAlign w:val="bottom"/>
                  <w:hideMark/>
                </w:tcPr>
                <w:p w14:paraId="783307B0"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62</w:t>
                  </w:r>
                </w:p>
              </w:tc>
            </w:tr>
            <w:tr w:rsidR="00AF4DE0" w:rsidRPr="00D43138" w14:paraId="49E74062" w14:textId="77777777" w:rsidTr="00CA4714">
              <w:trPr>
                <w:trHeight w:val="288"/>
              </w:trPr>
              <w:tc>
                <w:tcPr>
                  <w:tcW w:w="1247" w:type="dxa"/>
                  <w:tcBorders>
                    <w:top w:val="nil"/>
                    <w:left w:val="single" w:sz="8" w:space="0" w:color="auto"/>
                    <w:bottom w:val="nil"/>
                    <w:right w:val="nil"/>
                  </w:tcBorders>
                  <w:shd w:val="clear" w:color="000000" w:fill="DDEBF7"/>
                  <w:noWrap/>
                  <w:vAlign w:val="bottom"/>
                  <w:hideMark/>
                </w:tcPr>
                <w:p w14:paraId="1541CCB6"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Senegal</w:t>
                  </w:r>
                </w:p>
              </w:tc>
              <w:tc>
                <w:tcPr>
                  <w:tcW w:w="1138" w:type="dxa"/>
                  <w:tcBorders>
                    <w:top w:val="nil"/>
                    <w:left w:val="nil"/>
                    <w:bottom w:val="nil"/>
                    <w:right w:val="nil"/>
                  </w:tcBorders>
                  <w:shd w:val="clear" w:color="000000" w:fill="DDEBF7"/>
                  <w:noWrap/>
                  <w:vAlign w:val="bottom"/>
                  <w:hideMark/>
                </w:tcPr>
                <w:p w14:paraId="18570EED"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16.3</w:t>
                  </w:r>
                </w:p>
              </w:tc>
              <w:tc>
                <w:tcPr>
                  <w:tcW w:w="1270" w:type="dxa"/>
                  <w:tcBorders>
                    <w:top w:val="nil"/>
                    <w:left w:val="nil"/>
                    <w:bottom w:val="nil"/>
                    <w:right w:val="nil"/>
                  </w:tcBorders>
                  <w:shd w:val="clear" w:color="000000" w:fill="DDEBF7"/>
                  <w:noWrap/>
                  <w:vAlign w:val="bottom"/>
                  <w:hideMark/>
                </w:tcPr>
                <w:p w14:paraId="5EE46566"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3545</w:t>
                  </w:r>
                </w:p>
              </w:tc>
              <w:tc>
                <w:tcPr>
                  <w:tcW w:w="1271" w:type="dxa"/>
                  <w:tcBorders>
                    <w:top w:val="nil"/>
                    <w:left w:val="nil"/>
                    <w:bottom w:val="nil"/>
                    <w:right w:val="nil"/>
                  </w:tcBorders>
                  <w:shd w:val="clear" w:color="000000" w:fill="DDEBF7"/>
                  <w:noWrap/>
                  <w:vAlign w:val="bottom"/>
                  <w:hideMark/>
                </w:tcPr>
                <w:p w14:paraId="7B12E8F2"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39</w:t>
                  </w:r>
                </w:p>
              </w:tc>
              <w:tc>
                <w:tcPr>
                  <w:tcW w:w="1140" w:type="dxa"/>
                  <w:tcBorders>
                    <w:top w:val="nil"/>
                    <w:left w:val="nil"/>
                    <w:bottom w:val="nil"/>
                    <w:right w:val="nil"/>
                  </w:tcBorders>
                  <w:shd w:val="clear" w:color="000000" w:fill="DDEBF7"/>
                  <w:noWrap/>
                  <w:vAlign w:val="bottom"/>
                  <w:hideMark/>
                </w:tcPr>
                <w:p w14:paraId="1F7F8586"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96</w:t>
                  </w:r>
                </w:p>
              </w:tc>
              <w:tc>
                <w:tcPr>
                  <w:tcW w:w="799" w:type="dxa"/>
                  <w:tcBorders>
                    <w:top w:val="nil"/>
                    <w:left w:val="nil"/>
                    <w:bottom w:val="nil"/>
                    <w:right w:val="nil"/>
                  </w:tcBorders>
                  <w:shd w:val="clear" w:color="000000" w:fill="DDEBF7"/>
                  <w:noWrap/>
                  <w:vAlign w:val="bottom"/>
                  <w:hideMark/>
                </w:tcPr>
                <w:p w14:paraId="7A323806"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48</w:t>
                  </w:r>
                </w:p>
              </w:tc>
              <w:tc>
                <w:tcPr>
                  <w:tcW w:w="1825" w:type="dxa"/>
                  <w:tcBorders>
                    <w:top w:val="nil"/>
                    <w:left w:val="nil"/>
                    <w:bottom w:val="nil"/>
                    <w:right w:val="single" w:sz="8" w:space="0" w:color="auto"/>
                  </w:tcBorders>
                  <w:shd w:val="clear" w:color="000000" w:fill="DDEBF7"/>
                  <w:noWrap/>
                  <w:vAlign w:val="bottom"/>
                  <w:hideMark/>
                </w:tcPr>
                <w:p w14:paraId="739C2FEB"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61</w:t>
                  </w:r>
                </w:p>
              </w:tc>
            </w:tr>
            <w:tr w:rsidR="00AF4DE0" w:rsidRPr="00D43138" w14:paraId="61AE47B9" w14:textId="77777777" w:rsidTr="00CA4714">
              <w:trPr>
                <w:trHeight w:val="288"/>
              </w:trPr>
              <w:tc>
                <w:tcPr>
                  <w:tcW w:w="1247" w:type="dxa"/>
                  <w:tcBorders>
                    <w:top w:val="nil"/>
                    <w:left w:val="single" w:sz="8" w:space="0" w:color="auto"/>
                    <w:bottom w:val="nil"/>
                    <w:right w:val="nil"/>
                  </w:tcBorders>
                  <w:shd w:val="clear" w:color="000000" w:fill="DDEBF7"/>
                  <w:noWrap/>
                  <w:vAlign w:val="bottom"/>
                  <w:hideMark/>
                </w:tcPr>
                <w:p w14:paraId="479DCCBD"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Tchad</w:t>
                  </w:r>
                </w:p>
              </w:tc>
              <w:tc>
                <w:tcPr>
                  <w:tcW w:w="1138" w:type="dxa"/>
                  <w:tcBorders>
                    <w:top w:val="nil"/>
                    <w:left w:val="nil"/>
                    <w:bottom w:val="nil"/>
                    <w:right w:val="nil"/>
                  </w:tcBorders>
                  <w:shd w:val="clear" w:color="000000" w:fill="DDEBF7"/>
                  <w:noWrap/>
                  <w:vAlign w:val="bottom"/>
                  <w:hideMark/>
                </w:tcPr>
                <w:p w14:paraId="0BC44009"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15.9</w:t>
                  </w:r>
                </w:p>
              </w:tc>
              <w:tc>
                <w:tcPr>
                  <w:tcW w:w="1270" w:type="dxa"/>
                  <w:tcBorders>
                    <w:top w:val="nil"/>
                    <w:left w:val="nil"/>
                    <w:bottom w:val="nil"/>
                    <w:right w:val="nil"/>
                  </w:tcBorders>
                  <w:shd w:val="clear" w:color="000000" w:fill="DDEBF7"/>
                  <w:noWrap/>
                  <w:vAlign w:val="bottom"/>
                  <w:hideMark/>
                </w:tcPr>
                <w:p w14:paraId="02D956CA"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1650</w:t>
                  </w:r>
                </w:p>
              </w:tc>
              <w:tc>
                <w:tcPr>
                  <w:tcW w:w="1271" w:type="dxa"/>
                  <w:tcBorders>
                    <w:top w:val="nil"/>
                    <w:left w:val="nil"/>
                    <w:bottom w:val="nil"/>
                    <w:right w:val="nil"/>
                  </w:tcBorders>
                  <w:shd w:val="clear" w:color="000000" w:fill="DDEBF7"/>
                  <w:noWrap/>
                  <w:vAlign w:val="bottom"/>
                  <w:hideMark/>
                </w:tcPr>
                <w:p w14:paraId="66E33BBA"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38</w:t>
                  </w:r>
                </w:p>
              </w:tc>
              <w:tc>
                <w:tcPr>
                  <w:tcW w:w="1140" w:type="dxa"/>
                  <w:tcBorders>
                    <w:top w:val="nil"/>
                    <w:left w:val="nil"/>
                    <w:bottom w:val="nil"/>
                    <w:right w:val="nil"/>
                  </w:tcBorders>
                  <w:shd w:val="clear" w:color="000000" w:fill="DDEBF7"/>
                  <w:noWrap/>
                  <w:vAlign w:val="bottom"/>
                  <w:hideMark/>
                </w:tcPr>
                <w:p w14:paraId="36773F31"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58</w:t>
                  </w:r>
                </w:p>
              </w:tc>
              <w:tc>
                <w:tcPr>
                  <w:tcW w:w="799" w:type="dxa"/>
                  <w:tcBorders>
                    <w:top w:val="nil"/>
                    <w:left w:val="nil"/>
                    <w:bottom w:val="nil"/>
                    <w:right w:val="nil"/>
                  </w:tcBorders>
                  <w:shd w:val="clear" w:color="000000" w:fill="DDEBF7"/>
                  <w:noWrap/>
                  <w:vAlign w:val="bottom"/>
                  <w:hideMark/>
                </w:tcPr>
                <w:p w14:paraId="17C00582"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23</w:t>
                  </w:r>
                </w:p>
              </w:tc>
              <w:tc>
                <w:tcPr>
                  <w:tcW w:w="1825" w:type="dxa"/>
                  <w:tcBorders>
                    <w:top w:val="nil"/>
                    <w:left w:val="nil"/>
                    <w:bottom w:val="nil"/>
                    <w:right w:val="single" w:sz="8" w:space="0" w:color="auto"/>
                  </w:tcBorders>
                  <w:shd w:val="clear" w:color="000000" w:fill="DDEBF7"/>
                  <w:noWrap/>
                  <w:vAlign w:val="bottom"/>
                  <w:hideMark/>
                </w:tcPr>
                <w:p w14:paraId="3CA00360"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41</w:t>
                  </w:r>
                </w:p>
              </w:tc>
            </w:tr>
            <w:tr w:rsidR="00AF4DE0" w:rsidRPr="00D43138" w14:paraId="454575C5" w14:textId="77777777" w:rsidTr="00CA4714">
              <w:trPr>
                <w:trHeight w:val="300"/>
              </w:trPr>
              <w:tc>
                <w:tcPr>
                  <w:tcW w:w="1247" w:type="dxa"/>
                  <w:tcBorders>
                    <w:top w:val="nil"/>
                    <w:left w:val="single" w:sz="8" w:space="0" w:color="auto"/>
                    <w:bottom w:val="single" w:sz="8" w:space="0" w:color="auto"/>
                    <w:right w:val="nil"/>
                  </w:tcBorders>
                  <w:shd w:val="clear" w:color="000000" w:fill="DDEBF7"/>
                  <w:noWrap/>
                  <w:vAlign w:val="bottom"/>
                  <w:hideMark/>
                </w:tcPr>
                <w:p w14:paraId="760279D7"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Togo</w:t>
                  </w:r>
                </w:p>
              </w:tc>
              <w:tc>
                <w:tcPr>
                  <w:tcW w:w="1138" w:type="dxa"/>
                  <w:tcBorders>
                    <w:top w:val="nil"/>
                    <w:left w:val="nil"/>
                    <w:bottom w:val="single" w:sz="8" w:space="0" w:color="auto"/>
                    <w:right w:val="nil"/>
                  </w:tcBorders>
                  <w:shd w:val="clear" w:color="000000" w:fill="DDEBF7"/>
                  <w:noWrap/>
                  <w:vAlign w:val="bottom"/>
                  <w:hideMark/>
                </w:tcPr>
                <w:p w14:paraId="5809340D"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8.1</w:t>
                  </w:r>
                </w:p>
              </w:tc>
              <w:tc>
                <w:tcPr>
                  <w:tcW w:w="1270" w:type="dxa"/>
                  <w:tcBorders>
                    <w:top w:val="nil"/>
                    <w:left w:val="nil"/>
                    <w:bottom w:val="single" w:sz="8" w:space="0" w:color="auto"/>
                    <w:right w:val="nil"/>
                  </w:tcBorders>
                  <w:shd w:val="clear" w:color="000000" w:fill="DDEBF7"/>
                  <w:noWrap/>
                  <w:vAlign w:val="bottom"/>
                  <w:hideMark/>
                </w:tcPr>
                <w:p w14:paraId="741EB5CE"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1667</w:t>
                  </w:r>
                </w:p>
              </w:tc>
              <w:tc>
                <w:tcPr>
                  <w:tcW w:w="1271" w:type="dxa"/>
                  <w:tcBorders>
                    <w:top w:val="nil"/>
                    <w:left w:val="nil"/>
                    <w:bottom w:val="single" w:sz="8" w:space="0" w:color="auto"/>
                    <w:right w:val="nil"/>
                  </w:tcBorders>
                  <w:shd w:val="clear" w:color="000000" w:fill="DDEBF7"/>
                  <w:noWrap/>
                  <w:vAlign w:val="bottom"/>
                  <w:hideMark/>
                </w:tcPr>
                <w:p w14:paraId="59318CEE"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51</w:t>
                  </w:r>
                </w:p>
              </w:tc>
              <w:tc>
                <w:tcPr>
                  <w:tcW w:w="1140" w:type="dxa"/>
                  <w:tcBorders>
                    <w:top w:val="nil"/>
                    <w:left w:val="nil"/>
                    <w:bottom w:val="single" w:sz="8" w:space="0" w:color="auto"/>
                    <w:right w:val="nil"/>
                  </w:tcBorders>
                  <w:shd w:val="clear" w:color="000000" w:fill="DDEBF7"/>
                  <w:noWrap/>
                  <w:vAlign w:val="bottom"/>
                  <w:hideMark/>
                </w:tcPr>
                <w:p w14:paraId="5CF87248"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20</w:t>
                  </w:r>
                </w:p>
              </w:tc>
              <w:tc>
                <w:tcPr>
                  <w:tcW w:w="799" w:type="dxa"/>
                  <w:tcBorders>
                    <w:top w:val="nil"/>
                    <w:left w:val="nil"/>
                    <w:bottom w:val="single" w:sz="8" w:space="0" w:color="auto"/>
                    <w:right w:val="nil"/>
                  </w:tcBorders>
                  <w:shd w:val="clear" w:color="000000" w:fill="DDEBF7"/>
                  <w:noWrap/>
                  <w:vAlign w:val="bottom"/>
                  <w:hideMark/>
                </w:tcPr>
                <w:p w14:paraId="42451C9B"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42</w:t>
                  </w:r>
                </w:p>
              </w:tc>
              <w:tc>
                <w:tcPr>
                  <w:tcW w:w="1825" w:type="dxa"/>
                  <w:tcBorders>
                    <w:top w:val="nil"/>
                    <w:left w:val="nil"/>
                    <w:bottom w:val="single" w:sz="8" w:space="0" w:color="auto"/>
                    <w:right w:val="single" w:sz="8" w:space="0" w:color="auto"/>
                  </w:tcBorders>
                  <w:shd w:val="clear" w:color="000000" w:fill="DDEBF7"/>
                  <w:noWrap/>
                  <w:vAlign w:val="bottom"/>
                  <w:hideMark/>
                </w:tcPr>
                <w:p w14:paraId="70674816" w14:textId="77777777" w:rsidR="00AF4DE0" w:rsidRPr="00D43138" w:rsidRDefault="00AF4DE0" w:rsidP="00AF4DE0">
                  <w:pPr>
                    <w:spacing w:after="0" w:line="240" w:lineRule="auto"/>
                    <w:jc w:val="center"/>
                    <w:rPr>
                      <w:rFonts w:ascii="Calibri" w:eastAsia="Times New Roman" w:hAnsi="Calibri" w:cs="Calibri"/>
                      <w:color w:val="000000"/>
                      <w:lang w:eastAsia="en-GB"/>
                    </w:rPr>
                  </w:pPr>
                  <w:r w:rsidRPr="00D43138">
                    <w:rPr>
                      <w:rFonts w:ascii="Calibri" w:eastAsia="Times New Roman" w:hAnsi="Calibri" w:cs="Calibri"/>
                      <w:color w:val="000000"/>
                      <w:lang w:eastAsia="en-GB"/>
                    </w:rPr>
                    <w:t>87</w:t>
                  </w:r>
                </w:p>
              </w:tc>
            </w:tr>
            <w:tr w:rsidR="00AF4DE0" w:rsidRPr="00D43138" w14:paraId="3ACA32C4" w14:textId="77777777" w:rsidTr="00CA4714">
              <w:trPr>
                <w:trHeight w:val="288"/>
              </w:trPr>
              <w:tc>
                <w:tcPr>
                  <w:tcW w:w="2385" w:type="dxa"/>
                  <w:gridSpan w:val="2"/>
                  <w:tcBorders>
                    <w:top w:val="nil"/>
                    <w:left w:val="nil"/>
                    <w:bottom w:val="nil"/>
                    <w:right w:val="nil"/>
                  </w:tcBorders>
                  <w:shd w:val="clear" w:color="auto" w:fill="auto"/>
                  <w:noWrap/>
                  <w:vAlign w:val="bottom"/>
                  <w:hideMark/>
                </w:tcPr>
                <w:p w14:paraId="14C3D11F" w14:textId="77777777" w:rsidR="00AF4DE0" w:rsidRPr="00D43138" w:rsidRDefault="00AF4DE0" w:rsidP="00AF4DE0">
                  <w:pPr>
                    <w:spacing w:after="0" w:line="240" w:lineRule="auto"/>
                    <w:rPr>
                      <w:rFonts w:ascii="Calibri" w:eastAsia="Times New Roman" w:hAnsi="Calibri" w:cs="Calibri"/>
                      <w:color w:val="000000"/>
                      <w:lang w:eastAsia="en-GB"/>
                    </w:rPr>
                  </w:pPr>
                  <w:r w:rsidRPr="00D43138">
                    <w:rPr>
                      <w:rFonts w:ascii="Calibri" w:eastAsia="Times New Roman" w:hAnsi="Calibri" w:cs="Calibri"/>
                      <w:color w:val="000000"/>
                      <w:lang w:eastAsia="en-GB"/>
                    </w:rPr>
                    <w:t xml:space="preserve">Source: World Bank </w:t>
                  </w:r>
                </w:p>
              </w:tc>
              <w:tc>
                <w:tcPr>
                  <w:tcW w:w="1270" w:type="dxa"/>
                  <w:tcBorders>
                    <w:top w:val="nil"/>
                    <w:left w:val="nil"/>
                    <w:bottom w:val="nil"/>
                    <w:right w:val="nil"/>
                  </w:tcBorders>
                  <w:shd w:val="clear" w:color="auto" w:fill="auto"/>
                  <w:noWrap/>
                  <w:vAlign w:val="bottom"/>
                  <w:hideMark/>
                </w:tcPr>
                <w:p w14:paraId="373A61D6" w14:textId="77777777" w:rsidR="00AF4DE0" w:rsidRPr="00D43138" w:rsidRDefault="00AF4DE0" w:rsidP="00AF4DE0">
                  <w:pPr>
                    <w:spacing w:after="0" w:line="240" w:lineRule="auto"/>
                    <w:rPr>
                      <w:rFonts w:ascii="Calibri" w:eastAsia="Times New Roman" w:hAnsi="Calibri" w:cs="Calibri"/>
                      <w:color w:val="000000"/>
                      <w:lang w:eastAsia="en-GB"/>
                    </w:rPr>
                  </w:pPr>
                </w:p>
              </w:tc>
              <w:tc>
                <w:tcPr>
                  <w:tcW w:w="1271" w:type="dxa"/>
                  <w:tcBorders>
                    <w:top w:val="nil"/>
                    <w:left w:val="nil"/>
                    <w:bottom w:val="nil"/>
                    <w:right w:val="nil"/>
                  </w:tcBorders>
                  <w:shd w:val="clear" w:color="auto" w:fill="auto"/>
                  <w:noWrap/>
                  <w:vAlign w:val="bottom"/>
                  <w:hideMark/>
                </w:tcPr>
                <w:p w14:paraId="55C824D5" w14:textId="77777777" w:rsidR="00AF4DE0" w:rsidRPr="00D43138" w:rsidRDefault="00AF4DE0" w:rsidP="00AF4DE0">
                  <w:pPr>
                    <w:spacing w:after="0" w:line="240" w:lineRule="auto"/>
                    <w:rPr>
                      <w:rFonts w:ascii="Times New Roman" w:eastAsia="Times New Roman" w:hAnsi="Times New Roman" w:cs="Times New Roman"/>
                      <w:sz w:val="20"/>
                      <w:szCs w:val="20"/>
                      <w:lang w:eastAsia="en-GB"/>
                    </w:rPr>
                  </w:pPr>
                </w:p>
              </w:tc>
              <w:tc>
                <w:tcPr>
                  <w:tcW w:w="1140" w:type="dxa"/>
                  <w:tcBorders>
                    <w:top w:val="nil"/>
                    <w:left w:val="nil"/>
                    <w:bottom w:val="nil"/>
                    <w:right w:val="nil"/>
                  </w:tcBorders>
                  <w:shd w:val="clear" w:color="auto" w:fill="auto"/>
                  <w:noWrap/>
                  <w:vAlign w:val="bottom"/>
                  <w:hideMark/>
                </w:tcPr>
                <w:p w14:paraId="7A39F444" w14:textId="77777777" w:rsidR="00AF4DE0" w:rsidRPr="00D43138" w:rsidRDefault="00AF4DE0" w:rsidP="00AF4DE0">
                  <w:pPr>
                    <w:spacing w:after="0" w:line="240" w:lineRule="auto"/>
                    <w:rPr>
                      <w:rFonts w:ascii="Times New Roman" w:eastAsia="Times New Roman" w:hAnsi="Times New Roman" w:cs="Times New Roman"/>
                      <w:sz w:val="20"/>
                      <w:szCs w:val="20"/>
                      <w:lang w:eastAsia="en-GB"/>
                    </w:rPr>
                  </w:pPr>
                </w:p>
              </w:tc>
              <w:tc>
                <w:tcPr>
                  <w:tcW w:w="799" w:type="dxa"/>
                  <w:tcBorders>
                    <w:top w:val="nil"/>
                    <w:left w:val="nil"/>
                    <w:bottom w:val="nil"/>
                    <w:right w:val="nil"/>
                  </w:tcBorders>
                  <w:shd w:val="clear" w:color="auto" w:fill="auto"/>
                  <w:noWrap/>
                  <w:vAlign w:val="bottom"/>
                  <w:hideMark/>
                </w:tcPr>
                <w:p w14:paraId="1C5CBC55" w14:textId="77777777" w:rsidR="00AF4DE0" w:rsidRPr="00D43138" w:rsidRDefault="00AF4DE0" w:rsidP="00AF4DE0">
                  <w:pPr>
                    <w:spacing w:after="0" w:line="240" w:lineRule="auto"/>
                    <w:rPr>
                      <w:rFonts w:ascii="Times New Roman" w:eastAsia="Times New Roman" w:hAnsi="Times New Roman" w:cs="Times New Roman"/>
                      <w:sz w:val="20"/>
                      <w:szCs w:val="20"/>
                      <w:lang w:eastAsia="en-GB"/>
                    </w:rPr>
                  </w:pPr>
                </w:p>
              </w:tc>
              <w:tc>
                <w:tcPr>
                  <w:tcW w:w="1825" w:type="dxa"/>
                  <w:tcBorders>
                    <w:top w:val="nil"/>
                    <w:left w:val="nil"/>
                    <w:bottom w:val="nil"/>
                    <w:right w:val="nil"/>
                  </w:tcBorders>
                  <w:shd w:val="clear" w:color="auto" w:fill="auto"/>
                  <w:noWrap/>
                  <w:vAlign w:val="bottom"/>
                  <w:hideMark/>
                </w:tcPr>
                <w:p w14:paraId="2CB1C473" w14:textId="77777777" w:rsidR="00AF4DE0" w:rsidRPr="00D43138" w:rsidRDefault="00AF4DE0" w:rsidP="00AF4DE0">
                  <w:pPr>
                    <w:spacing w:after="0" w:line="240" w:lineRule="auto"/>
                    <w:rPr>
                      <w:rFonts w:ascii="Times New Roman" w:eastAsia="Times New Roman" w:hAnsi="Times New Roman" w:cs="Times New Roman"/>
                      <w:sz w:val="20"/>
                      <w:szCs w:val="20"/>
                      <w:lang w:eastAsia="en-GB"/>
                    </w:rPr>
                  </w:pPr>
                </w:p>
              </w:tc>
            </w:tr>
          </w:tbl>
          <w:p w14:paraId="7A0A4B83" w14:textId="77777777" w:rsidR="00AF4DE0" w:rsidRDefault="00AF4DE0" w:rsidP="001D15BD">
            <w:pPr>
              <w:spacing w:after="0" w:line="240" w:lineRule="auto"/>
              <w:rPr>
                <w:rFonts w:ascii="Calibri" w:eastAsia="Times New Roman" w:hAnsi="Calibri" w:cs="Calibri"/>
                <w:color w:val="000000"/>
                <w:lang w:eastAsia="en-GB"/>
              </w:rPr>
            </w:pPr>
          </w:p>
          <w:tbl>
            <w:tblPr>
              <w:tblW w:w="7928" w:type="dxa"/>
              <w:tblLook w:val="04A0" w:firstRow="1" w:lastRow="0" w:firstColumn="1" w:lastColumn="0" w:noHBand="0" w:noVBand="1"/>
            </w:tblPr>
            <w:tblGrid>
              <w:gridCol w:w="1517"/>
              <w:gridCol w:w="755"/>
              <w:gridCol w:w="816"/>
              <w:gridCol w:w="868"/>
              <w:gridCol w:w="755"/>
              <w:gridCol w:w="866"/>
              <w:gridCol w:w="868"/>
              <w:gridCol w:w="755"/>
              <w:gridCol w:w="736"/>
              <w:gridCol w:w="868"/>
            </w:tblGrid>
            <w:tr w:rsidR="00AF4DE0" w:rsidRPr="000052F6" w14:paraId="3E434DAF" w14:textId="77777777" w:rsidTr="00E86245">
              <w:trPr>
                <w:trHeight w:val="300"/>
              </w:trPr>
              <w:tc>
                <w:tcPr>
                  <w:tcW w:w="6416" w:type="dxa"/>
                  <w:gridSpan w:val="8"/>
                  <w:tcBorders>
                    <w:top w:val="nil"/>
                    <w:left w:val="nil"/>
                    <w:bottom w:val="nil"/>
                    <w:right w:val="nil"/>
                  </w:tcBorders>
                  <w:shd w:val="clear" w:color="auto" w:fill="auto"/>
                  <w:noWrap/>
                  <w:vAlign w:val="bottom"/>
                  <w:hideMark/>
                </w:tcPr>
                <w:p w14:paraId="77FFD746"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Table 2: Breakdown of Grade 6 enrolments by location and ownership</w:t>
                  </w:r>
                </w:p>
              </w:tc>
              <w:tc>
                <w:tcPr>
                  <w:tcW w:w="736" w:type="dxa"/>
                  <w:tcBorders>
                    <w:top w:val="nil"/>
                    <w:left w:val="nil"/>
                    <w:bottom w:val="nil"/>
                    <w:right w:val="nil"/>
                  </w:tcBorders>
                  <w:shd w:val="clear" w:color="auto" w:fill="auto"/>
                  <w:noWrap/>
                  <w:vAlign w:val="bottom"/>
                  <w:hideMark/>
                </w:tcPr>
                <w:p w14:paraId="2CF28DD8" w14:textId="77777777" w:rsidR="00AF4DE0" w:rsidRPr="000052F6" w:rsidRDefault="00AF4DE0" w:rsidP="00AF4DE0">
                  <w:pPr>
                    <w:spacing w:after="0" w:line="240" w:lineRule="auto"/>
                    <w:rPr>
                      <w:rFonts w:ascii="Calibri" w:eastAsia="Times New Roman" w:hAnsi="Calibri" w:cs="Calibri"/>
                      <w:color w:val="000000"/>
                      <w:lang w:eastAsia="en-GB"/>
                    </w:rPr>
                  </w:pPr>
                </w:p>
              </w:tc>
              <w:tc>
                <w:tcPr>
                  <w:tcW w:w="776" w:type="dxa"/>
                  <w:tcBorders>
                    <w:top w:val="nil"/>
                    <w:left w:val="nil"/>
                    <w:bottom w:val="nil"/>
                    <w:right w:val="nil"/>
                  </w:tcBorders>
                  <w:shd w:val="clear" w:color="auto" w:fill="auto"/>
                  <w:noWrap/>
                  <w:vAlign w:val="bottom"/>
                  <w:hideMark/>
                </w:tcPr>
                <w:p w14:paraId="70386338" w14:textId="77777777" w:rsidR="00AF4DE0" w:rsidRPr="000052F6" w:rsidRDefault="00AF4DE0" w:rsidP="00AF4DE0">
                  <w:pPr>
                    <w:spacing w:after="0" w:line="240" w:lineRule="auto"/>
                    <w:rPr>
                      <w:rFonts w:ascii="Times New Roman" w:eastAsia="Times New Roman" w:hAnsi="Times New Roman" w:cs="Times New Roman"/>
                      <w:sz w:val="20"/>
                      <w:szCs w:val="20"/>
                      <w:lang w:eastAsia="en-GB"/>
                    </w:rPr>
                  </w:pPr>
                </w:p>
              </w:tc>
            </w:tr>
            <w:tr w:rsidR="00AF4DE0" w:rsidRPr="000052F6" w14:paraId="3F7EA27B" w14:textId="77777777" w:rsidTr="00E86245">
              <w:trPr>
                <w:trHeight w:val="288"/>
              </w:trPr>
              <w:tc>
                <w:tcPr>
                  <w:tcW w:w="1517" w:type="dxa"/>
                  <w:tcBorders>
                    <w:top w:val="single" w:sz="8" w:space="0" w:color="auto"/>
                    <w:left w:val="single" w:sz="8" w:space="0" w:color="auto"/>
                    <w:bottom w:val="nil"/>
                    <w:right w:val="nil"/>
                  </w:tcBorders>
                  <w:shd w:val="clear" w:color="000000" w:fill="EDEDED"/>
                  <w:noWrap/>
                  <w:vAlign w:val="bottom"/>
                  <w:hideMark/>
                </w:tcPr>
                <w:p w14:paraId="3708139B"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 </w:t>
                  </w:r>
                </w:p>
              </w:tc>
              <w:tc>
                <w:tcPr>
                  <w:tcW w:w="630" w:type="dxa"/>
                  <w:tcBorders>
                    <w:top w:val="single" w:sz="8" w:space="0" w:color="auto"/>
                    <w:left w:val="nil"/>
                    <w:bottom w:val="nil"/>
                    <w:right w:val="nil"/>
                  </w:tcBorders>
                  <w:shd w:val="clear" w:color="000000" w:fill="EDEDED"/>
                  <w:noWrap/>
                  <w:vAlign w:val="bottom"/>
                  <w:hideMark/>
                </w:tcPr>
                <w:p w14:paraId="4BE503C4"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 </w:t>
                  </w:r>
                </w:p>
              </w:tc>
              <w:tc>
                <w:tcPr>
                  <w:tcW w:w="701" w:type="dxa"/>
                  <w:tcBorders>
                    <w:top w:val="single" w:sz="8" w:space="0" w:color="auto"/>
                    <w:left w:val="nil"/>
                    <w:bottom w:val="nil"/>
                    <w:right w:val="nil"/>
                  </w:tcBorders>
                  <w:shd w:val="clear" w:color="000000" w:fill="EDEDED"/>
                  <w:noWrap/>
                  <w:vAlign w:val="bottom"/>
                  <w:hideMark/>
                </w:tcPr>
                <w:p w14:paraId="2BCE439B"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RURAL</w:t>
                  </w:r>
                </w:p>
              </w:tc>
              <w:tc>
                <w:tcPr>
                  <w:tcW w:w="768" w:type="dxa"/>
                  <w:tcBorders>
                    <w:top w:val="single" w:sz="8" w:space="0" w:color="auto"/>
                    <w:left w:val="nil"/>
                    <w:bottom w:val="nil"/>
                    <w:right w:val="nil"/>
                  </w:tcBorders>
                  <w:shd w:val="clear" w:color="000000" w:fill="EDEDED"/>
                  <w:noWrap/>
                  <w:vAlign w:val="bottom"/>
                  <w:hideMark/>
                </w:tcPr>
                <w:p w14:paraId="23045D23"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 </w:t>
                  </w:r>
                </w:p>
              </w:tc>
              <w:tc>
                <w:tcPr>
                  <w:tcW w:w="636" w:type="dxa"/>
                  <w:tcBorders>
                    <w:top w:val="single" w:sz="8" w:space="0" w:color="auto"/>
                    <w:left w:val="single" w:sz="4" w:space="0" w:color="auto"/>
                    <w:bottom w:val="nil"/>
                    <w:right w:val="nil"/>
                  </w:tcBorders>
                  <w:shd w:val="clear" w:color="000000" w:fill="EDEDED"/>
                  <w:noWrap/>
                  <w:vAlign w:val="bottom"/>
                  <w:hideMark/>
                </w:tcPr>
                <w:p w14:paraId="7975DAA8"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 </w:t>
                  </w:r>
                </w:p>
              </w:tc>
              <w:tc>
                <w:tcPr>
                  <w:tcW w:w="760" w:type="dxa"/>
                  <w:tcBorders>
                    <w:top w:val="single" w:sz="8" w:space="0" w:color="auto"/>
                    <w:left w:val="nil"/>
                    <w:bottom w:val="nil"/>
                    <w:right w:val="nil"/>
                  </w:tcBorders>
                  <w:shd w:val="clear" w:color="000000" w:fill="EDEDED"/>
                  <w:noWrap/>
                  <w:vAlign w:val="bottom"/>
                  <w:hideMark/>
                </w:tcPr>
                <w:p w14:paraId="39526228"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URBAN</w:t>
                  </w:r>
                </w:p>
              </w:tc>
              <w:tc>
                <w:tcPr>
                  <w:tcW w:w="768" w:type="dxa"/>
                  <w:tcBorders>
                    <w:top w:val="single" w:sz="8" w:space="0" w:color="auto"/>
                    <w:left w:val="nil"/>
                    <w:bottom w:val="nil"/>
                    <w:right w:val="single" w:sz="4" w:space="0" w:color="auto"/>
                  </w:tcBorders>
                  <w:shd w:val="clear" w:color="000000" w:fill="EDEDED"/>
                  <w:noWrap/>
                  <w:vAlign w:val="bottom"/>
                  <w:hideMark/>
                </w:tcPr>
                <w:p w14:paraId="288C6D94"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 </w:t>
                  </w:r>
                </w:p>
              </w:tc>
              <w:tc>
                <w:tcPr>
                  <w:tcW w:w="636" w:type="dxa"/>
                  <w:tcBorders>
                    <w:top w:val="single" w:sz="8" w:space="0" w:color="auto"/>
                    <w:left w:val="nil"/>
                    <w:bottom w:val="nil"/>
                    <w:right w:val="nil"/>
                  </w:tcBorders>
                  <w:shd w:val="clear" w:color="000000" w:fill="EDEDED"/>
                  <w:noWrap/>
                  <w:vAlign w:val="bottom"/>
                  <w:hideMark/>
                </w:tcPr>
                <w:p w14:paraId="2E548076"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 </w:t>
                  </w:r>
                </w:p>
              </w:tc>
              <w:tc>
                <w:tcPr>
                  <w:tcW w:w="1512" w:type="dxa"/>
                  <w:gridSpan w:val="2"/>
                  <w:tcBorders>
                    <w:top w:val="single" w:sz="8" w:space="0" w:color="auto"/>
                    <w:left w:val="nil"/>
                    <w:bottom w:val="nil"/>
                    <w:right w:val="single" w:sz="8" w:space="0" w:color="000000"/>
                  </w:tcBorders>
                  <w:shd w:val="clear" w:color="000000" w:fill="EDEDED"/>
                  <w:noWrap/>
                  <w:vAlign w:val="bottom"/>
                  <w:hideMark/>
                </w:tcPr>
                <w:p w14:paraId="7AD10375"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NATIONAL</w:t>
                  </w:r>
                </w:p>
              </w:tc>
            </w:tr>
            <w:tr w:rsidR="00AF4DE0" w:rsidRPr="000052F6" w14:paraId="6F40D3D8" w14:textId="77777777" w:rsidTr="00E86245">
              <w:trPr>
                <w:trHeight w:val="288"/>
              </w:trPr>
              <w:tc>
                <w:tcPr>
                  <w:tcW w:w="1517" w:type="dxa"/>
                  <w:tcBorders>
                    <w:top w:val="nil"/>
                    <w:left w:val="single" w:sz="8" w:space="0" w:color="auto"/>
                    <w:bottom w:val="nil"/>
                    <w:right w:val="nil"/>
                  </w:tcBorders>
                  <w:shd w:val="clear" w:color="000000" w:fill="EDEDED"/>
                  <w:noWrap/>
                  <w:vAlign w:val="bottom"/>
                  <w:hideMark/>
                </w:tcPr>
                <w:p w14:paraId="782C0FA3"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 </w:t>
                  </w:r>
                </w:p>
              </w:tc>
              <w:tc>
                <w:tcPr>
                  <w:tcW w:w="630" w:type="dxa"/>
                  <w:tcBorders>
                    <w:top w:val="nil"/>
                    <w:left w:val="nil"/>
                    <w:bottom w:val="nil"/>
                    <w:right w:val="nil"/>
                  </w:tcBorders>
                  <w:shd w:val="clear" w:color="000000" w:fill="EDEDED"/>
                  <w:noWrap/>
                  <w:vAlign w:val="bottom"/>
                  <w:hideMark/>
                </w:tcPr>
                <w:p w14:paraId="4D60E0F1"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Public</w:t>
                  </w:r>
                </w:p>
              </w:tc>
              <w:tc>
                <w:tcPr>
                  <w:tcW w:w="701" w:type="dxa"/>
                  <w:tcBorders>
                    <w:top w:val="nil"/>
                    <w:left w:val="nil"/>
                    <w:bottom w:val="nil"/>
                    <w:right w:val="nil"/>
                  </w:tcBorders>
                  <w:shd w:val="clear" w:color="000000" w:fill="EDEDED"/>
                  <w:noWrap/>
                  <w:vAlign w:val="bottom"/>
                  <w:hideMark/>
                </w:tcPr>
                <w:p w14:paraId="18A259CA"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Faith</w:t>
                  </w:r>
                </w:p>
              </w:tc>
              <w:tc>
                <w:tcPr>
                  <w:tcW w:w="768" w:type="dxa"/>
                  <w:tcBorders>
                    <w:top w:val="nil"/>
                    <w:left w:val="nil"/>
                    <w:bottom w:val="nil"/>
                    <w:right w:val="nil"/>
                  </w:tcBorders>
                  <w:shd w:val="clear" w:color="000000" w:fill="EDEDED"/>
                  <w:noWrap/>
                  <w:vAlign w:val="bottom"/>
                  <w:hideMark/>
                </w:tcPr>
                <w:p w14:paraId="275B64DD"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Secular</w:t>
                  </w:r>
                </w:p>
              </w:tc>
              <w:tc>
                <w:tcPr>
                  <w:tcW w:w="636" w:type="dxa"/>
                  <w:tcBorders>
                    <w:top w:val="nil"/>
                    <w:left w:val="single" w:sz="4" w:space="0" w:color="auto"/>
                    <w:bottom w:val="nil"/>
                    <w:right w:val="nil"/>
                  </w:tcBorders>
                  <w:shd w:val="clear" w:color="000000" w:fill="EDEDED"/>
                  <w:noWrap/>
                  <w:vAlign w:val="bottom"/>
                  <w:hideMark/>
                </w:tcPr>
                <w:p w14:paraId="78393AE3"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Public</w:t>
                  </w:r>
                </w:p>
              </w:tc>
              <w:tc>
                <w:tcPr>
                  <w:tcW w:w="760" w:type="dxa"/>
                  <w:tcBorders>
                    <w:top w:val="nil"/>
                    <w:left w:val="nil"/>
                    <w:bottom w:val="nil"/>
                    <w:right w:val="nil"/>
                  </w:tcBorders>
                  <w:shd w:val="clear" w:color="000000" w:fill="EDEDED"/>
                  <w:noWrap/>
                  <w:vAlign w:val="bottom"/>
                  <w:hideMark/>
                </w:tcPr>
                <w:p w14:paraId="4695170B"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Faith</w:t>
                  </w:r>
                </w:p>
              </w:tc>
              <w:tc>
                <w:tcPr>
                  <w:tcW w:w="768" w:type="dxa"/>
                  <w:tcBorders>
                    <w:top w:val="nil"/>
                    <w:left w:val="nil"/>
                    <w:bottom w:val="nil"/>
                    <w:right w:val="single" w:sz="4" w:space="0" w:color="auto"/>
                  </w:tcBorders>
                  <w:shd w:val="clear" w:color="000000" w:fill="EDEDED"/>
                  <w:noWrap/>
                  <w:vAlign w:val="bottom"/>
                  <w:hideMark/>
                </w:tcPr>
                <w:p w14:paraId="60A1CF25"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Secular</w:t>
                  </w:r>
                </w:p>
              </w:tc>
              <w:tc>
                <w:tcPr>
                  <w:tcW w:w="636" w:type="dxa"/>
                  <w:tcBorders>
                    <w:top w:val="nil"/>
                    <w:left w:val="nil"/>
                    <w:bottom w:val="nil"/>
                    <w:right w:val="nil"/>
                  </w:tcBorders>
                  <w:shd w:val="clear" w:color="000000" w:fill="EDEDED"/>
                  <w:noWrap/>
                  <w:vAlign w:val="bottom"/>
                  <w:hideMark/>
                </w:tcPr>
                <w:p w14:paraId="3A94A997"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Public</w:t>
                  </w:r>
                </w:p>
              </w:tc>
              <w:tc>
                <w:tcPr>
                  <w:tcW w:w="736" w:type="dxa"/>
                  <w:tcBorders>
                    <w:top w:val="nil"/>
                    <w:left w:val="nil"/>
                    <w:bottom w:val="nil"/>
                    <w:right w:val="nil"/>
                  </w:tcBorders>
                  <w:shd w:val="clear" w:color="000000" w:fill="EDEDED"/>
                  <w:noWrap/>
                  <w:vAlign w:val="bottom"/>
                  <w:hideMark/>
                </w:tcPr>
                <w:p w14:paraId="743AD5F3"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Faith</w:t>
                  </w:r>
                </w:p>
              </w:tc>
              <w:tc>
                <w:tcPr>
                  <w:tcW w:w="776" w:type="dxa"/>
                  <w:tcBorders>
                    <w:top w:val="nil"/>
                    <w:left w:val="nil"/>
                    <w:bottom w:val="nil"/>
                    <w:right w:val="single" w:sz="8" w:space="0" w:color="auto"/>
                  </w:tcBorders>
                  <w:shd w:val="clear" w:color="000000" w:fill="EDEDED"/>
                  <w:noWrap/>
                  <w:vAlign w:val="bottom"/>
                  <w:hideMark/>
                </w:tcPr>
                <w:p w14:paraId="102ED227"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Secular</w:t>
                  </w:r>
                </w:p>
              </w:tc>
            </w:tr>
            <w:tr w:rsidR="00AF4DE0" w:rsidRPr="000052F6" w14:paraId="34069C89" w14:textId="77777777" w:rsidTr="00E86245">
              <w:trPr>
                <w:trHeight w:val="288"/>
              </w:trPr>
              <w:tc>
                <w:tcPr>
                  <w:tcW w:w="1517" w:type="dxa"/>
                  <w:tcBorders>
                    <w:top w:val="single" w:sz="4" w:space="0" w:color="auto"/>
                    <w:left w:val="single" w:sz="8" w:space="0" w:color="auto"/>
                    <w:bottom w:val="nil"/>
                    <w:right w:val="nil"/>
                  </w:tcBorders>
                  <w:shd w:val="clear" w:color="000000" w:fill="DDEBF7"/>
                  <w:noWrap/>
                  <w:vAlign w:val="bottom"/>
                  <w:hideMark/>
                </w:tcPr>
                <w:p w14:paraId="250BEFB8"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Benin</w:t>
                  </w:r>
                </w:p>
              </w:tc>
              <w:tc>
                <w:tcPr>
                  <w:tcW w:w="630" w:type="dxa"/>
                  <w:tcBorders>
                    <w:top w:val="single" w:sz="4" w:space="0" w:color="auto"/>
                    <w:left w:val="nil"/>
                    <w:bottom w:val="nil"/>
                    <w:right w:val="nil"/>
                  </w:tcBorders>
                  <w:shd w:val="clear" w:color="000000" w:fill="DDEBF7"/>
                  <w:noWrap/>
                  <w:vAlign w:val="bottom"/>
                  <w:hideMark/>
                </w:tcPr>
                <w:p w14:paraId="55F82F33"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87</w:t>
                  </w:r>
                </w:p>
              </w:tc>
              <w:tc>
                <w:tcPr>
                  <w:tcW w:w="701" w:type="dxa"/>
                  <w:tcBorders>
                    <w:top w:val="single" w:sz="4" w:space="0" w:color="auto"/>
                    <w:left w:val="nil"/>
                    <w:bottom w:val="nil"/>
                    <w:right w:val="nil"/>
                  </w:tcBorders>
                  <w:shd w:val="clear" w:color="000000" w:fill="DDEBF7"/>
                  <w:noWrap/>
                  <w:vAlign w:val="bottom"/>
                  <w:hideMark/>
                </w:tcPr>
                <w:p w14:paraId="2D378AB3"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5</w:t>
                  </w:r>
                </w:p>
              </w:tc>
              <w:tc>
                <w:tcPr>
                  <w:tcW w:w="768" w:type="dxa"/>
                  <w:tcBorders>
                    <w:top w:val="single" w:sz="4" w:space="0" w:color="auto"/>
                    <w:left w:val="nil"/>
                    <w:bottom w:val="nil"/>
                    <w:right w:val="nil"/>
                  </w:tcBorders>
                  <w:shd w:val="clear" w:color="000000" w:fill="DDEBF7"/>
                  <w:noWrap/>
                  <w:vAlign w:val="bottom"/>
                  <w:hideMark/>
                </w:tcPr>
                <w:p w14:paraId="46D0C055"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w:t>
                  </w:r>
                </w:p>
              </w:tc>
              <w:tc>
                <w:tcPr>
                  <w:tcW w:w="636" w:type="dxa"/>
                  <w:tcBorders>
                    <w:top w:val="single" w:sz="4" w:space="0" w:color="auto"/>
                    <w:left w:val="single" w:sz="4" w:space="0" w:color="auto"/>
                    <w:bottom w:val="nil"/>
                    <w:right w:val="nil"/>
                  </w:tcBorders>
                  <w:shd w:val="clear" w:color="000000" w:fill="DDEBF7"/>
                  <w:noWrap/>
                  <w:vAlign w:val="bottom"/>
                  <w:hideMark/>
                </w:tcPr>
                <w:p w14:paraId="516F4569"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74</w:t>
                  </w:r>
                </w:p>
              </w:tc>
              <w:tc>
                <w:tcPr>
                  <w:tcW w:w="760" w:type="dxa"/>
                  <w:tcBorders>
                    <w:top w:val="single" w:sz="4" w:space="0" w:color="auto"/>
                    <w:left w:val="nil"/>
                    <w:bottom w:val="nil"/>
                    <w:right w:val="nil"/>
                  </w:tcBorders>
                  <w:shd w:val="clear" w:color="000000" w:fill="DDEBF7"/>
                  <w:noWrap/>
                  <w:vAlign w:val="bottom"/>
                  <w:hideMark/>
                </w:tcPr>
                <w:p w14:paraId="34C6A064"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10</w:t>
                  </w:r>
                </w:p>
              </w:tc>
              <w:tc>
                <w:tcPr>
                  <w:tcW w:w="768" w:type="dxa"/>
                  <w:tcBorders>
                    <w:top w:val="single" w:sz="4" w:space="0" w:color="auto"/>
                    <w:left w:val="nil"/>
                    <w:bottom w:val="nil"/>
                    <w:right w:val="single" w:sz="4" w:space="0" w:color="auto"/>
                  </w:tcBorders>
                  <w:shd w:val="clear" w:color="000000" w:fill="DDEBF7"/>
                  <w:noWrap/>
                  <w:vAlign w:val="bottom"/>
                  <w:hideMark/>
                </w:tcPr>
                <w:p w14:paraId="4303EE99"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16</w:t>
                  </w:r>
                </w:p>
              </w:tc>
              <w:tc>
                <w:tcPr>
                  <w:tcW w:w="636" w:type="dxa"/>
                  <w:tcBorders>
                    <w:top w:val="single" w:sz="4" w:space="0" w:color="auto"/>
                    <w:left w:val="nil"/>
                    <w:bottom w:val="nil"/>
                    <w:right w:val="nil"/>
                  </w:tcBorders>
                  <w:shd w:val="clear" w:color="000000" w:fill="DDEBF7"/>
                  <w:noWrap/>
                  <w:vAlign w:val="bottom"/>
                  <w:hideMark/>
                </w:tcPr>
                <w:p w14:paraId="08E54E5C"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82</w:t>
                  </w:r>
                </w:p>
              </w:tc>
              <w:tc>
                <w:tcPr>
                  <w:tcW w:w="736" w:type="dxa"/>
                  <w:tcBorders>
                    <w:top w:val="single" w:sz="4" w:space="0" w:color="auto"/>
                    <w:left w:val="nil"/>
                    <w:bottom w:val="nil"/>
                    <w:right w:val="nil"/>
                  </w:tcBorders>
                  <w:shd w:val="clear" w:color="000000" w:fill="DDEBF7"/>
                  <w:noWrap/>
                  <w:vAlign w:val="bottom"/>
                  <w:hideMark/>
                </w:tcPr>
                <w:p w14:paraId="5FFBCCAD"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w:t>
                  </w:r>
                </w:p>
              </w:tc>
              <w:tc>
                <w:tcPr>
                  <w:tcW w:w="776" w:type="dxa"/>
                  <w:tcBorders>
                    <w:top w:val="single" w:sz="4" w:space="0" w:color="auto"/>
                    <w:left w:val="nil"/>
                    <w:bottom w:val="nil"/>
                    <w:right w:val="single" w:sz="8" w:space="0" w:color="auto"/>
                  </w:tcBorders>
                  <w:shd w:val="clear" w:color="000000" w:fill="DDEBF7"/>
                  <w:noWrap/>
                  <w:vAlign w:val="bottom"/>
                  <w:hideMark/>
                </w:tcPr>
                <w:p w14:paraId="59E7FDF6"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10</w:t>
                  </w:r>
                </w:p>
              </w:tc>
            </w:tr>
            <w:tr w:rsidR="00AF4DE0" w:rsidRPr="000052F6" w14:paraId="4AEB49C6" w14:textId="77777777" w:rsidTr="00E86245">
              <w:trPr>
                <w:trHeight w:val="288"/>
              </w:trPr>
              <w:tc>
                <w:tcPr>
                  <w:tcW w:w="1517" w:type="dxa"/>
                  <w:tcBorders>
                    <w:top w:val="nil"/>
                    <w:left w:val="single" w:sz="8" w:space="0" w:color="auto"/>
                    <w:bottom w:val="nil"/>
                    <w:right w:val="nil"/>
                  </w:tcBorders>
                  <w:shd w:val="clear" w:color="000000" w:fill="DDEBF7"/>
                  <w:noWrap/>
                  <w:vAlign w:val="bottom"/>
                  <w:hideMark/>
                </w:tcPr>
                <w:p w14:paraId="7CB00942"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Burkina Faso</w:t>
                  </w:r>
                </w:p>
              </w:tc>
              <w:tc>
                <w:tcPr>
                  <w:tcW w:w="630" w:type="dxa"/>
                  <w:tcBorders>
                    <w:top w:val="nil"/>
                    <w:left w:val="nil"/>
                    <w:bottom w:val="nil"/>
                    <w:right w:val="nil"/>
                  </w:tcBorders>
                  <w:shd w:val="clear" w:color="000000" w:fill="DDEBF7"/>
                  <w:noWrap/>
                  <w:vAlign w:val="bottom"/>
                  <w:hideMark/>
                </w:tcPr>
                <w:p w14:paraId="086032D9"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93</w:t>
                  </w:r>
                </w:p>
              </w:tc>
              <w:tc>
                <w:tcPr>
                  <w:tcW w:w="701" w:type="dxa"/>
                  <w:tcBorders>
                    <w:top w:val="nil"/>
                    <w:left w:val="nil"/>
                    <w:bottom w:val="nil"/>
                    <w:right w:val="nil"/>
                  </w:tcBorders>
                  <w:shd w:val="clear" w:color="000000" w:fill="DDEBF7"/>
                  <w:noWrap/>
                  <w:vAlign w:val="bottom"/>
                  <w:hideMark/>
                </w:tcPr>
                <w:p w14:paraId="6D8B6AB3"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2</w:t>
                  </w:r>
                </w:p>
              </w:tc>
              <w:tc>
                <w:tcPr>
                  <w:tcW w:w="768" w:type="dxa"/>
                  <w:tcBorders>
                    <w:top w:val="nil"/>
                    <w:left w:val="nil"/>
                    <w:bottom w:val="nil"/>
                    <w:right w:val="nil"/>
                  </w:tcBorders>
                  <w:shd w:val="clear" w:color="000000" w:fill="DDEBF7"/>
                  <w:noWrap/>
                  <w:vAlign w:val="bottom"/>
                  <w:hideMark/>
                </w:tcPr>
                <w:p w14:paraId="188933E4"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5</w:t>
                  </w:r>
                </w:p>
              </w:tc>
              <w:tc>
                <w:tcPr>
                  <w:tcW w:w="636" w:type="dxa"/>
                  <w:tcBorders>
                    <w:top w:val="nil"/>
                    <w:left w:val="single" w:sz="4" w:space="0" w:color="auto"/>
                    <w:bottom w:val="nil"/>
                    <w:right w:val="nil"/>
                  </w:tcBorders>
                  <w:shd w:val="clear" w:color="000000" w:fill="DDEBF7"/>
                  <w:noWrap/>
                  <w:vAlign w:val="bottom"/>
                  <w:hideMark/>
                </w:tcPr>
                <w:p w14:paraId="629863CE"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80</w:t>
                  </w:r>
                </w:p>
              </w:tc>
              <w:tc>
                <w:tcPr>
                  <w:tcW w:w="760" w:type="dxa"/>
                  <w:tcBorders>
                    <w:top w:val="nil"/>
                    <w:left w:val="nil"/>
                    <w:bottom w:val="nil"/>
                    <w:right w:val="nil"/>
                  </w:tcBorders>
                  <w:shd w:val="clear" w:color="000000" w:fill="DDEBF7"/>
                  <w:noWrap/>
                  <w:vAlign w:val="bottom"/>
                  <w:hideMark/>
                </w:tcPr>
                <w:p w14:paraId="0B39B599"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6</w:t>
                  </w:r>
                </w:p>
              </w:tc>
              <w:tc>
                <w:tcPr>
                  <w:tcW w:w="768" w:type="dxa"/>
                  <w:tcBorders>
                    <w:top w:val="nil"/>
                    <w:left w:val="nil"/>
                    <w:bottom w:val="nil"/>
                    <w:right w:val="single" w:sz="4" w:space="0" w:color="auto"/>
                  </w:tcBorders>
                  <w:shd w:val="clear" w:color="000000" w:fill="DDEBF7"/>
                  <w:noWrap/>
                  <w:vAlign w:val="bottom"/>
                  <w:hideMark/>
                </w:tcPr>
                <w:p w14:paraId="3FF8674E"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14</w:t>
                  </w:r>
                </w:p>
              </w:tc>
              <w:tc>
                <w:tcPr>
                  <w:tcW w:w="636" w:type="dxa"/>
                  <w:tcBorders>
                    <w:top w:val="nil"/>
                    <w:left w:val="nil"/>
                    <w:bottom w:val="nil"/>
                    <w:right w:val="nil"/>
                  </w:tcBorders>
                  <w:shd w:val="clear" w:color="000000" w:fill="DDEBF7"/>
                  <w:noWrap/>
                  <w:vAlign w:val="bottom"/>
                  <w:hideMark/>
                </w:tcPr>
                <w:p w14:paraId="379FE212"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75</w:t>
                  </w:r>
                </w:p>
              </w:tc>
              <w:tc>
                <w:tcPr>
                  <w:tcW w:w="736" w:type="dxa"/>
                  <w:tcBorders>
                    <w:top w:val="nil"/>
                    <w:left w:val="nil"/>
                    <w:bottom w:val="nil"/>
                    <w:right w:val="nil"/>
                  </w:tcBorders>
                  <w:shd w:val="clear" w:color="000000" w:fill="DDEBF7"/>
                  <w:noWrap/>
                  <w:vAlign w:val="bottom"/>
                  <w:hideMark/>
                </w:tcPr>
                <w:p w14:paraId="0BB09200"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18</w:t>
                  </w:r>
                </w:p>
              </w:tc>
              <w:tc>
                <w:tcPr>
                  <w:tcW w:w="776" w:type="dxa"/>
                  <w:tcBorders>
                    <w:top w:val="nil"/>
                    <w:left w:val="nil"/>
                    <w:bottom w:val="nil"/>
                    <w:right w:val="single" w:sz="8" w:space="0" w:color="auto"/>
                  </w:tcBorders>
                  <w:shd w:val="clear" w:color="000000" w:fill="DDEBF7"/>
                  <w:noWrap/>
                  <w:vAlign w:val="bottom"/>
                  <w:hideMark/>
                </w:tcPr>
                <w:p w14:paraId="0FDDCC17"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w:t>
                  </w:r>
                </w:p>
              </w:tc>
            </w:tr>
            <w:tr w:rsidR="00AF4DE0" w:rsidRPr="000052F6" w14:paraId="2D1901D8" w14:textId="77777777" w:rsidTr="00E86245">
              <w:trPr>
                <w:trHeight w:val="288"/>
              </w:trPr>
              <w:tc>
                <w:tcPr>
                  <w:tcW w:w="1517" w:type="dxa"/>
                  <w:tcBorders>
                    <w:top w:val="nil"/>
                    <w:left w:val="single" w:sz="8" w:space="0" w:color="auto"/>
                    <w:bottom w:val="nil"/>
                    <w:right w:val="nil"/>
                  </w:tcBorders>
                  <w:shd w:val="clear" w:color="000000" w:fill="DDEBF7"/>
                  <w:noWrap/>
                  <w:vAlign w:val="bottom"/>
                  <w:hideMark/>
                </w:tcPr>
                <w:p w14:paraId="3F7A0C58"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Cameroon</w:t>
                  </w:r>
                </w:p>
              </w:tc>
              <w:tc>
                <w:tcPr>
                  <w:tcW w:w="630" w:type="dxa"/>
                  <w:tcBorders>
                    <w:top w:val="nil"/>
                    <w:left w:val="nil"/>
                    <w:bottom w:val="nil"/>
                    <w:right w:val="nil"/>
                  </w:tcBorders>
                  <w:shd w:val="clear" w:color="000000" w:fill="DDEBF7"/>
                  <w:noWrap/>
                  <w:vAlign w:val="bottom"/>
                  <w:hideMark/>
                </w:tcPr>
                <w:p w14:paraId="48385686"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80</w:t>
                  </w:r>
                </w:p>
              </w:tc>
              <w:tc>
                <w:tcPr>
                  <w:tcW w:w="701" w:type="dxa"/>
                  <w:tcBorders>
                    <w:top w:val="nil"/>
                    <w:left w:val="nil"/>
                    <w:bottom w:val="nil"/>
                    <w:right w:val="nil"/>
                  </w:tcBorders>
                  <w:shd w:val="clear" w:color="000000" w:fill="DDEBF7"/>
                  <w:noWrap/>
                  <w:vAlign w:val="bottom"/>
                  <w:hideMark/>
                </w:tcPr>
                <w:p w14:paraId="345C2241"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13</w:t>
                  </w:r>
                </w:p>
              </w:tc>
              <w:tc>
                <w:tcPr>
                  <w:tcW w:w="768" w:type="dxa"/>
                  <w:tcBorders>
                    <w:top w:val="nil"/>
                    <w:left w:val="nil"/>
                    <w:bottom w:val="nil"/>
                    <w:right w:val="nil"/>
                  </w:tcBorders>
                  <w:shd w:val="clear" w:color="000000" w:fill="DDEBF7"/>
                  <w:noWrap/>
                  <w:vAlign w:val="bottom"/>
                  <w:hideMark/>
                </w:tcPr>
                <w:p w14:paraId="4D9AEDB5"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8</w:t>
                  </w:r>
                </w:p>
              </w:tc>
              <w:tc>
                <w:tcPr>
                  <w:tcW w:w="636" w:type="dxa"/>
                  <w:tcBorders>
                    <w:top w:val="nil"/>
                    <w:left w:val="single" w:sz="4" w:space="0" w:color="auto"/>
                    <w:bottom w:val="nil"/>
                    <w:right w:val="nil"/>
                  </w:tcBorders>
                  <w:shd w:val="clear" w:color="000000" w:fill="DDEBF7"/>
                  <w:noWrap/>
                  <w:vAlign w:val="bottom"/>
                  <w:hideMark/>
                </w:tcPr>
                <w:p w14:paraId="4B9E0747"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45</w:t>
                  </w:r>
                </w:p>
              </w:tc>
              <w:tc>
                <w:tcPr>
                  <w:tcW w:w="760" w:type="dxa"/>
                  <w:tcBorders>
                    <w:top w:val="nil"/>
                    <w:left w:val="nil"/>
                    <w:bottom w:val="nil"/>
                    <w:right w:val="nil"/>
                  </w:tcBorders>
                  <w:shd w:val="clear" w:color="000000" w:fill="DDEBF7"/>
                  <w:noWrap/>
                  <w:vAlign w:val="bottom"/>
                  <w:hideMark/>
                </w:tcPr>
                <w:p w14:paraId="088A166C"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24</w:t>
                  </w:r>
                </w:p>
              </w:tc>
              <w:tc>
                <w:tcPr>
                  <w:tcW w:w="768" w:type="dxa"/>
                  <w:tcBorders>
                    <w:top w:val="nil"/>
                    <w:left w:val="nil"/>
                    <w:bottom w:val="nil"/>
                    <w:right w:val="single" w:sz="4" w:space="0" w:color="auto"/>
                  </w:tcBorders>
                  <w:shd w:val="clear" w:color="000000" w:fill="DDEBF7"/>
                  <w:noWrap/>
                  <w:vAlign w:val="bottom"/>
                  <w:hideMark/>
                </w:tcPr>
                <w:p w14:paraId="348AE8BA"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31</w:t>
                  </w:r>
                </w:p>
              </w:tc>
              <w:tc>
                <w:tcPr>
                  <w:tcW w:w="636" w:type="dxa"/>
                  <w:tcBorders>
                    <w:top w:val="nil"/>
                    <w:left w:val="nil"/>
                    <w:bottom w:val="nil"/>
                    <w:right w:val="nil"/>
                  </w:tcBorders>
                  <w:shd w:val="clear" w:color="000000" w:fill="DDEBF7"/>
                  <w:noWrap/>
                  <w:vAlign w:val="bottom"/>
                  <w:hideMark/>
                </w:tcPr>
                <w:p w14:paraId="500F09F3"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71</w:t>
                  </w:r>
                </w:p>
              </w:tc>
              <w:tc>
                <w:tcPr>
                  <w:tcW w:w="736" w:type="dxa"/>
                  <w:tcBorders>
                    <w:top w:val="nil"/>
                    <w:left w:val="nil"/>
                    <w:bottom w:val="nil"/>
                    <w:right w:val="nil"/>
                  </w:tcBorders>
                  <w:shd w:val="clear" w:color="000000" w:fill="DDEBF7"/>
                  <w:noWrap/>
                  <w:vAlign w:val="bottom"/>
                  <w:hideMark/>
                </w:tcPr>
                <w:p w14:paraId="6BFD9C12"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16</w:t>
                  </w:r>
                </w:p>
              </w:tc>
              <w:tc>
                <w:tcPr>
                  <w:tcW w:w="776" w:type="dxa"/>
                  <w:tcBorders>
                    <w:top w:val="nil"/>
                    <w:left w:val="nil"/>
                    <w:bottom w:val="nil"/>
                    <w:right w:val="single" w:sz="8" w:space="0" w:color="auto"/>
                  </w:tcBorders>
                  <w:shd w:val="clear" w:color="000000" w:fill="DDEBF7"/>
                  <w:noWrap/>
                  <w:vAlign w:val="bottom"/>
                  <w:hideMark/>
                </w:tcPr>
                <w:p w14:paraId="7B5954D9"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13</w:t>
                  </w:r>
                </w:p>
              </w:tc>
            </w:tr>
            <w:tr w:rsidR="00AF4DE0" w:rsidRPr="000052F6" w14:paraId="01931734" w14:textId="77777777" w:rsidTr="00E86245">
              <w:trPr>
                <w:trHeight w:val="288"/>
              </w:trPr>
              <w:tc>
                <w:tcPr>
                  <w:tcW w:w="1517" w:type="dxa"/>
                  <w:tcBorders>
                    <w:top w:val="nil"/>
                    <w:left w:val="single" w:sz="8" w:space="0" w:color="auto"/>
                    <w:bottom w:val="nil"/>
                    <w:right w:val="nil"/>
                  </w:tcBorders>
                  <w:shd w:val="clear" w:color="000000" w:fill="DDEBF7"/>
                  <w:noWrap/>
                  <w:vAlign w:val="bottom"/>
                  <w:hideMark/>
                </w:tcPr>
                <w:p w14:paraId="33687C6F"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Congo</w:t>
                  </w:r>
                </w:p>
              </w:tc>
              <w:tc>
                <w:tcPr>
                  <w:tcW w:w="630" w:type="dxa"/>
                  <w:tcBorders>
                    <w:top w:val="nil"/>
                    <w:left w:val="nil"/>
                    <w:bottom w:val="nil"/>
                    <w:right w:val="nil"/>
                  </w:tcBorders>
                  <w:shd w:val="clear" w:color="000000" w:fill="DDEBF7"/>
                  <w:noWrap/>
                  <w:vAlign w:val="bottom"/>
                  <w:hideMark/>
                </w:tcPr>
                <w:p w14:paraId="4A7A744F"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93</w:t>
                  </w:r>
                </w:p>
              </w:tc>
              <w:tc>
                <w:tcPr>
                  <w:tcW w:w="701" w:type="dxa"/>
                  <w:tcBorders>
                    <w:top w:val="nil"/>
                    <w:left w:val="nil"/>
                    <w:bottom w:val="nil"/>
                    <w:right w:val="nil"/>
                  </w:tcBorders>
                  <w:shd w:val="clear" w:color="000000" w:fill="DDEBF7"/>
                  <w:noWrap/>
                  <w:vAlign w:val="bottom"/>
                  <w:hideMark/>
                </w:tcPr>
                <w:p w14:paraId="56CCC733"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6</w:t>
                  </w:r>
                </w:p>
              </w:tc>
              <w:tc>
                <w:tcPr>
                  <w:tcW w:w="768" w:type="dxa"/>
                  <w:tcBorders>
                    <w:top w:val="nil"/>
                    <w:left w:val="nil"/>
                    <w:bottom w:val="nil"/>
                    <w:right w:val="nil"/>
                  </w:tcBorders>
                  <w:shd w:val="clear" w:color="000000" w:fill="DDEBF7"/>
                  <w:noWrap/>
                  <w:vAlign w:val="bottom"/>
                  <w:hideMark/>
                </w:tcPr>
                <w:p w14:paraId="0902DAD4"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w:t>
                  </w:r>
                </w:p>
              </w:tc>
              <w:tc>
                <w:tcPr>
                  <w:tcW w:w="636" w:type="dxa"/>
                  <w:tcBorders>
                    <w:top w:val="nil"/>
                    <w:left w:val="single" w:sz="4" w:space="0" w:color="auto"/>
                    <w:bottom w:val="nil"/>
                    <w:right w:val="nil"/>
                  </w:tcBorders>
                  <w:shd w:val="clear" w:color="000000" w:fill="DDEBF7"/>
                  <w:noWrap/>
                  <w:vAlign w:val="bottom"/>
                  <w:hideMark/>
                </w:tcPr>
                <w:p w14:paraId="4D91AEB0"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43</w:t>
                  </w:r>
                </w:p>
              </w:tc>
              <w:tc>
                <w:tcPr>
                  <w:tcW w:w="760" w:type="dxa"/>
                  <w:tcBorders>
                    <w:top w:val="nil"/>
                    <w:left w:val="nil"/>
                    <w:bottom w:val="nil"/>
                    <w:right w:val="nil"/>
                  </w:tcBorders>
                  <w:shd w:val="clear" w:color="000000" w:fill="DDEBF7"/>
                  <w:noWrap/>
                  <w:vAlign w:val="bottom"/>
                  <w:hideMark/>
                </w:tcPr>
                <w:p w14:paraId="68E76E33"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54</w:t>
                  </w:r>
                </w:p>
              </w:tc>
              <w:tc>
                <w:tcPr>
                  <w:tcW w:w="768" w:type="dxa"/>
                  <w:tcBorders>
                    <w:top w:val="nil"/>
                    <w:left w:val="nil"/>
                    <w:bottom w:val="nil"/>
                    <w:right w:val="single" w:sz="4" w:space="0" w:color="auto"/>
                  </w:tcBorders>
                  <w:shd w:val="clear" w:color="000000" w:fill="DDEBF7"/>
                  <w:noWrap/>
                  <w:vAlign w:val="bottom"/>
                  <w:hideMark/>
                </w:tcPr>
                <w:p w14:paraId="117B99AF"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4</w:t>
                  </w:r>
                </w:p>
              </w:tc>
              <w:tc>
                <w:tcPr>
                  <w:tcW w:w="636" w:type="dxa"/>
                  <w:tcBorders>
                    <w:top w:val="nil"/>
                    <w:left w:val="nil"/>
                    <w:bottom w:val="nil"/>
                    <w:right w:val="nil"/>
                  </w:tcBorders>
                  <w:shd w:val="clear" w:color="000000" w:fill="DDEBF7"/>
                  <w:noWrap/>
                  <w:vAlign w:val="bottom"/>
                  <w:hideMark/>
                </w:tcPr>
                <w:p w14:paraId="4DC38B6A"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64</w:t>
                  </w:r>
                </w:p>
              </w:tc>
              <w:tc>
                <w:tcPr>
                  <w:tcW w:w="736" w:type="dxa"/>
                  <w:tcBorders>
                    <w:top w:val="nil"/>
                    <w:left w:val="nil"/>
                    <w:bottom w:val="nil"/>
                    <w:right w:val="nil"/>
                  </w:tcBorders>
                  <w:shd w:val="clear" w:color="000000" w:fill="DDEBF7"/>
                  <w:noWrap/>
                  <w:vAlign w:val="bottom"/>
                  <w:hideMark/>
                </w:tcPr>
                <w:p w14:paraId="61C84E3A"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34</w:t>
                  </w:r>
                </w:p>
              </w:tc>
              <w:tc>
                <w:tcPr>
                  <w:tcW w:w="776" w:type="dxa"/>
                  <w:tcBorders>
                    <w:top w:val="nil"/>
                    <w:left w:val="nil"/>
                    <w:bottom w:val="nil"/>
                    <w:right w:val="single" w:sz="8" w:space="0" w:color="auto"/>
                  </w:tcBorders>
                  <w:shd w:val="clear" w:color="000000" w:fill="DDEBF7"/>
                  <w:noWrap/>
                  <w:vAlign w:val="bottom"/>
                  <w:hideMark/>
                </w:tcPr>
                <w:p w14:paraId="5C6DF66A"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2</w:t>
                  </w:r>
                </w:p>
              </w:tc>
            </w:tr>
            <w:tr w:rsidR="00AF4DE0" w:rsidRPr="000052F6" w14:paraId="47198397" w14:textId="77777777" w:rsidTr="00E86245">
              <w:trPr>
                <w:trHeight w:val="288"/>
              </w:trPr>
              <w:tc>
                <w:tcPr>
                  <w:tcW w:w="1517" w:type="dxa"/>
                  <w:tcBorders>
                    <w:top w:val="nil"/>
                    <w:left w:val="single" w:sz="8" w:space="0" w:color="auto"/>
                    <w:bottom w:val="nil"/>
                    <w:right w:val="nil"/>
                  </w:tcBorders>
                  <w:shd w:val="clear" w:color="000000" w:fill="DDEBF7"/>
                  <w:noWrap/>
                  <w:vAlign w:val="bottom"/>
                  <w:hideMark/>
                </w:tcPr>
                <w:p w14:paraId="02EDDF71"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Cote d'Ivoire</w:t>
                  </w:r>
                </w:p>
              </w:tc>
              <w:tc>
                <w:tcPr>
                  <w:tcW w:w="630" w:type="dxa"/>
                  <w:tcBorders>
                    <w:top w:val="nil"/>
                    <w:left w:val="nil"/>
                    <w:bottom w:val="nil"/>
                    <w:right w:val="nil"/>
                  </w:tcBorders>
                  <w:shd w:val="clear" w:color="000000" w:fill="DDEBF7"/>
                  <w:noWrap/>
                  <w:vAlign w:val="bottom"/>
                  <w:hideMark/>
                </w:tcPr>
                <w:p w14:paraId="7AA19258"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88</w:t>
                  </w:r>
                </w:p>
              </w:tc>
              <w:tc>
                <w:tcPr>
                  <w:tcW w:w="701" w:type="dxa"/>
                  <w:tcBorders>
                    <w:top w:val="nil"/>
                    <w:left w:val="nil"/>
                    <w:bottom w:val="nil"/>
                    <w:right w:val="nil"/>
                  </w:tcBorders>
                  <w:shd w:val="clear" w:color="000000" w:fill="DDEBF7"/>
                  <w:noWrap/>
                  <w:vAlign w:val="bottom"/>
                  <w:hideMark/>
                </w:tcPr>
                <w:p w14:paraId="23782A53"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9</w:t>
                  </w:r>
                </w:p>
              </w:tc>
              <w:tc>
                <w:tcPr>
                  <w:tcW w:w="768" w:type="dxa"/>
                  <w:tcBorders>
                    <w:top w:val="nil"/>
                    <w:left w:val="nil"/>
                    <w:bottom w:val="nil"/>
                    <w:right w:val="nil"/>
                  </w:tcBorders>
                  <w:shd w:val="clear" w:color="000000" w:fill="DDEBF7"/>
                  <w:noWrap/>
                  <w:vAlign w:val="bottom"/>
                  <w:hideMark/>
                </w:tcPr>
                <w:p w14:paraId="53FC701E"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3</w:t>
                  </w:r>
                </w:p>
              </w:tc>
              <w:tc>
                <w:tcPr>
                  <w:tcW w:w="636" w:type="dxa"/>
                  <w:tcBorders>
                    <w:top w:val="nil"/>
                    <w:left w:val="single" w:sz="4" w:space="0" w:color="auto"/>
                    <w:bottom w:val="nil"/>
                    <w:right w:val="nil"/>
                  </w:tcBorders>
                  <w:shd w:val="clear" w:color="000000" w:fill="DDEBF7"/>
                  <w:noWrap/>
                  <w:vAlign w:val="bottom"/>
                  <w:hideMark/>
                </w:tcPr>
                <w:p w14:paraId="1666110F"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76</w:t>
                  </w:r>
                </w:p>
              </w:tc>
              <w:tc>
                <w:tcPr>
                  <w:tcW w:w="760" w:type="dxa"/>
                  <w:tcBorders>
                    <w:top w:val="nil"/>
                    <w:left w:val="nil"/>
                    <w:bottom w:val="nil"/>
                    <w:right w:val="nil"/>
                  </w:tcBorders>
                  <w:shd w:val="clear" w:color="000000" w:fill="DDEBF7"/>
                  <w:noWrap/>
                  <w:vAlign w:val="bottom"/>
                  <w:hideMark/>
                </w:tcPr>
                <w:p w14:paraId="64A91DFA"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19</w:t>
                  </w:r>
                </w:p>
              </w:tc>
              <w:tc>
                <w:tcPr>
                  <w:tcW w:w="768" w:type="dxa"/>
                  <w:tcBorders>
                    <w:top w:val="nil"/>
                    <w:left w:val="nil"/>
                    <w:bottom w:val="nil"/>
                    <w:right w:val="single" w:sz="4" w:space="0" w:color="auto"/>
                  </w:tcBorders>
                  <w:shd w:val="clear" w:color="000000" w:fill="DDEBF7"/>
                  <w:noWrap/>
                  <w:vAlign w:val="bottom"/>
                  <w:hideMark/>
                </w:tcPr>
                <w:p w14:paraId="46EFDC22"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5</w:t>
                  </w:r>
                </w:p>
              </w:tc>
              <w:tc>
                <w:tcPr>
                  <w:tcW w:w="636" w:type="dxa"/>
                  <w:tcBorders>
                    <w:top w:val="nil"/>
                    <w:left w:val="nil"/>
                    <w:bottom w:val="nil"/>
                    <w:right w:val="nil"/>
                  </w:tcBorders>
                  <w:shd w:val="clear" w:color="000000" w:fill="DDEBF7"/>
                  <w:noWrap/>
                  <w:vAlign w:val="bottom"/>
                  <w:hideMark/>
                </w:tcPr>
                <w:p w14:paraId="7ADCD5CC"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88</w:t>
                  </w:r>
                </w:p>
              </w:tc>
              <w:tc>
                <w:tcPr>
                  <w:tcW w:w="736" w:type="dxa"/>
                  <w:tcBorders>
                    <w:top w:val="nil"/>
                    <w:left w:val="nil"/>
                    <w:bottom w:val="nil"/>
                    <w:right w:val="nil"/>
                  </w:tcBorders>
                  <w:shd w:val="clear" w:color="000000" w:fill="DDEBF7"/>
                  <w:noWrap/>
                  <w:vAlign w:val="bottom"/>
                  <w:hideMark/>
                </w:tcPr>
                <w:p w14:paraId="0502DDF6"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10</w:t>
                  </w:r>
                </w:p>
              </w:tc>
              <w:tc>
                <w:tcPr>
                  <w:tcW w:w="776" w:type="dxa"/>
                  <w:tcBorders>
                    <w:top w:val="nil"/>
                    <w:left w:val="nil"/>
                    <w:bottom w:val="nil"/>
                    <w:right w:val="single" w:sz="8" w:space="0" w:color="auto"/>
                  </w:tcBorders>
                  <w:shd w:val="clear" w:color="000000" w:fill="DDEBF7"/>
                  <w:noWrap/>
                  <w:vAlign w:val="bottom"/>
                  <w:hideMark/>
                </w:tcPr>
                <w:p w14:paraId="5A09DABE"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3</w:t>
                  </w:r>
                </w:p>
              </w:tc>
            </w:tr>
            <w:tr w:rsidR="00AF4DE0" w:rsidRPr="000052F6" w14:paraId="57AD0EE7" w14:textId="77777777" w:rsidTr="00E86245">
              <w:trPr>
                <w:trHeight w:val="288"/>
              </w:trPr>
              <w:tc>
                <w:tcPr>
                  <w:tcW w:w="1517" w:type="dxa"/>
                  <w:tcBorders>
                    <w:top w:val="nil"/>
                    <w:left w:val="single" w:sz="8" w:space="0" w:color="auto"/>
                    <w:bottom w:val="nil"/>
                    <w:right w:val="nil"/>
                  </w:tcBorders>
                  <w:shd w:val="clear" w:color="000000" w:fill="DDEBF7"/>
                  <w:noWrap/>
                  <w:vAlign w:val="bottom"/>
                  <w:hideMark/>
                </w:tcPr>
                <w:p w14:paraId="38DA0628"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Niger</w:t>
                  </w:r>
                </w:p>
              </w:tc>
              <w:tc>
                <w:tcPr>
                  <w:tcW w:w="630" w:type="dxa"/>
                  <w:tcBorders>
                    <w:top w:val="nil"/>
                    <w:left w:val="nil"/>
                    <w:bottom w:val="nil"/>
                    <w:right w:val="nil"/>
                  </w:tcBorders>
                  <w:shd w:val="clear" w:color="000000" w:fill="DDEBF7"/>
                  <w:noWrap/>
                  <w:vAlign w:val="bottom"/>
                  <w:hideMark/>
                </w:tcPr>
                <w:p w14:paraId="1F2AFF41"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99</w:t>
                  </w:r>
                </w:p>
              </w:tc>
              <w:tc>
                <w:tcPr>
                  <w:tcW w:w="701" w:type="dxa"/>
                  <w:tcBorders>
                    <w:top w:val="nil"/>
                    <w:left w:val="nil"/>
                    <w:bottom w:val="nil"/>
                    <w:right w:val="nil"/>
                  </w:tcBorders>
                  <w:shd w:val="clear" w:color="000000" w:fill="DDEBF7"/>
                  <w:noWrap/>
                  <w:vAlign w:val="bottom"/>
                  <w:hideMark/>
                </w:tcPr>
                <w:p w14:paraId="4F8F2878"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w:t>
                  </w:r>
                </w:p>
              </w:tc>
              <w:tc>
                <w:tcPr>
                  <w:tcW w:w="768" w:type="dxa"/>
                  <w:tcBorders>
                    <w:top w:val="nil"/>
                    <w:left w:val="nil"/>
                    <w:bottom w:val="nil"/>
                    <w:right w:val="nil"/>
                  </w:tcBorders>
                  <w:shd w:val="clear" w:color="000000" w:fill="DDEBF7"/>
                  <w:noWrap/>
                  <w:vAlign w:val="bottom"/>
                  <w:hideMark/>
                </w:tcPr>
                <w:p w14:paraId="421064DA"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0</w:t>
                  </w:r>
                </w:p>
              </w:tc>
              <w:tc>
                <w:tcPr>
                  <w:tcW w:w="636" w:type="dxa"/>
                  <w:tcBorders>
                    <w:top w:val="nil"/>
                    <w:left w:val="single" w:sz="4" w:space="0" w:color="auto"/>
                    <w:bottom w:val="nil"/>
                    <w:right w:val="nil"/>
                  </w:tcBorders>
                  <w:shd w:val="clear" w:color="000000" w:fill="DDEBF7"/>
                  <w:noWrap/>
                  <w:vAlign w:val="bottom"/>
                  <w:hideMark/>
                </w:tcPr>
                <w:p w14:paraId="09F9D032"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89</w:t>
                  </w:r>
                </w:p>
              </w:tc>
              <w:tc>
                <w:tcPr>
                  <w:tcW w:w="760" w:type="dxa"/>
                  <w:tcBorders>
                    <w:top w:val="nil"/>
                    <w:left w:val="nil"/>
                    <w:bottom w:val="nil"/>
                    <w:right w:val="nil"/>
                  </w:tcBorders>
                  <w:shd w:val="clear" w:color="000000" w:fill="DDEBF7"/>
                  <w:noWrap/>
                  <w:vAlign w:val="bottom"/>
                  <w:hideMark/>
                </w:tcPr>
                <w:p w14:paraId="4FB4CF34"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2</w:t>
                  </w:r>
                </w:p>
              </w:tc>
              <w:tc>
                <w:tcPr>
                  <w:tcW w:w="768" w:type="dxa"/>
                  <w:tcBorders>
                    <w:top w:val="nil"/>
                    <w:left w:val="nil"/>
                    <w:bottom w:val="nil"/>
                    <w:right w:val="single" w:sz="4" w:space="0" w:color="auto"/>
                  </w:tcBorders>
                  <w:shd w:val="clear" w:color="000000" w:fill="DDEBF7"/>
                  <w:noWrap/>
                  <w:vAlign w:val="bottom"/>
                  <w:hideMark/>
                </w:tcPr>
                <w:p w14:paraId="667DCAD7"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9</w:t>
                  </w:r>
                </w:p>
              </w:tc>
              <w:tc>
                <w:tcPr>
                  <w:tcW w:w="636" w:type="dxa"/>
                  <w:tcBorders>
                    <w:top w:val="nil"/>
                    <w:left w:val="nil"/>
                    <w:bottom w:val="nil"/>
                    <w:right w:val="nil"/>
                  </w:tcBorders>
                  <w:shd w:val="clear" w:color="000000" w:fill="DDEBF7"/>
                  <w:noWrap/>
                  <w:vAlign w:val="bottom"/>
                  <w:hideMark/>
                </w:tcPr>
                <w:p w14:paraId="02DB88DB"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97</w:t>
                  </w:r>
                </w:p>
              </w:tc>
              <w:tc>
                <w:tcPr>
                  <w:tcW w:w="736" w:type="dxa"/>
                  <w:tcBorders>
                    <w:top w:val="nil"/>
                    <w:left w:val="nil"/>
                    <w:bottom w:val="nil"/>
                    <w:right w:val="nil"/>
                  </w:tcBorders>
                  <w:shd w:val="clear" w:color="000000" w:fill="DDEBF7"/>
                  <w:noWrap/>
                  <w:vAlign w:val="bottom"/>
                  <w:hideMark/>
                </w:tcPr>
                <w:p w14:paraId="3B1DD881"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w:t>
                  </w:r>
                </w:p>
              </w:tc>
              <w:tc>
                <w:tcPr>
                  <w:tcW w:w="776" w:type="dxa"/>
                  <w:tcBorders>
                    <w:top w:val="nil"/>
                    <w:left w:val="nil"/>
                    <w:bottom w:val="nil"/>
                    <w:right w:val="single" w:sz="8" w:space="0" w:color="auto"/>
                  </w:tcBorders>
                  <w:shd w:val="clear" w:color="000000" w:fill="DDEBF7"/>
                  <w:noWrap/>
                  <w:vAlign w:val="bottom"/>
                  <w:hideMark/>
                </w:tcPr>
                <w:p w14:paraId="0307A762"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2</w:t>
                  </w:r>
                </w:p>
              </w:tc>
            </w:tr>
            <w:tr w:rsidR="00AF4DE0" w:rsidRPr="000052F6" w14:paraId="6DC04CD6" w14:textId="77777777" w:rsidTr="00E86245">
              <w:trPr>
                <w:trHeight w:val="288"/>
              </w:trPr>
              <w:tc>
                <w:tcPr>
                  <w:tcW w:w="1517" w:type="dxa"/>
                  <w:tcBorders>
                    <w:top w:val="nil"/>
                    <w:left w:val="single" w:sz="8" w:space="0" w:color="auto"/>
                    <w:bottom w:val="nil"/>
                    <w:right w:val="nil"/>
                  </w:tcBorders>
                  <w:shd w:val="clear" w:color="000000" w:fill="DDEBF7"/>
                  <w:noWrap/>
                  <w:vAlign w:val="bottom"/>
                  <w:hideMark/>
                </w:tcPr>
                <w:p w14:paraId="25218585"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Senegal</w:t>
                  </w:r>
                </w:p>
              </w:tc>
              <w:tc>
                <w:tcPr>
                  <w:tcW w:w="630" w:type="dxa"/>
                  <w:tcBorders>
                    <w:top w:val="nil"/>
                    <w:left w:val="nil"/>
                    <w:bottom w:val="nil"/>
                    <w:right w:val="nil"/>
                  </w:tcBorders>
                  <w:shd w:val="clear" w:color="000000" w:fill="DDEBF7"/>
                  <w:noWrap/>
                  <w:vAlign w:val="bottom"/>
                  <w:hideMark/>
                </w:tcPr>
                <w:p w14:paraId="120C0261"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79</w:t>
                  </w:r>
                </w:p>
              </w:tc>
              <w:tc>
                <w:tcPr>
                  <w:tcW w:w="701" w:type="dxa"/>
                  <w:tcBorders>
                    <w:top w:val="nil"/>
                    <w:left w:val="nil"/>
                    <w:bottom w:val="nil"/>
                    <w:right w:val="nil"/>
                  </w:tcBorders>
                  <w:shd w:val="clear" w:color="000000" w:fill="DDEBF7"/>
                  <w:noWrap/>
                  <w:vAlign w:val="bottom"/>
                  <w:hideMark/>
                </w:tcPr>
                <w:p w14:paraId="71C40C84"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10</w:t>
                  </w:r>
                </w:p>
              </w:tc>
              <w:tc>
                <w:tcPr>
                  <w:tcW w:w="768" w:type="dxa"/>
                  <w:tcBorders>
                    <w:top w:val="nil"/>
                    <w:left w:val="nil"/>
                    <w:bottom w:val="nil"/>
                    <w:right w:val="nil"/>
                  </w:tcBorders>
                  <w:shd w:val="clear" w:color="000000" w:fill="DDEBF7"/>
                  <w:noWrap/>
                  <w:vAlign w:val="bottom"/>
                  <w:hideMark/>
                </w:tcPr>
                <w:p w14:paraId="09211686"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11</w:t>
                  </w:r>
                </w:p>
              </w:tc>
              <w:tc>
                <w:tcPr>
                  <w:tcW w:w="636" w:type="dxa"/>
                  <w:tcBorders>
                    <w:top w:val="nil"/>
                    <w:left w:val="single" w:sz="4" w:space="0" w:color="auto"/>
                    <w:bottom w:val="nil"/>
                    <w:right w:val="nil"/>
                  </w:tcBorders>
                  <w:shd w:val="clear" w:color="000000" w:fill="DDEBF7"/>
                  <w:noWrap/>
                  <w:vAlign w:val="bottom"/>
                  <w:hideMark/>
                </w:tcPr>
                <w:p w14:paraId="5569BBD0"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69</w:t>
                  </w:r>
                </w:p>
              </w:tc>
              <w:tc>
                <w:tcPr>
                  <w:tcW w:w="760" w:type="dxa"/>
                  <w:tcBorders>
                    <w:top w:val="nil"/>
                    <w:left w:val="nil"/>
                    <w:bottom w:val="nil"/>
                    <w:right w:val="nil"/>
                  </w:tcBorders>
                  <w:shd w:val="clear" w:color="000000" w:fill="DDEBF7"/>
                  <w:noWrap/>
                  <w:vAlign w:val="bottom"/>
                  <w:hideMark/>
                </w:tcPr>
                <w:p w14:paraId="5457100D"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16</w:t>
                  </w:r>
                </w:p>
              </w:tc>
              <w:tc>
                <w:tcPr>
                  <w:tcW w:w="768" w:type="dxa"/>
                  <w:tcBorders>
                    <w:top w:val="nil"/>
                    <w:left w:val="nil"/>
                    <w:bottom w:val="nil"/>
                    <w:right w:val="single" w:sz="4" w:space="0" w:color="auto"/>
                  </w:tcBorders>
                  <w:shd w:val="clear" w:color="000000" w:fill="DDEBF7"/>
                  <w:noWrap/>
                  <w:vAlign w:val="bottom"/>
                  <w:hideMark/>
                </w:tcPr>
                <w:p w14:paraId="2B0F955F"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15</w:t>
                  </w:r>
                </w:p>
              </w:tc>
              <w:tc>
                <w:tcPr>
                  <w:tcW w:w="636" w:type="dxa"/>
                  <w:tcBorders>
                    <w:top w:val="nil"/>
                    <w:left w:val="nil"/>
                    <w:bottom w:val="nil"/>
                    <w:right w:val="nil"/>
                  </w:tcBorders>
                  <w:shd w:val="clear" w:color="000000" w:fill="DDEBF7"/>
                  <w:noWrap/>
                  <w:vAlign w:val="bottom"/>
                  <w:hideMark/>
                </w:tcPr>
                <w:p w14:paraId="0FE21E67"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79</w:t>
                  </w:r>
                </w:p>
              </w:tc>
              <w:tc>
                <w:tcPr>
                  <w:tcW w:w="736" w:type="dxa"/>
                  <w:tcBorders>
                    <w:top w:val="nil"/>
                    <w:left w:val="nil"/>
                    <w:bottom w:val="nil"/>
                    <w:right w:val="nil"/>
                  </w:tcBorders>
                  <w:shd w:val="clear" w:color="000000" w:fill="DDEBF7"/>
                  <w:noWrap/>
                  <w:vAlign w:val="bottom"/>
                  <w:hideMark/>
                </w:tcPr>
                <w:p w14:paraId="70B5146E"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11</w:t>
                  </w:r>
                </w:p>
              </w:tc>
              <w:tc>
                <w:tcPr>
                  <w:tcW w:w="776" w:type="dxa"/>
                  <w:tcBorders>
                    <w:top w:val="nil"/>
                    <w:left w:val="nil"/>
                    <w:bottom w:val="nil"/>
                    <w:right w:val="single" w:sz="8" w:space="0" w:color="auto"/>
                  </w:tcBorders>
                  <w:shd w:val="clear" w:color="000000" w:fill="DDEBF7"/>
                  <w:noWrap/>
                  <w:vAlign w:val="bottom"/>
                  <w:hideMark/>
                </w:tcPr>
                <w:p w14:paraId="6DDDB6F2"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11</w:t>
                  </w:r>
                </w:p>
              </w:tc>
            </w:tr>
            <w:tr w:rsidR="00AF4DE0" w:rsidRPr="000052F6" w14:paraId="25ACA4E9" w14:textId="77777777" w:rsidTr="00E86245">
              <w:trPr>
                <w:trHeight w:val="288"/>
              </w:trPr>
              <w:tc>
                <w:tcPr>
                  <w:tcW w:w="1517" w:type="dxa"/>
                  <w:tcBorders>
                    <w:top w:val="nil"/>
                    <w:left w:val="single" w:sz="8" w:space="0" w:color="auto"/>
                    <w:bottom w:val="nil"/>
                    <w:right w:val="nil"/>
                  </w:tcBorders>
                  <w:shd w:val="clear" w:color="000000" w:fill="DDEBF7"/>
                  <w:noWrap/>
                  <w:vAlign w:val="bottom"/>
                  <w:hideMark/>
                </w:tcPr>
                <w:p w14:paraId="05508F61"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Tchad</w:t>
                  </w:r>
                </w:p>
              </w:tc>
              <w:tc>
                <w:tcPr>
                  <w:tcW w:w="630" w:type="dxa"/>
                  <w:tcBorders>
                    <w:top w:val="nil"/>
                    <w:left w:val="nil"/>
                    <w:bottom w:val="nil"/>
                    <w:right w:val="nil"/>
                  </w:tcBorders>
                  <w:shd w:val="clear" w:color="000000" w:fill="DDEBF7"/>
                  <w:noWrap/>
                  <w:vAlign w:val="bottom"/>
                  <w:hideMark/>
                </w:tcPr>
                <w:p w14:paraId="7E99236C"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91</w:t>
                  </w:r>
                </w:p>
              </w:tc>
              <w:tc>
                <w:tcPr>
                  <w:tcW w:w="701" w:type="dxa"/>
                  <w:tcBorders>
                    <w:top w:val="nil"/>
                    <w:left w:val="nil"/>
                    <w:bottom w:val="nil"/>
                    <w:right w:val="nil"/>
                  </w:tcBorders>
                  <w:shd w:val="clear" w:color="000000" w:fill="DDEBF7"/>
                  <w:noWrap/>
                  <w:vAlign w:val="bottom"/>
                  <w:hideMark/>
                </w:tcPr>
                <w:p w14:paraId="53F0E65C"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6</w:t>
                  </w:r>
                </w:p>
              </w:tc>
              <w:tc>
                <w:tcPr>
                  <w:tcW w:w="768" w:type="dxa"/>
                  <w:tcBorders>
                    <w:top w:val="nil"/>
                    <w:left w:val="nil"/>
                    <w:bottom w:val="nil"/>
                    <w:right w:val="nil"/>
                  </w:tcBorders>
                  <w:shd w:val="clear" w:color="000000" w:fill="DDEBF7"/>
                  <w:noWrap/>
                  <w:vAlign w:val="bottom"/>
                  <w:hideMark/>
                </w:tcPr>
                <w:p w14:paraId="5BC248A3"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4</w:t>
                  </w:r>
                </w:p>
              </w:tc>
              <w:tc>
                <w:tcPr>
                  <w:tcW w:w="636" w:type="dxa"/>
                  <w:tcBorders>
                    <w:top w:val="nil"/>
                    <w:left w:val="single" w:sz="4" w:space="0" w:color="auto"/>
                    <w:bottom w:val="nil"/>
                    <w:right w:val="nil"/>
                  </w:tcBorders>
                  <w:shd w:val="clear" w:color="000000" w:fill="DDEBF7"/>
                  <w:noWrap/>
                  <w:vAlign w:val="bottom"/>
                  <w:hideMark/>
                </w:tcPr>
                <w:p w14:paraId="476980A9"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78</w:t>
                  </w:r>
                </w:p>
              </w:tc>
              <w:tc>
                <w:tcPr>
                  <w:tcW w:w="760" w:type="dxa"/>
                  <w:tcBorders>
                    <w:top w:val="nil"/>
                    <w:left w:val="nil"/>
                    <w:bottom w:val="nil"/>
                    <w:right w:val="nil"/>
                  </w:tcBorders>
                  <w:shd w:val="clear" w:color="000000" w:fill="DDEBF7"/>
                  <w:noWrap/>
                  <w:vAlign w:val="bottom"/>
                  <w:hideMark/>
                </w:tcPr>
                <w:p w14:paraId="3579BF5E"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12</w:t>
                  </w:r>
                </w:p>
              </w:tc>
              <w:tc>
                <w:tcPr>
                  <w:tcW w:w="768" w:type="dxa"/>
                  <w:tcBorders>
                    <w:top w:val="nil"/>
                    <w:left w:val="nil"/>
                    <w:bottom w:val="nil"/>
                    <w:right w:val="single" w:sz="4" w:space="0" w:color="auto"/>
                  </w:tcBorders>
                  <w:shd w:val="clear" w:color="000000" w:fill="DDEBF7"/>
                  <w:noWrap/>
                  <w:vAlign w:val="bottom"/>
                  <w:hideMark/>
                </w:tcPr>
                <w:p w14:paraId="1AAF492D"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10</w:t>
                  </w:r>
                </w:p>
              </w:tc>
              <w:tc>
                <w:tcPr>
                  <w:tcW w:w="636" w:type="dxa"/>
                  <w:tcBorders>
                    <w:top w:val="nil"/>
                    <w:left w:val="nil"/>
                    <w:bottom w:val="nil"/>
                    <w:right w:val="nil"/>
                  </w:tcBorders>
                  <w:shd w:val="clear" w:color="000000" w:fill="DDEBF7"/>
                  <w:noWrap/>
                  <w:vAlign w:val="bottom"/>
                  <w:hideMark/>
                </w:tcPr>
                <w:p w14:paraId="5196F686"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84</w:t>
                  </w:r>
                </w:p>
              </w:tc>
              <w:tc>
                <w:tcPr>
                  <w:tcW w:w="736" w:type="dxa"/>
                  <w:tcBorders>
                    <w:top w:val="nil"/>
                    <w:left w:val="nil"/>
                    <w:bottom w:val="nil"/>
                    <w:right w:val="nil"/>
                  </w:tcBorders>
                  <w:shd w:val="clear" w:color="000000" w:fill="DDEBF7"/>
                  <w:noWrap/>
                  <w:vAlign w:val="bottom"/>
                  <w:hideMark/>
                </w:tcPr>
                <w:p w14:paraId="277C4ED8"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9</w:t>
                  </w:r>
                </w:p>
              </w:tc>
              <w:tc>
                <w:tcPr>
                  <w:tcW w:w="776" w:type="dxa"/>
                  <w:tcBorders>
                    <w:top w:val="nil"/>
                    <w:left w:val="nil"/>
                    <w:bottom w:val="nil"/>
                    <w:right w:val="single" w:sz="8" w:space="0" w:color="auto"/>
                  </w:tcBorders>
                  <w:shd w:val="clear" w:color="000000" w:fill="DDEBF7"/>
                  <w:noWrap/>
                  <w:vAlign w:val="bottom"/>
                  <w:hideMark/>
                </w:tcPr>
                <w:p w14:paraId="66E977FA"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w:t>
                  </w:r>
                </w:p>
              </w:tc>
            </w:tr>
            <w:tr w:rsidR="00AF4DE0" w:rsidRPr="000052F6" w14:paraId="2AA69996" w14:textId="77777777" w:rsidTr="00E86245">
              <w:trPr>
                <w:trHeight w:val="300"/>
              </w:trPr>
              <w:tc>
                <w:tcPr>
                  <w:tcW w:w="1517" w:type="dxa"/>
                  <w:tcBorders>
                    <w:top w:val="nil"/>
                    <w:left w:val="single" w:sz="8" w:space="0" w:color="auto"/>
                    <w:bottom w:val="single" w:sz="8" w:space="0" w:color="auto"/>
                    <w:right w:val="nil"/>
                  </w:tcBorders>
                  <w:shd w:val="clear" w:color="000000" w:fill="DDEBF7"/>
                  <w:noWrap/>
                  <w:vAlign w:val="bottom"/>
                  <w:hideMark/>
                </w:tcPr>
                <w:p w14:paraId="6B3F587B" w14:textId="77777777" w:rsidR="00AF4DE0" w:rsidRPr="000052F6" w:rsidRDefault="00AF4DE0" w:rsidP="00AF4DE0">
                  <w:pPr>
                    <w:spacing w:after="0" w:line="240" w:lineRule="auto"/>
                    <w:rPr>
                      <w:rFonts w:ascii="Calibri" w:eastAsia="Times New Roman" w:hAnsi="Calibri" w:cs="Calibri"/>
                      <w:color w:val="000000"/>
                      <w:lang w:eastAsia="en-GB"/>
                    </w:rPr>
                  </w:pPr>
                  <w:r w:rsidRPr="000052F6">
                    <w:rPr>
                      <w:rFonts w:ascii="Calibri" w:eastAsia="Times New Roman" w:hAnsi="Calibri" w:cs="Calibri"/>
                      <w:color w:val="000000"/>
                      <w:lang w:eastAsia="en-GB"/>
                    </w:rPr>
                    <w:t>Togo</w:t>
                  </w:r>
                </w:p>
              </w:tc>
              <w:tc>
                <w:tcPr>
                  <w:tcW w:w="630" w:type="dxa"/>
                  <w:tcBorders>
                    <w:top w:val="nil"/>
                    <w:left w:val="nil"/>
                    <w:bottom w:val="single" w:sz="8" w:space="0" w:color="auto"/>
                    <w:right w:val="nil"/>
                  </w:tcBorders>
                  <w:shd w:val="clear" w:color="000000" w:fill="DDEBF7"/>
                  <w:noWrap/>
                  <w:vAlign w:val="bottom"/>
                  <w:hideMark/>
                </w:tcPr>
                <w:p w14:paraId="78325EB7"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71</w:t>
                  </w:r>
                </w:p>
              </w:tc>
              <w:tc>
                <w:tcPr>
                  <w:tcW w:w="701" w:type="dxa"/>
                  <w:tcBorders>
                    <w:top w:val="nil"/>
                    <w:left w:val="nil"/>
                    <w:bottom w:val="single" w:sz="8" w:space="0" w:color="auto"/>
                    <w:right w:val="nil"/>
                  </w:tcBorders>
                  <w:shd w:val="clear" w:color="000000" w:fill="DDEBF7"/>
                  <w:noWrap/>
                  <w:vAlign w:val="bottom"/>
                  <w:hideMark/>
                </w:tcPr>
                <w:p w14:paraId="3F689262"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17</w:t>
                  </w:r>
                </w:p>
              </w:tc>
              <w:tc>
                <w:tcPr>
                  <w:tcW w:w="768" w:type="dxa"/>
                  <w:tcBorders>
                    <w:top w:val="nil"/>
                    <w:left w:val="nil"/>
                    <w:bottom w:val="single" w:sz="8" w:space="0" w:color="auto"/>
                    <w:right w:val="nil"/>
                  </w:tcBorders>
                  <w:shd w:val="clear" w:color="000000" w:fill="DDEBF7"/>
                  <w:noWrap/>
                  <w:vAlign w:val="bottom"/>
                  <w:hideMark/>
                </w:tcPr>
                <w:p w14:paraId="29C495D7"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12</w:t>
                  </w:r>
                </w:p>
              </w:tc>
              <w:tc>
                <w:tcPr>
                  <w:tcW w:w="636" w:type="dxa"/>
                  <w:tcBorders>
                    <w:top w:val="nil"/>
                    <w:left w:val="single" w:sz="4" w:space="0" w:color="auto"/>
                    <w:bottom w:val="single" w:sz="8" w:space="0" w:color="auto"/>
                    <w:right w:val="nil"/>
                  </w:tcBorders>
                  <w:shd w:val="clear" w:color="000000" w:fill="DDEBF7"/>
                  <w:noWrap/>
                  <w:vAlign w:val="bottom"/>
                  <w:hideMark/>
                </w:tcPr>
                <w:p w14:paraId="75B52395"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61</w:t>
                  </w:r>
                </w:p>
              </w:tc>
              <w:tc>
                <w:tcPr>
                  <w:tcW w:w="760" w:type="dxa"/>
                  <w:tcBorders>
                    <w:top w:val="nil"/>
                    <w:left w:val="nil"/>
                    <w:bottom w:val="single" w:sz="8" w:space="0" w:color="auto"/>
                    <w:right w:val="nil"/>
                  </w:tcBorders>
                  <w:shd w:val="clear" w:color="000000" w:fill="DDEBF7"/>
                  <w:noWrap/>
                  <w:vAlign w:val="bottom"/>
                  <w:hideMark/>
                </w:tcPr>
                <w:p w14:paraId="4122FA19"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14</w:t>
                  </w:r>
                </w:p>
              </w:tc>
              <w:tc>
                <w:tcPr>
                  <w:tcW w:w="768" w:type="dxa"/>
                  <w:tcBorders>
                    <w:top w:val="nil"/>
                    <w:left w:val="nil"/>
                    <w:bottom w:val="single" w:sz="8" w:space="0" w:color="auto"/>
                    <w:right w:val="single" w:sz="4" w:space="0" w:color="auto"/>
                  </w:tcBorders>
                  <w:shd w:val="clear" w:color="000000" w:fill="DDEBF7"/>
                  <w:noWrap/>
                  <w:vAlign w:val="bottom"/>
                  <w:hideMark/>
                </w:tcPr>
                <w:p w14:paraId="75E16B5E"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25</w:t>
                  </w:r>
                </w:p>
              </w:tc>
              <w:tc>
                <w:tcPr>
                  <w:tcW w:w="636" w:type="dxa"/>
                  <w:tcBorders>
                    <w:top w:val="nil"/>
                    <w:left w:val="nil"/>
                    <w:bottom w:val="single" w:sz="8" w:space="0" w:color="auto"/>
                    <w:right w:val="nil"/>
                  </w:tcBorders>
                  <w:shd w:val="clear" w:color="000000" w:fill="DDEBF7"/>
                  <w:noWrap/>
                  <w:vAlign w:val="bottom"/>
                  <w:hideMark/>
                </w:tcPr>
                <w:p w14:paraId="63E0F0A1"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72</w:t>
                  </w:r>
                </w:p>
              </w:tc>
              <w:tc>
                <w:tcPr>
                  <w:tcW w:w="736" w:type="dxa"/>
                  <w:tcBorders>
                    <w:top w:val="nil"/>
                    <w:left w:val="nil"/>
                    <w:bottom w:val="single" w:sz="8" w:space="0" w:color="auto"/>
                    <w:right w:val="nil"/>
                  </w:tcBorders>
                  <w:shd w:val="clear" w:color="000000" w:fill="DDEBF7"/>
                  <w:noWrap/>
                  <w:vAlign w:val="bottom"/>
                  <w:hideMark/>
                </w:tcPr>
                <w:p w14:paraId="477C3784"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15</w:t>
                  </w:r>
                </w:p>
              </w:tc>
              <w:tc>
                <w:tcPr>
                  <w:tcW w:w="776" w:type="dxa"/>
                  <w:tcBorders>
                    <w:top w:val="nil"/>
                    <w:left w:val="nil"/>
                    <w:bottom w:val="single" w:sz="8" w:space="0" w:color="auto"/>
                    <w:right w:val="single" w:sz="8" w:space="0" w:color="auto"/>
                  </w:tcBorders>
                  <w:shd w:val="clear" w:color="000000" w:fill="DDEBF7"/>
                  <w:noWrap/>
                  <w:vAlign w:val="bottom"/>
                  <w:hideMark/>
                </w:tcPr>
                <w:p w14:paraId="036A936E" w14:textId="77777777" w:rsidR="00AF4DE0" w:rsidRPr="000052F6" w:rsidRDefault="00AF4DE0" w:rsidP="00AF4DE0">
                  <w:pPr>
                    <w:spacing w:after="0" w:line="240" w:lineRule="auto"/>
                    <w:jc w:val="center"/>
                    <w:rPr>
                      <w:rFonts w:ascii="Calibri" w:eastAsia="Times New Roman" w:hAnsi="Calibri" w:cs="Calibri"/>
                      <w:color w:val="000000"/>
                      <w:lang w:eastAsia="en-GB"/>
                    </w:rPr>
                  </w:pPr>
                  <w:r w:rsidRPr="000052F6">
                    <w:rPr>
                      <w:rFonts w:ascii="Calibri" w:eastAsia="Times New Roman" w:hAnsi="Calibri" w:cs="Calibri"/>
                      <w:color w:val="000000"/>
                      <w:lang w:eastAsia="en-GB"/>
                    </w:rPr>
                    <w:t>13</w:t>
                  </w:r>
                </w:p>
              </w:tc>
            </w:tr>
            <w:tr w:rsidR="00AF4DE0" w:rsidRPr="000052F6" w14:paraId="138BB8DE" w14:textId="77777777" w:rsidTr="00E86245">
              <w:trPr>
                <w:trHeight w:val="288"/>
              </w:trPr>
              <w:tc>
                <w:tcPr>
                  <w:tcW w:w="1517" w:type="dxa"/>
                  <w:tcBorders>
                    <w:top w:val="nil"/>
                    <w:left w:val="single" w:sz="8" w:space="0" w:color="auto"/>
                    <w:bottom w:val="nil"/>
                    <w:right w:val="nil"/>
                  </w:tcBorders>
                  <w:shd w:val="clear" w:color="000000" w:fill="DDEBF7"/>
                  <w:noWrap/>
                  <w:vAlign w:val="bottom"/>
                  <w:hideMark/>
                </w:tcPr>
                <w:p w14:paraId="545ED2ED" w14:textId="77777777" w:rsidR="00AF4DE0" w:rsidRPr="000052F6" w:rsidRDefault="00AF4DE0" w:rsidP="00AF4DE0">
                  <w:pPr>
                    <w:spacing w:after="0" w:line="240" w:lineRule="auto"/>
                    <w:rPr>
                      <w:rFonts w:ascii="Calibri" w:eastAsia="Times New Roman" w:hAnsi="Calibri" w:cs="Calibri"/>
                      <w:color w:val="000000"/>
                      <w:lang w:eastAsia="en-GB"/>
                    </w:rPr>
                  </w:pPr>
                  <w:r w:rsidRPr="00CA4714">
                    <w:rPr>
                      <w:rFonts w:ascii="Calibri" w:eastAsia="Times New Roman" w:hAnsi="Calibri" w:cs="Calibri"/>
                      <w:color w:val="000000"/>
                      <w:lang w:eastAsia="en-GB"/>
                    </w:rPr>
                    <w:t>Source: PASEC</w:t>
                  </w:r>
                </w:p>
              </w:tc>
              <w:tc>
                <w:tcPr>
                  <w:tcW w:w="630" w:type="dxa"/>
                  <w:tcBorders>
                    <w:top w:val="nil"/>
                    <w:left w:val="nil"/>
                    <w:bottom w:val="nil"/>
                    <w:right w:val="nil"/>
                  </w:tcBorders>
                  <w:shd w:val="clear" w:color="auto" w:fill="auto"/>
                  <w:noWrap/>
                  <w:vAlign w:val="bottom"/>
                  <w:hideMark/>
                </w:tcPr>
                <w:p w14:paraId="54CEBA38" w14:textId="77777777" w:rsidR="00AF4DE0" w:rsidRPr="000052F6" w:rsidRDefault="00AF4DE0" w:rsidP="00AF4DE0">
                  <w:pPr>
                    <w:spacing w:after="0" w:line="240" w:lineRule="auto"/>
                    <w:rPr>
                      <w:rFonts w:ascii="Calibri" w:eastAsia="Times New Roman" w:hAnsi="Calibri" w:cs="Calibri"/>
                      <w:color w:val="000000"/>
                      <w:lang w:eastAsia="en-GB"/>
                    </w:rPr>
                  </w:pPr>
                </w:p>
              </w:tc>
              <w:tc>
                <w:tcPr>
                  <w:tcW w:w="701" w:type="dxa"/>
                  <w:tcBorders>
                    <w:top w:val="nil"/>
                    <w:left w:val="nil"/>
                    <w:bottom w:val="nil"/>
                    <w:right w:val="nil"/>
                  </w:tcBorders>
                  <w:shd w:val="clear" w:color="auto" w:fill="auto"/>
                  <w:noWrap/>
                  <w:vAlign w:val="bottom"/>
                  <w:hideMark/>
                </w:tcPr>
                <w:p w14:paraId="19CAD44E" w14:textId="77777777" w:rsidR="00AF4DE0" w:rsidRPr="000052F6" w:rsidRDefault="00AF4DE0" w:rsidP="00AF4DE0">
                  <w:pPr>
                    <w:spacing w:after="0" w:line="240" w:lineRule="auto"/>
                    <w:rPr>
                      <w:rFonts w:ascii="Times New Roman" w:eastAsia="Times New Roman" w:hAnsi="Times New Roman" w:cs="Times New Roman"/>
                      <w:sz w:val="20"/>
                      <w:szCs w:val="20"/>
                      <w:lang w:eastAsia="en-GB"/>
                    </w:rPr>
                  </w:pPr>
                </w:p>
              </w:tc>
              <w:tc>
                <w:tcPr>
                  <w:tcW w:w="768" w:type="dxa"/>
                  <w:tcBorders>
                    <w:top w:val="nil"/>
                    <w:left w:val="nil"/>
                    <w:bottom w:val="nil"/>
                    <w:right w:val="nil"/>
                  </w:tcBorders>
                  <w:shd w:val="clear" w:color="auto" w:fill="auto"/>
                  <w:noWrap/>
                  <w:vAlign w:val="bottom"/>
                  <w:hideMark/>
                </w:tcPr>
                <w:p w14:paraId="153F85A3" w14:textId="77777777" w:rsidR="00AF4DE0" w:rsidRPr="000052F6" w:rsidRDefault="00AF4DE0" w:rsidP="00AF4DE0">
                  <w:pPr>
                    <w:spacing w:after="0" w:line="240" w:lineRule="auto"/>
                    <w:rPr>
                      <w:rFonts w:ascii="Times New Roman" w:eastAsia="Times New Roman" w:hAnsi="Times New Roman" w:cs="Times New Roman"/>
                      <w:sz w:val="20"/>
                      <w:szCs w:val="20"/>
                      <w:lang w:eastAsia="en-GB"/>
                    </w:rPr>
                  </w:pPr>
                </w:p>
              </w:tc>
              <w:tc>
                <w:tcPr>
                  <w:tcW w:w="636" w:type="dxa"/>
                  <w:tcBorders>
                    <w:top w:val="nil"/>
                    <w:left w:val="nil"/>
                    <w:bottom w:val="nil"/>
                    <w:right w:val="nil"/>
                  </w:tcBorders>
                  <w:shd w:val="clear" w:color="auto" w:fill="auto"/>
                  <w:noWrap/>
                  <w:vAlign w:val="bottom"/>
                  <w:hideMark/>
                </w:tcPr>
                <w:p w14:paraId="40F674C3" w14:textId="77777777" w:rsidR="00AF4DE0" w:rsidRPr="000052F6" w:rsidRDefault="00AF4DE0" w:rsidP="00AF4DE0">
                  <w:pPr>
                    <w:spacing w:after="0" w:line="240" w:lineRule="auto"/>
                    <w:rPr>
                      <w:rFonts w:ascii="Times New Roman" w:eastAsia="Times New Roman" w:hAnsi="Times New Roman" w:cs="Times New Roman"/>
                      <w:sz w:val="20"/>
                      <w:szCs w:val="20"/>
                      <w:lang w:eastAsia="en-GB"/>
                    </w:rPr>
                  </w:pPr>
                </w:p>
              </w:tc>
              <w:tc>
                <w:tcPr>
                  <w:tcW w:w="760" w:type="dxa"/>
                  <w:tcBorders>
                    <w:top w:val="nil"/>
                    <w:left w:val="nil"/>
                    <w:bottom w:val="nil"/>
                    <w:right w:val="nil"/>
                  </w:tcBorders>
                  <w:shd w:val="clear" w:color="auto" w:fill="auto"/>
                  <w:noWrap/>
                  <w:vAlign w:val="bottom"/>
                  <w:hideMark/>
                </w:tcPr>
                <w:p w14:paraId="49EA3FAC" w14:textId="77777777" w:rsidR="00AF4DE0" w:rsidRPr="000052F6" w:rsidRDefault="00AF4DE0" w:rsidP="00AF4DE0">
                  <w:pPr>
                    <w:spacing w:after="0" w:line="240" w:lineRule="auto"/>
                    <w:rPr>
                      <w:rFonts w:ascii="Times New Roman" w:eastAsia="Times New Roman" w:hAnsi="Times New Roman" w:cs="Times New Roman"/>
                      <w:sz w:val="20"/>
                      <w:szCs w:val="20"/>
                      <w:lang w:eastAsia="en-GB"/>
                    </w:rPr>
                  </w:pPr>
                </w:p>
              </w:tc>
              <w:tc>
                <w:tcPr>
                  <w:tcW w:w="768" w:type="dxa"/>
                  <w:tcBorders>
                    <w:top w:val="nil"/>
                    <w:left w:val="nil"/>
                    <w:bottom w:val="nil"/>
                    <w:right w:val="nil"/>
                  </w:tcBorders>
                  <w:shd w:val="clear" w:color="auto" w:fill="auto"/>
                  <w:noWrap/>
                  <w:vAlign w:val="bottom"/>
                  <w:hideMark/>
                </w:tcPr>
                <w:p w14:paraId="3A99735D" w14:textId="77777777" w:rsidR="00AF4DE0" w:rsidRPr="000052F6" w:rsidRDefault="00AF4DE0" w:rsidP="00AF4DE0">
                  <w:pPr>
                    <w:spacing w:after="0" w:line="240" w:lineRule="auto"/>
                    <w:rPr>
                      <w:rFonts w:ascii="Times New Roman" w:eastAsia="Times New Roman" w:hAnsi="Times New Roman" w:cs="Times New Roman"/>
                      <w:sz w:val="20"/>
                      <w:szCs w:val="20"/>
                      <w:lang w:eastAsia="en-GB"/>
                    </w:rPr>
                  </w:pPr>
                </w:p>
              </w:tc>
              <w:tc>
                <w:tcPr>
                  <w:tcW w:w="636" w:type="dxa"/>
                  <w:tcBorders>
                    <w:top w:val="nil"/>
                    <w:left w:val="nil"/>
                    <w:bottom w:val="nil"/>
                    <w:right w:val="nil"/>
                  </w:tcBorders>
                  <w:shd w:val="clear" w:color="auto" w:fill="auto"/>
                  <w:noWrap/>
                  <w:vAlign w:val="bottom"/>
                  <w:hideMark/>
                </w:tcPr>
                <w:p w14:paraId="2BEB945F" w14:textId="77777777" w:rsidR="00AF4DE0" w:rsidRPr="000052F6" w:rsidRDefault="00AF4DE0" w:rsidP="00AF4DE0">
                  <w:pPr>
                    <w:spacing w:after="0" w:line="240" w:lineRule="auto"/>
                    <w:rPr>
                      <w:rFonts w:ascii="Times New Roman" w:eastAsia="Times New Roman" w:hAnsi="Times New Roman" w:cs="Times New Roman"/>
                      <w:sz w:val="20"/>
                      <w:szCs w:val="20"/>
                      <w:lang w:eastAsia="en-GB"/>
                    </w:rPr>
                  </w:pPr>
                </w:p>
              </w:tc>
              <w:tc>
                <w:tcPr>
                  <w:tcW w:w="736" w:type="dxa"/>
                  <w:tcBorders>
                    <w:top w:val="nil"/>
                    <w:left w:val="nil"/>
                    <w:bottom w:val="nil"/>
                    <w:right w:val="nil"/>
                  </w:tcBorders>
                  <w:shd w:val="clear" w:color="auto" w:fill="auto"/>
                  <w:noWrap/>
                  <w:vAlign w:val="bottom"/>
                  <w:hideMark/>
                </w:tcPr>
                <w:p w14:paraId="07A7D556" w14:textId="77777777" w:rsidR="00AF4DE0" w:rsidRPr="000052F6" w:rsidRDefault="00AF4DE0" w:rsidP="00AF4DE0">
                  <w:pPr>
                    <w:spacing w:after="0" w:line="240" w:lineRule="auto"/>
                    <w:rPr>
                      <w:rFonts w:ascii="Times New Roman" w:eastAsia="Times New Roman" w:hAnsi="Times New Roman" w:cs="Times New Roman"/>
                      <w:sz w:val="20"/>
                      <w:szCs w:val="20"/>
                      <w:lang w:eastAsia="en-GB"/>
                    </w:rPr>
                  </w:pPr>
                </w:p>
              </w:tc>
              <w:tc>
                <w:tcPr>
                  <w:tcW w:w="776" w:type="dxa"/>
                  <w:tcBorders>
                    <w:top w:val="nil"/>
                    <w:left w:val="nil"/>
                    <w:bottom w:val="nil"/>
                    <w:right w:val="nil"/>
                  </w:tcBorders>
                  <w:shd w:val="clear" w:color="auto" w:fill="auto"/>
                  <w:noWrap/>
                  <w:vAlign w:val="bottom"/>
                  <w:hideMark/>
                </w:tcPr>
                <w:p w14:paraId="4CAFE908" w14:textId="77777777" w:rsidR="00AF4DE0" w:rsidRPr="000052F6" w:rsidRDefault="00AF4DE0" w:rsidP="00AF4DE0">
                  <w:pPr>
                    <w:spacing w:after="0" w:line="240" w:lineRule="auto"/>
                    <w:rPr>
                      <w:rFonts w:ascii="Times New Roman" w:eastAsia="Times New Roman" w:hAnsi="Times New Roman" w:cs="Times New Roman"/>
                      <w:sz w:val="20"/>
                      <w:szCs w:val="20"/>
                      <w:lang w:eastAsia="en-GB"/>
                    </w:rPr>
                  </w:pPr>
                </w:p>
              </w:tc>
            </w:tr>
          </w:tbl>
          <w:p w14:paraId="723FD1C5" w14:textId="77777777" w:rsidR="00AF4DE0" w:rsidRDefault="00AF4DE0" w:rsidP="001D15BD">
            <w:pPr>
              <w:spacing w:after="0" w:line="240" w:lineRule="auto"/>
              <w:rPr>
                <w:rFonts w:ascii="Calibri" w:eastAsia="Times New Roman" w:hAnsi="Calibri" w:cs="Calibri"/>
                <w:color w:val="000000"/>
                <w:lang w:eastAsia="en-GB"/>
              </w:rPr>
            </w:pPr>
          </w:p>
          <w:tbl>
            <w:tblPr>
              <w:tblW w:w="6262" w:type="dxa"/>
              <w:tblCellMar>
                <w:left w:w="0" w:type="dxa"/>
                <w:right w:w="0" w:type="dxa"/>
              </w:tblCellMar>
              <w:tblLook w:val="04A0" w:firstRow="1" w:lastRow="0" w:firstColumn="1" w:lastColumn="0" w:noHBand="0" w:noVBand="1"/>
            </w:tblPr>
            <w:tblGrid>
              <w:gridCol w:w="6278"/>
            </w:tblGrid>
            <w:tr w:rsidR="00C925F9" w14:paraId="0C3FC6B3" w14:textId="77777777" w:rsidTr="00E86245">
              <w:trPr>
                <w:trHeight w:val="288"/>
              </w:trPr>
              <w:tc>
                <w:tcPr>
                  <w:tcW w:w="6262" w:type="dxa"/>
                  <w:tcBorders>
                    <w:top w:val="nil"/>
                    <w:left w:val="nil"/>
                    <w:bottom w:val="nil"/>
                    <w:right w:val="nil"/>
                  </w:tcBorders>
                  <w:shd w:val="clear" w:color="auto" w:fill="auto"/>
                  <w:noWrap/>
                  <w:vAlign w:val="bottom"/>
                  <w:hideMark/>
                </w:tcPr>
                <w:tbl>
                  <w:tblPr>
                    <w:tblW w:w="6040" w:type="dxa"/>
                    <w:tblLook w:val="04A0" w:firstRow="1" w:lastRow="0" w:firstColumn="1" w:lastColumn="0" w:noHBand="0" w:noVBand="1"/>
                  </w:tblPr>
                  <w:tblGrid>
                    <w:gridCol w:w="2221"/>
                    <w:gridCol w:w="916"/>
                    <w:gridCol w:w="820"/>
                    <w:gridCol w:w="856"/>
                    <w:gridCol w:w="1159"/>
                    <w:gridCol w:w="222"/>
                  </w:tblGrid>
                  <w:tr w:rsidR="00C925F9" w:rsidRPr="00714F47" w14:paraId="0883AF99" w14:textId="77777777" w:rsidTr="00E86245">
                    <w:trPr>
                      <w:trHeight w:val="288"/>
                    </w:trPr>
                    <w:tc>
                      <w:tcPr>
                        <w:tcW w:w="6040" w:type="dxa"/>
                        <w:gridSpan w:val="6"/>
                        <w:tcBorders>
                          <w:top w:val="nil"/>
                          <w:left w:val="nil"/>
                          <w:bottom w:val="nil"/>
                          <w:right w:val="nil"/>
                        </w:tcBorders>
                        <w:shd w:val="clear" w:color="auto" w:fill="auto"/>
                        <w:noWrap/>
                        <w:vAlign w:val="bottom"/>
                        <w:hideMark/>
                      </w:tcPr>
                      <w:p w14:paraId="155F6A74" w14:textId="77777777" w:rsidR="00C925F9" w:rsidRPr="00714F47" w:rsidRDefault="00C925F9" w:rsidP="00C925F9">
                        <w:pPr>
                          <w:spacing w:after="0" w:line="240" w:lineRule="auto"/>
                          <w:rPr>
                            <w:rFonts w:ascii="Calibri" w:eastAsia="Times New Roman" w:hAnsi="Calibri" w:cs="Calibri"/>
                            <w:color w:val="000000"/>
                            <w:lang w:eastAsia="en-GB"/>
                          </w:rPr>
                        </w:pPr>
                        <w:r>
                          <w:rPr>
                            <w:sz w:val="28"/>
                            <w:szCs w:val="28"/>
                          </w:rPr>
                          <w:br w:type="page"/>
                        </w:r>
                        <w:r w:rsidRPr="00714F47">
                          <w:rPr>
                            <w:rFonts w:ascii="Calibri" w:eastAsia="Times New Roman" w:hAnsi="Calibri" w:cs="Calibri"/>
                            <w:color w:val="000000"/>
                            <w:lang w:eastAsia="en-GB"/>
                          </w:rPr>
                          <w:t xml:space="preserve">Table 3: Incidence of private tuition among grade 6 girls and boys </w:t>
                        </w:r>
                      </w:p>
                    </w:tc>
                  </w:tr>
                  <w:tr w:rsidR="00C925F9" w:rsidRPr="00714F47" w14:paraId="4DD0E292" w14:textId="77777777" w:rsidTr="00E86245">
                    <w:trPr>
                      <w:trHeight w:val="300"/>
                    </w:trPr>
                    <w:tc>
                      <w:tcPr>
                        <w:tcW w:w="5972" w:type="dxa"/>
                        <w:gridSpan w:val="5"/>
                        <w:tcBorders>
                          <w:top w:val="nil"/>
                          <w:left w:val="nil"/>
                          <w:bottom w:val="nil"/>
                          <w:right w:val="nil"/>
                        </w:tcBorders>
                        <w:shd w:val="clear" w:color="auto" w:fill="auto"/>
                        <w:noWrap/>
                        <w:vAlign w:val="bottom"/>
                        <w:hideMark/>
                      </w:tcPr>
                      <w:p w14:paraId="3EF430B0" w14:textId="77777777" w:rsidR="00C925F9" w:rsidRPr="00714F47" w:rsidRDefault="00C925F9" w:rsidP="00C925F9">
                        <w:pPr>
                          <w:spacing w:after="0" w:line="240" w:lineRule="auto"/>
                          <w:rPr>
                            <w:rFonts w:ascii="Calibri" w:eastAsia="Times New Roman" w:hAnsi="Calibri" w:cs="Calibri"/>
                            <w:color w:val="000000"/>
                            <w:lang w:eastAsia="en-GB"/>
                          </w:rPr>
                        </w:pPr>
                        <w:proofErr w:type="gramStart"/>
                        <w:r w:rsidRPr="00714F47">
                          <w:rPr>
                            <w:rFonts w:ascii="Calibri" w:eastAsia="Times New Roman" w:hAnsi="Calibri" w:cs="Calibri"/>
                            <w:color w:val="000000"/>
                            <w:lang w:eastAsia="en-GB"/>
                          </w:rPr>
                          <w:t>in</w:t>
                        </w:r>
                        <w:proofErr w:type="gramEnd"/>
                        <w:r w:rsidRPr="00714F47">
                          <w:rPr>
                            <w:rFonts w:ascii="Calibri" w:eastAsia="Times New Roman" w:hAnsi="Calibri" w:cs="Calibri"/>
                            <w:color w:val="000000"/>
                            <w:lang w:eastAsia="en-GB"/>
                          </w:rPr>
                          <w:t xml:space="preserve"> Francophone West Africa, 2014 (rounded %)</w:t>
                        </w:r>
                      </w:p>
                    </w:tc>
                    <w:tc>
                      <w:tcPr>
                        <w:tcW w:w="68" w:type="dxa"/>
                        <w:tcBorders>
                          <w:top w:val="nil"/>
                          <w:left w:val="nil"/>
                          <w:bottom w:val="nil"/>
                          <w:right w:val="nil"/>
                        </w:tcBorders>
                        <w:shd w:val="clear" w:color="auto" w:fill="auto"/>
                        <w:noWrap/>
                        <w:vAlign w:val="bottom"/>
                        <w:hideMark/>
                      </w:tcPr>
                      <w:p w14:paraId="38FC9AF1" w14:textId="77777777" w:rsidR="00C925F9" w:rsidRPr="00714F47" w:rsidRDefault="00C925F9" w:rsidP="00C925F9">
                        <w:pPr>
                          <w:spacing w:after="0" w:line="240" w:lineRule="auto"/>
                          <w:rPr>
                            <w:rFonts w:ascii="Calibri" w:eastAsia="Times New Roman" w:hAnsi="Calibri" w:cs="Calibri"/>
                            <w:color w:val="000000"/>
                            <w:lang w:eastAsia="en-GB"/>
                          </w:rPr>
                        </w:pPr>
                      </w:p>
                    </w:tc>
                  </w:tr>
                  <w:tr w:rsidR="00C925F9" w:rsidRPr="00714F47" w14:paraId="3B86B69B" w14:textId="77777777" w:rsidTr="00E86245">
                    <w:trPr>
                      <w:trHeight w:val="288"/>
                    </w:trPr>
                    <w:tc>
                      <w:tcPr>
                        <w:tcW w:w="2221" w:type="dxa"/>
                        <w:tcBorders>
                          <w:top w:val="single" w:sz="8" w:space="0" w:color="auto"/>
                          <w:left w:val="single" w:sz="8" w:space="0" w:color="auto"/>
                          <w:bottom w:val="nil"/>
                          <w:right w:val="nil"/>
                        </w:tcBorders>
                        <w:shd w:val="clear" w:color="000000" w:fill="EDEDED"/>
                        <w:noWrap/>
                        <w:vAlign w:val="bottom"/>
                        <w:hideMark/>
                      </w:tcPr>
                      <w:p w14:paraId="6190DEC4"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Country</w:t>
                        </w:r>
                      </w:p>
                    </w:tc>
                    <w:tc>
                      <w:tcPr>
                        <w:tcW w:w="916" w:type="dxa"/>
                        <w:tcBorders>
                          <w:top w:val="single" w:sz="8" w:space="0" w:color="auto"/>
                          <w:left w:val="nil"/>
                          <w:bottom w:val="nil"/>
                          <w:right w:val="nil"/>
                        </w:tcBorders>
                        <w:shd w:val="clear" w:color="000000" w:fill="EDEDED"/>
                        <w:noWrap/>
                        <w:vAlign w:val="bottom"/>
                        <w:hideMark/>
                      </w:tcPr>
                      <w:p w14:paraId="0DBEFC58"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Total</w:t>
                        </w:r>
                      </w:p>
                    </w:tc>
                    <w:tc>
                      <w:tcPr>
                        <w:tcW w:w="820" w:type="dxa"/>
                        <w:tcBorders>
                          <w:top w:val="single" w:sz="8" w:space="0" w:color="auto"/>
                          <w:left w:val="nil"/>
                          <w:bottom w:val="nil"/>
                          <w:right w:val="nil"/>
                        </w:tcBorders>
                        <w:shd w:val="clear" w:color="000000" w:fill="EDEDED"/>
                        <w:noWrap/>
                        <w:vAlign w:val="bottom"/>
                        <w:hideMark/>
                      </w:tcPr>
                      <w:p w14:paraId="72E36819"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Girls</w:t>
                        </w:r>
                      </w:p>
                    </w:tc>
                    <w:tc>
                      <w:tcPr>
                        <w:tcW w:w="856" w:type="dxa"/>
                        <w:tcBorders>
                          <w:top w:val="single" w:sz="8" w:space="0" w:color="auto"/>
                          <w:left w:val="nil"/>
                          <w:bottom w:val="nil"/>
                          <w:right w:val="nil"/>
                        </w:tcBorders>
                        <w:shd w:val="clear" w:color="000000" w:fill="EDEDED"/>
                        <w:noWrap/>
                        <w:vAlign w:val="bottom"/>
                        <w:hideMark/>
                      </w:tcPr>
                      <w:p w14:paraId="191D86C3"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Boys</w:t>
                        </w:r>
                      </w:p>
                    </w:tc>
                    <w:tc>
                      <w:tcPr>
                        <w:tcW w:w="1159" w:type="dxa"/>
                        <w:tcBorders>
                          <w:top w:val="single" w:sz="8" w:space="0" w:color="auto"/>
                          <w:left w:val="nil"/>
                          <w:bottom w:val="nil"/>
                          <w:right w:val="single" w:sz="8" w:space="0" w:color="auto"/>
                        </w:tcBorders>
                        <w:shd w:val="clear" w:color="000000" w:fill="EDEDED"/>
                        <w:noWrap/>
                        <w:vAlign w:val="bottom"/>
                        <w:hideMark/>
                      </w:tcPr>
                      <w:p w14:paraId="1CC7AE19"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pp diff</w:t>
                        </w:r>
                      </w:p>
                    </w:tc>
                    <w:tc>
                      <w:tcPr>
                        <w:tcW w:w="68" w:type="dxa"/>
                        <w:tcBorders>
                          <w:top w:val="nil"/>
                          <w:left w:val="nil"/>
                          <w:bottom w:val="nil"/>
                          <w:right w:val="nil"/>
                        </w:tcBorders>
                        <w:shd w:val="clear" w:color="auto" w:fill="auto"/>
                        <w:noWrap/>
                        <w:vAlign w:val="bottom"/>
                        <w:hideMark/>
                      </w:tcPr>
                      <w:p w14:paraId="336EC4F5" w14:textId="77777777" w:rsidR="00C925F9" w:rsidRPr="00714F47" w:rsidRDefault="00C925F9" w:rsidP="00C925F9">
                        <w:pPr>
                          <w:spacing w:after="0" w:line="240" w:lineRule="auto"/>
                          <w:jc w:val="center"/>
                          <w:rPr>
                            <w:rFonts w:ascii="Calibri" w:eastAsia="Times New Roman" w:hAnsi="Calibri" w:cs="Calibri"/>
                            <w:color w:val="000000"/>
                            <w:lang w:eastAsia="en-GB"/>
                          </w:rPr>
                        </w:pPr>
                      </w:p>
                    </w:tc>
                  </w:tr>
                  <w:tr w:rsidR="00C925F9" w:rsidRPr="00714F47" w14:paraId="211AA3BD" w14:textId="77777777" w:rsidTr="00E86245">
                    <w:trPr>
                      <w:trHeight w:val="288"/>
                    </w:trPr>
                    <w:tc>
                      <w:tcPr>
                        <w:tcW w:w="2221" w:type="dxa"/>
                        <w:tcBorders>
                          <w:top w:val="single" w:sz="4" w:space="0" w:color="auto"/>
                          <w:left w:val="single" w:sz="8" w:space="0" w:color="auto"/>
                          <w:bottom w:val="nil"/>
                          <w:right w:val="nil"/>
                        </w:tcBorders>
                        <w:shd w:val="clear" w:color="000000" w:fill="DDEBF7"/>
                        <w:noWrap/>
                        <w:vAlign w:val="bottom"/>
                        <w:hideMark/>
                      </w:tcPr>
                      <w:p w14:paraId="3A183CB7"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Tchad</w:t>
                        </w:r>
                      </w:p>
                    </w:tc>
                    <w:tc>
                      <w:tcPr>
                        <w:tcW w:w="916" w:type="dxa"/>
                        <w:tcBorders>
                          <w:top w:val="single" w:sz="4" w:space="0" w:color="auto"/>
                          <w:left w:val="nil"/>
                          <w:bottom w:val="nil"/>
                          <w:right w:val="nil"/>
                        </w:tcBorders>
                        <w:shd w:val="clear" w:color="000000" w:fill="DDEBF7"/>
                        <w:noWrap/>
                        <w:vAlign w:val="bottom"/>
                        <w:hideMark/>
                      </w:tcPr>
                      <w:p w14:paraId="4EDDFB3E"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12</w:t>
                        </w:r>
                      </w:p>
                    </w:tc>
                    <w:tc>
                      <w:tcPr>
                        <w:tcW w:w="820" w:type="dxa"/>
                        <w:tcBorders>
                          <w:top w:val="single" w:sz="4" w:space="0" w:color="auto"/>
                          <w:left w:val="nil"/>
                          <w:bottom w:val="nil"/>
                          <w:right w:val="nil"/>
                        </w:tcBorders>
                        <w:shd w:val="clear" w:color="000000" w:fill="DDEBF7"/>
                        <w:noWrap/>
                        <w:vAlign w:val="bottom"/>
                        <w:hideMark/>
                      </w:tcPr>
                      <w:p w14:paraId="34FC4D4B"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11</w:t>
                        </w:r>
                      </w:p>
                    </w:tc>
                    <w:tc>
                      <w:tcPr>
                        <w:tcW w:w="856" w:type="dxa"/>
                        <w:tcBorders>
                          <w:top w:val="single" w:sz="4" w:space="0" w:color="auto"/>
                          <w:left w:val="nil"/>
                          <w:bottom w:val="nil"/>
                          <w:right w:val="nil"/>
                        </w:tcBorders>
                        <w:shd w:val="clear" w:color="000000" w:fill="DDEBF7"/>
                        <w:noWrap/>
                        <w:vAlign w:val="bottom"/>
                        <w:hideMark/>
                      </w:tcPr>
                      <w:p w14:paraId="4E2E12EF"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12</w:t>
                        </w:r>
                      </w:p>
                    </w:tc>
                    <w:tc>
                      <w:tcPr>
                        <w:tcW w:w="1159" w:type="dxa"/>
                        <w:tcBorders>
                          <w:top w:val="single" w:sz="4" w:space="0" w:color="auto"/>
                          <w:left w:val="nil"/>
                          <w:bottom w:val="nil"/>
                          <w:right w:val="single" w:sz="8" w:space="0" w:color="auto"/>
                        </w:tcBorders>
                        <w:shd w:val="clear" w:color="000000" w:fill="DDEBF7"/>
                        <w:noWrap/>
                        <w:vAlign w:val="bottom"/>
                        <w:hideMark/>
                      </w:tcPr>
                      <w:p w14:paraId="589928C0"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-1</w:t>
                        </w:r>
                      </w:p>
                    </w:tc>
                    <w:tc>
                      <w:tcPr>
                        <w:tcW w:w="68" w:type="dxa"/>
                        <w:tcBorders>
                          <w:top w:val="nil"/>
                          <w:left w:val="nil"/>
                          <w:bottom w:val="nil"/>
                          <w:right w:val="nil"/>
                        </w:tcBorders>
                        <w:shd w:val="clear" w:color="auto" w:fill="auto"/>
                        <w:noWrap/>
                        <w:vAlign w:val="bottom"/>
                        <w:hideMark/>
                      </w:tcPr>
                      <w:p w14:paraId="06BD23FF" w14:textId="77777777" w:rsidR="00C925F9" w:rsidRPr="00714F47" w:rsidRDefault="00C925F9" w:rsidP="00C925F9">
                        <w:pPr>
                          <w:spacing w:after="0" w:line="240" w:lineRule="auto"/>
                          <w:jc w:val="center"/>
                          <w:rPr>
                            <w:rFonts w:ascii="Calibri" w:eastAsia="Times New Roman" w:hAnsi="Calibri" w:cs="Calibri"/>
                            <w:color w:val="000000"/>
                            <w:lang w:eastAsia="en-GB"/>
                          </w:rPr>
                        </w:pPr>
                      </w:p>
                    </w:tc>
                  </w:tr>
                  <w:tr w:rsidR="00C925F9" w:rsidRPr="00714F47" w14:paraId="3F7BFC18" w14:textId="77777777" w:rsidTr="00E86245">
                    <w:trPr>
                      <w:trHeight w:val="288"/>
                    </w:trPr>
                    <w:tc>
                      <w:tcPr>
                        <w:tcW w:w="2221" w:type="dxa"/>
                        <w:tcBorders>
                          <w:top w:val="nil"/>
                          <w:left w:val="single" w:sz="8" w:space="0" w:color="auto"/>
                          <w:bottom w:val="nil"/>
                          <w:right w:val="nil"/>
                        </w:tcBorders>
                        <w:shd w:val="clear" w:color="000000" w:fill="DDEBF7"/>
                        <w:noWrap/>
                        <w:vAlign w:val="bottom"/>
                        <w:hideMark/>
                      </w:tcPr>
                      <w:p w14:paraId="160842AF"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Congo</w:t>
                        </w:r>
                      </w:p>
                    </w:tc>
                    <w:tc>
                      <w:tcPr>
                        <w:tcW w:w="916" w:type="dxa"/>
                        <w:tcBorders>
                          <w:top w:val="nil"/>
                          <w:left w:val="nil"/>
                          <w:bottom w:val="nil"/>
                          <w:right w:val="nil"/>
                        </w:tcBorders>
                        <w:shd w:val="clear" w:color="000000" w:fill="DDEBF7"/>
                        <w:noWrap/>
                        <w:vAlign w:val="bottom"/>
                        <w:hideMark/>
                      </w:tcPr>
                      <w:p w14:paraId="55F2EFD1"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18</w:t>
                        </w:r>
                      </w:p>
                    </w:tc>
                    <w:tc>
                      <w:tcPr>
                        <w:tcW w:w="820" w:type="dxa"/>
                        <w:tcBorders>
                          <w:top w:val="nil"/>
                          <w:left w:val="nil"/>
                          <w:bottom w:val="nil"/>
                          <w:right w:val="nil"/>
                        </w:tcBorders>
                        <w:shd w:val="clear" w:color="000000" w:fill="DDEBF7"/>
                        <w:noWrap/>
                        <w:vAlign w:val="bottom"/>
                        <w:hideMark/>
                      </w:tcPr>
                      <w:p w14:paraId="63E70043"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17</w:t>
                        </w:r>
                      </w:p>
                    </w:tc>
                    <w:tc>
                      <w:tcPr>
                        <w:tcW w:w="856" w:type="dxa"/>
                        <w:tcBorders>
                          <w:top w:val="nil"/>
                          <w:left w:val="nil"/>
                          <w:bottom w:val="nil"/>
                          <w:right w:val="nil"/>
                        </w:tcBorders>
                        <w:shd w:val="clear" w:color="000000" w:fill="DDEBF7"/>
                        <w:noWrap/>
                        <w:vAlign w:val="bottom"/>
                        <w:hideMark/>
                      </w:tcPr>
                      <w:p w14:paraId="3001F44A"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19</w:t>
                        </w:r>
                      </w:p>
                    </w:tc>
                    <w:tc>
                      <w:tcPr>
                        <w:tcW w:w="1159" w:type="dxa"/>
                        <w:tcBorders>
                          <w:top w:val="nil"/>
                          <w:left w:val="nil"/>
                          <w:bottom w:val="nil"/>
                          <w:right w:val="single" w:sz="8" w:space="0" w:color="auto"/>
                        </w:tcBorders>
                        <w:shd w:val="clear" w:color="000000" w:fill="DDEBF7"/>
                        <w:noWrap/>
                        <w:vAlign w:val="bottom"/>
                        <w:hideMark/>
                      </w:tcPr>
                      <w:p w14:paraId="56058E94"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-1</w:t>
                        </w:r>
                      </w:p>
                    </w:tc>
                    <w:tc>
                      <w:tcPr>
                        <w:tcW w:w="68" w:type="dxa"/>
                        <w:tcBorders>
                          <w:top w:val="nil"/>
                          <w:left w:val="nil"/>
                          <w:bottom w:val="nil"/>
                          <w:right w:val="nil"/>
                        </w:tcBorders>
                        <w:shd w:val="clear" w:color="auto" w:fill="auto"/>
                        <w:noWrap/>
                        <w:vAlign w:val="bottom"/>
                        <w:hideMark/>
                      </w:tcPr>
                      <w:p w14:paraId="2E3B997C" w14:textId="77777777" w:rsidR="00C925F9" w:rsidRPr="00714F47" w:rsidRDefault="00C925F9" w:rsidP="00C925F9">
                        <w:pPr>
                          <w:spacing w:after="0" w:line="240" w:lineRule="auto"/>
                          <w:jc w:val="center"/>
                          <w:rPr>
                            <w:rFonts w:ascii="Calibri" w:eastAsia="Times New Roman" w:hAnsi="Calibri" w:cs="Calibri"/>
                            <w:color w:val="000000"/>
                            <w:lang w:eastAsia="en-GB"/>
                          </w:rPr>
                        </w:pPr>
                      </w:p>
                    </w:tc>
                  </w:tr>
                  <w:tr w:rsidR="00C925F9" w:rsidRPr="00714F47" w14:paraId="10B7B5EB" w14:textId="77777777" w:rsidTr="00E86245">
                    <w:trPr>
                      <w:trHeight w:val="288"/>
                    </w:trPr>
                    <w:tc>
                      <w:tcPr>
                        <w:tcW w:w="2221" w:type="dxa"/>
                        <w:tcBorders>
                          <w:top w:val="nil"/>
                          <w:left w:val="single" w:sz="8" w:space="0" w:color="auto"/>
                          <w:bottom w:val="nil"/>
                          <w:right w:val="nil"/>
                        </w:tcBorders>
                        <w:shd w:val="clear" w:color="000000" w:fill="DDEBF7"/>
                        <w:noWrap/>
                        <w:vAlign w:val="bottom"/>
                        <w:hideMark/>
                      </w:tcPr>
                      <w:p w14:paraId="1282FA97"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Niger</w:t>
                        </w:r>
                      </w:p>
                    </w:tc>
                    <w:tc>
                      <w:tcPr>
                        <w:tcW w:w="916" w:type="dxa"/>
                        <w:tcBorders>
                          <w:top w:val="nil"/>
                          <w:left w:val="nil"/>
                          <w:bottom w:val="nil"/>
                          <w:right w:val="nil"/>
                        </w:tcBorders>
                        <w:shd w:val="clear" w:color="000000" w:fill="DDEBF7"/>
                        <w:noWrap/>
                        <w:vAlign w:val="bottom"/>
                        <w:hideMark/>
                      </w:tcPr>
                      <w:p w14:paraId="45D42C7A"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20</w:t>
                        </w:r>
                      </w:p>
                    </w:tc>
                    <w:tc>
                      <w:tcPr>
                        <w:tcW w:w="820" w:type="dxa"/>
                        <w:tcBorders>
                          <w:top w:val="nil"/>
                          <w:left w:val="nil"/>
                          <w:bottom w:val="nil"/>
                          <w:right w:val="nil"/>
                        </w:tcBorders>
                        <w:shd w:val="clear" w:color="000000" w:fill="DDEBF7"/>
                        <w:noWrap/>
                        <w:vAlign w:val="bottom"/>
                        <w:hideMark/>
                      </w:tcPr>
                      <w:p w14:paraId="77BB11F1"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20</w:t>
                        </w:r>
                      </w:p>
                    </w:tc>
                    <w:tc>
                      <w:tcPr>
                        <w:tcW w:w="856" w:type="dxa"/>
                        <w:tcBorders>
                          <w:top w:val="nil"/>
                          <w:left w:val="nil"/>
                          <w:bottom w:val="nil"/>
                          <w:right w:val="nil"/>
                        </w:tcBorders>
                        <w:shd w:val="clear" w:color="000000" w:fill="DDEBF7"/>
                        <w:noWrap/>
                        <w:vAlign w:val="bottom"/>
                        <w:hideMark/>
                      </w:tcPr>
                      <w:p w14:paraId="5EAC51A5"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19</w:t>
                        </w:r>
                      </w:p>
                    </w:tc>
                    <w:tc>
                      <w:tcPr>
                        <w:tcW w:w="1159" w:type="dxa"/>
                        <w:tcBorders>
                          <w:top w:val="nil"/>
                          <w:left w:val="nil"/>
                          <w:bottom w:val="nil"/>
                          <w:right w:val="single" w:sz="8" w:space="0" w:color="auto"/>
                        </w:tcBorders>
                        <w:shd w:val="clear" w:color="000000" w:fill="DDEBF7"/>
                        <w:noWrap/>
                        <w:vAlign w:val="bottom"/>
                        <w:hideMark/>
                      </w:tcPr>
                      <w:p w14:paraId="13C513F7"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1</w:t>
                        </w:r>
                      </w:p>
                    </w:tc>
                    <w:tc>
                      <w:tcPr>
                        <w:tcW w:w="68" w:type="dxa"/>
                        <w:tcBorders>
                          <w:top w:val="nil"/>
                          <w:left w:val="nil"/>
                          <w:bottom w:val="nil"/>
                          <w:right w:val="nil"/>
                        </w:tcBorders>
                        <w:shd w:val="clear" w:color="auto" w:fill="auto"/>
                        <w:noWrap/>
                        <w:vAlign w:val="bottom"/>
                        <w:hideMark/>
                      </w:tcPr>
                      <w:p w14:paraId="0A9BA939" w14:textId="77777777" w:rsidR="00C925F9" w:rsidRPr="00714F47" w:rsidRDefault="00C925F9" w:rsidP="00C925F9">
                        <w:pPr>
                          <w:spacing w:after="0" w:line="240" w:lineRule="auto"/>
                          <w:jc w:val="center"/>
                          <w:rPr>
                            <w:rFonts w:ascii="Calibri" w:eastAsia="Times New Roman" w:hAnsi="Calibri" w:cs="Calibri"/>
                            <w:color w:val="000000"/>
                            <w:lang w:eastAsia="en-GB"/>
                          </w:rPr>
                        </w:pPr>
                      </w:p>
                    </w:tc>
                  </w:tr>
                  <w:tr w:rsidR="00C925F9" w:rsidRPr="00714F47" w14:paraId="56CBC768" w14:textId="77777777" w:rsidTr="00E86245">
                    <w:trPr>
                      <w:trHeight w:val="288"/>
                    </w:trPr>
                    <w:tc>
                      <w:tcPr>
                        <w:tcW w:w="2221" w:type="dxa"/>
                        <w:tcBorders>
                          <w:top w:val="nil"/>
                          <w:left w:val="single" w:sz="8" w:space="0" w:color="auto"/>
                          <w:bottom w:val="nil"/>
                          <w:right w:val="nil"/>
                        </w:tcBorders>
                        <w:shd w:val="clear" w:color="000000" w:fill="DDEBF7"/>
                        <w:noWrap/>
                        <w:vAlign w:val="bottom"/>
                        <w:hideMark/>
                      </w:tcPr>
                      <w:p w14:paraId="72CAB369"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Burkina Faso</w:t>
                        </w:r>
                      </w:p>
                    </w:tc>
                    <w:tc>
                      <w:tcPr>
                        <w:tcW w:w="916" w:type="dxa"/>
                        <w:tcBorders>
                          <w:top w:val="nil"/>
                          <w:left w:val="nil"/>
                          <w:bottom w:val="nil"/>
                          <w:right w:val="nil"/>
                        </w:tcBorders>
                        <w:shd w:val="clear" w:color="000000" w:fill="DDEBF7"/>
                        <w:noWrap/>
                        <w:vAlign w:val="bottom"/>
                        <w:hideMark/>
                      </w:tcPr>
                      <w:p w14:paraId="6551C871"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26</w:t>
                        </w:r>
                      </w:p>
                    </w:tc>
                    <w:tc>
                      <w:tcPr>
                        <w:tcW w:w="820" w:type="dxa"/>
                        <w:tcBorders>
                          <w:top w:val="nil"/>
                          <w:left w:val="nil"/>
                          <w:bottom w:val="nil"/>
                          <w:right w:val="nil"/>
                        </w:tcBorders>
                        <w:shd w:val="clear" w:color="000000" w:fill="DDEBF7"/>
                        <w:noWrap/>
                        <w:vAlign w:val="bottom"/>
                        <w:hideMark/>
                      </w:tcPr>
                      <w:p w14:paraId="0D83764A"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29</w:t>
                        </w:r>
                      </w:p>
                    </w:tc>
                    <w:tc>
                      <w:tcPr>
                        <w:tcW w:w="856" w:type="dxa"/>
                        <w:tcBorders>
                          <w:top w:val="nil"/>
                          <w:left w:val="nil"/>
                          <w:bottom w:val="nil"/>
                          <w:right w:val="nil"/>
                        </w:tcBorders>
                        <w:shd w:val="clear" w:color="000000" w:fill="DDEBF7"/>
                        <w:noWrap/>
                        <w:vAlign w:val="bottom"/>
                        <w:hideMark/>
                      </w:tcPr>
                      <w:p w14:paraId="075DA331"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24</w:t>
                        </w:r>
                      </w:p>
                    </w:tc>
                    <w:tc>
                      <w:tcPr>
                        <w:tcW w:w="1159" w:type="dxa"/>
                        <w:tcBorders>
                          <w:top w:val="nil"/>
                          <w:left w:val="nil"/>
                          <w:bottom w:val="nil"/>
                          <w:right w:val="single" w:sz="8" w:space="0" w:color="auto"/>
                        </w:tcBorders>
                        <w:shd w:val="clear" w:color="000000" w:fill="DDEBF7"/>
                        <w:noWrap/>
                        <w:vAlign w:val="bottom"/>
                        <w:hideMark/>
                      </w:tcPr>
                      <w:p w14:paraId="2E4A4C05"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5</w:t>
                        </w:r>
                      </w:p>
                    </w:tc>
                    <w:tc>
                      <w:tcPr>
                        <w:tcW w:w="68" w:type="dxa"/>
                        <w:tcBorders>
                          <w:top w:val="nil"/>
                          <w:left w:val="nil"/>
                          <w:bottom w:val="nil"/>
                          <w:right w:val="nil"/>
                        </w:tcBorders>
                        <w:shd w:val="clear" w:color="auto" w:fill="auto"/>
                        <w:noWrap/>
                        <w:vAlign w:val="bottom"/>
                        <w:hideMark/>
                      </w:tcPr>
                      <w:p w14:paraId="73531EA6" w14:textId="77777777" w:rsidR="00C925F9" w:rsidRPr="00714F47" w:rsidRDefault="00C925F9" w:rsidP="00C925F9">
                        <w:pPr>
                          <w:spacing w:after="0" w:line="240" w:lineRule="auto"/>
                          <w:jc w:val="center"/>
                          <w:rPr>
                            <w:rFonts w:ascii="Calibri" w:eastAsia="Times New Roman" w:hAnsi="Calibri" w:cs="Calibri"/>
                            <w:color w:val="000000"/>
                            <w:lang w:eastAsia="en-GB"/>
                          </w:rPr>
                        </w:pPr>
                      </w:p>
                    </w:tc>
                  </w:tr>
                  <w:tr w:rsidR="00C925F9" w:rsidRPr="00714F47" w14:paraId="6DBA6F4D" w14:textId="77777777" w:rsidTr="00E86245">
                    <w:trPr>
                      <w:trHeight w:val="288"/>
                    </w:trPr>
                    <w:tc>
                      <w:tcPr>
                        <w:tcW w:w="2221" w:type="dxa"/>
                        <w:tcBorders>
                          <w:top w:val="nil"/>
                          <w:left w:val="single" w:sz="8" w:space="0" w:color="auto"/>
                          <w:bottom w:val="nil"/>
                          <w:right w:val="nil"/>
                        </w:tcBorders>
                        <w:shd w:val="clear" w:color="000000" w:fill="DDEBF7"/>
                        <w:noWrap/>
                        <w:vAlign w:val="bottom"/>
                        <w:hideMark/>
                      </w:tcPr>
                      <w:p w14:paraId="62ADB96B"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Togo</w:t>
                        </w:r>
                      </w:p>
                    </w:tc>
                    <w:tc>
                      <w:tcPr>
                        <w:tcW w:w="916" w:type="dxa"/>
                        <w:tcBorders>
                          <w:top w:val="nil"/>
                          <w:left w:val="nil"/>
                          <w:bottom w:val="nil"/>
                          <w:right w:val="nil"/>
                        </w:tcBorders>
                        <w:shd w:val="clear" w:color="000000" w:fill="DDEBF7"/>
                        <w:noWrap/>
                        <w:vAlign w:val="bottom"/>
                        <w:hideMark/>
                      </w:tcPr>
                      <w:p w14:paraId="3DAF3981"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29</w:t>
                        </w:r>
                      </w:p>
                    </w:tc>
                    <w:tc>
                      <w:tcPr>
                        <w:tcW w:w="820" w:type="dxa"/>
                        <w:tcBorders>
                          <w:top w:val="nil"/>
                          <w:left w:val="nil"/>
                          <w:bottom w:val="nil"/>
                          <w:right w:val="nil"/>
                        </w:tcBorders>
                        <w:shd w:val="clear" w:color="000000" w:fill="DDEBF7"/>
                        <w:noWrap/>
                        <w:vAlign w:val="bottom"/>
                        <w:hideMark/>
                      </w:tcPr>
                      <w:p w14:paraId="063DD878"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30</w:t>
                        </w:r>
                      </w:p>
                    </w:tc>
                    <w:tc>
                      <w:tcPr>
                        <w:tcW w:w="856" w:type="dxa"/>
                        <w:tcBorders>
                          <w:top w:val="nil"/>
                          <w:left w:val="nil"/>
                          <w:bottom w:val="nil"/>
                          <w:right w:val="nil"/>
                        </w:tcBorders>
                        <w:shd w:val="clear" w:color="000000" w:fill="DDEBF7"/>
                        <w:noWrap/>
                        <w:vAlign w:val="bottom"/>
                        <w:hideMark/>
                      </w:tcPr>
                      <w:p w14:paraId="0DA61577"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27</w:t>
                        </w:r>
                      </w:p>
                    </w:tc>
                    <w:tc>
                      <w:tcPr>
                        <w:tcW w:w="1159" w:type="dxa"/>
                        <w:tcBorders>
                          <w:top w:val="nil"/>
                          <w:left w:val="nil"/>
                          <w:bottom w:val="nil"/>
                          <w:right w:val="single" w:sz="8" w:space="0" w:color="auto"/>
                        </w:tcBorders>
                        <w:shd w:val="clear" w:color="000000" w:fill="DDEBF7"/>
                        <w:noWrap/>
                        <w:vAlign w:val="bottom"/>
                        <w:hideMark/>
                      </w:tcPr>
                      <w:p w14:paraId="37922D9A"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w:t>
                        </w:r>
                      </w:p>
                    </w:tc>
                    <w:tc>
                      <w:tcPr>
                        <w:tcW w:w="68" w:type="dxa"/>
                        <w:tcBorders>
                          <w:top w:val="nil"/>
                          <w:left w:val="nil"/>
                          <w:bottom w:val="nil"/>
                          <w:right w:val="nil"/>
                        </w:tcBorders>
                        <w:shd w:val="clear" w:color="auto" w:fill="auto"/>
                        <w:noWrap/>
                        <w:vAlign w:val="bottom"/>
                        <w:hideMark/>
                      </w:tcPr>
                      <w:p w14:paraId="7DEC4FB3" w14:textId="77777777" w:rsidR="00C925F9" w:rsidRPr="00714F47" w:rsidRDefault="00C925F9" w:rsidP="00C925F9">
                        <w:pPr>
                          <w:spacing w:after="0" w:line="240" w:lineRule="auto"/>
                          <w:jc w:val="center"/>
                          <w:rPr>
                            <w:rFonts w:ascii="Calibri" w:eastAsia="Times New Roman" w:hAnsi="Calibri" w:cs="Calibri"/>
                            <w:color w:val="000000"/>
                            <w:lang w:eastAsia="en-GB"/>
                          </w:rPr>
                        </w:pPr>
                      </w:p>
                    </w:tc>
                  </w:tr>
                  <w:tr w:rsidR="00C925F9" w:rsidRPr="00714F47" w14:paraId="04E7B5D7" w14:textId="77777777" w:rsidTr="00E86245">
                    <w:trPr>
                      <w:trHeight w:val="288"/>
                    </w:trPr>
                    <w:tc>
                      <w:tcPr>
                        <w:tcW w:w="2221" w:type="dxa"/>
                        <w:tcBorders>
                          <w:top w:val="nil"/>
                          <w:left w:val="single" w:sz="8" w:space="0" w:color="auto"/>
                          <w:bottom w:val="nil"/>
                          <w:right w:val="nil"/>
                        </w:tcBorders>
                        <w:shd w:val="clear" w:color="000000" w:fill="DDEBF7"/>
                        <w:noWrap/>
                        <w:vAlign w:val="bottom"/>
                        <w:hideMark/>
                      </w:tcPr>
                      <w:p w14:paraId="244CBEC2"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Benin</w:t>
                        </w:r>
                      </w:p>
                    </w:tc>
                    <w:tc>
                      <w:tcPr>
                        <w:tcW w:w="916" w:type="dxa"/>
                        <w:tcBorders>
                          <w:top w:val="nil"/>
                          <w:left w:val="nil"/>
                          <w:bottom w:val="nil"/>
                          <w:right w:val="nil"/>
                        </w:tcBorders>
                        <w:shd w:val="clear" w:color="000000" w:fill="DDEBF7"/>
                        <w:noWrap/>
                        <w:vAlign w:val="bottom"/>
                        <w:hideMark/>
                      </w:tcPr>
                      <w:p w14:paraId="2F3ECD9A"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36</w:t>
                        </w:r>
                      </w:p>
                    </w:tc>
                    <w:tc>
                      <w:tcPr>
                        <w:tcW w:w="820" w:type="dxa"/>
                        <w:tcBorders>
                          <w:top w:val="nil"/>
                          <w:left w:val="nil"/>
                          <w:bottom w:val="nil"/>
                          <w:right w:val="nil"/>
                        </w:tcBorders>
                        <w:shd w:val="clear" w:color="000000" w:fill="DDEBF7"/>
                        <w:noWrap/>
                        <w:vAlign w:val="bottom"/>
                        <w:hideMark/>
                      </w:tcPr>
                      <w:p w14:paraId="17625E78"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38</w:t>
                        </w:r>
                      </w:p>
                    </w:tc>
                    <w:tc>
                      <w:tcPr>
                        <w:tcW w:w="856" w:type="dxa"/>
                        <w:tcBorders>
                          <w:top w:val="nil"/>
                          <w:left w:val="nil"/>
                          <w:bottom w:val="nil"/>
                          <w:right w:val="nil"/>
                        </w:tcBorders>
                        <w:shd w:val="clear" w:color="000000" w:fill="DDEBF7"/>
                        <w:noWrap/>
                        <w:vAlign w:val="bottom"/>
                        <w:hideMark/>
                      </w:tcPr>
                      <w:p w14:paraId="33CEED0C"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34</w:t>
                        </w:r>
                      </w:p>
                    </w:tc>
                    <w:tc>
                      <w:tcPr>
                        <w:tcW w:w="1159" w:type="dxa"/>
                        <w:tcBorders>
                          <w:top w:val="nil"/>
                          <w:left w:val="nil"/>
                          <w:bottom w:val="nil"/>
                          <w:right w:val="single" w:sz="8" w:space="0" w:color="auto"/>
                        </w:tcBorders>
                        <w:shd w:val="clear" w:color="000000" w:fill="DDEBF7"/>
                        <w:noWrap/>
                        <w:vAlign w:val="bottom"/>
                        <w:hideMark/>
                      </w:tcPr>
                      <w:p w14:paraId="2468BBD4"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4</w:t>
                        </w:r>
                      </w:p>
                    </w:tc>
                    <w:tc>
                      <w:tcPr>
                        <w:tcW w:w="68" w:type="dxa"/>
                        <w:tcBorders>
                          <w:top w:val="nil"/>
                          <w:left w:val="nil"/>
                          <w:bottom w:val="nil"/>
                          <w:right w:val="nil"/>
                        </w:tcBorders>
                        <w:shd w:val="clear" w:color="auto" w:fill="auto"/>
                        <w:noWrap/>
                        <w:vAlign w:val="bottom"/>
                        <w:hideMark/>
                      </w:tcPr>
                      <w:p w14:paraId="60FA7F04" w14:textId="77777777" w:rsidR="00C925F9" w:rsidRPr="00714F47" w:rsidRDefault="00C925F9" w:rsidP="00C925F9">
                        <w:pPr>
                          <w:spacing w:after="0" w:line="240" w:lineRule="auto"/>
                          <w:jc w:val="center"/>
                          <w:rPr>
                            <w:rFonts w:ascii="Calibri" w:eastAsia="Times New Roman" w:hAnsi="Calibri" w:cs="Calibri"/>
                            <w:color w:val="000000"/>
                            <w:lang w:eastAsia="en-GB"/>
                          </w:rPr>
                        </w:pPr>
                      </w:p>
                    </w:tc>
                  </w:tr>
                  <w:tr w:rsidR="00C925F9" w:rsidRPr="00714F47" w14:paraId="5198072F" w14:textId="77777777" w:rsidTr="00E86245">
                    <w:trPr>
                      <w:trHeight w:val="288"/>
                    </w:trPr>
                    <w:tc>
                      <w:tcPr>
                        <w:tcW w:w="2221" w:type="dxa"/>
                        <w:tcBorders>
                          <w:top w:val="nil"/>
                          <w:left w:val="single" w:sz="8" w:space="0" w:color="auto"/>
                          <w:bottom w:val="nil"/>
                          <w:right w:val="nil"/>
                        </w:tcBorders>
                        <w:shd w:val="clear" w:color="000000" w:fill="DDEBF7"/>
                        <w:noWrap/>
                        <w:vAlign w:val="bottom"/>
                        <w:hideMark/>
                      </w:tcPr>
                      <w:p w14:paraId="4837B679"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Cote d'Ivoire</w:t>
                        </w:r>
                      </w:p>
                    </w:tc>
                    <w:tc>
                      <w:tcPr>
                        <w:tcW w:w="916" w:type="dxa"/>
                        <w:tcBorders>
                          <w:top w:val="nil"/>
                          <w:left w:val="nil"/>
                          <w:bottom w:val="nil"/>
                          <w:right w:val="nil"/>
                        </w:tcBorders>
                        <w:shd w:val="clear" w:color="000000" w:fill="DDEBF7"/>
                        <w:noWrap/>
                        <w:vAlign w:val="bottom"/>
                        <w:hideMark/>
                      </w:tcPr>
                      <w:p w14:paraId="1C6010BB"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36</w:t>
                        </w:r>
                      </w:p>
                    </w:tc>
                    <w:tc>
                      <w:tcPr>
                        <w:tcW w:w="820" w:type="dxa"/>
                        <w:tcBorders>
                          <w:top w:val="nil"/>
                          <w:left w:val="nil"/>
                          <w:bottom w:val="nil"/>
                          <w:right w:val="nil"/>
                        </w:tcBorders>
                        <w:shd w:val="clear" w:color="000000" w:fill="DDEBF7"/>
                        <w:noWrap/>
                        <w:vAlign w:val="bottom"/>
                        <w:hideMark/>
                      </w:tcPr>
                      <w:p w14:paraId="2C6EA86E"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38</w:t>
                        </w:r>
                      </w:p>
                    </w:tc>
                    <w:tc>
                      <w:tcPr>
                        <w:tcW w:w="856" w:type="dxa"/>
                        <w:tcBorders>
                          <w:top w:val="nil"/>
                          <w:left w:val="nil"/>
                          <w:bottom w:val="nil"/>
                          <w:right w:val="nil"/>
                        </w:tcBorders>
                        <w:shd w:val="clear" w:color="000000" w:fill="DDEBF7"/>
                        <w:noWrap/>
                        <w:vAlign w:val="bottom"/>
                        <w:hideMark/>
                      </w:tcPr>
                      <w:p w14:paraId="2C405D47"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34</w:t>
                        </w:r>
                      </w:p>
                    </w:tc>
                    <w:tc>
                      <w:tcPr>
                        <w:tcW w:w="1159" w:type="dxa"/>
                        <w:tcBorders>
                          <w:top w:val="nil"/>
                          <w:left w:val="nil"/>
                          <w:bottom w:val="nil"/>
                          <w:right w:val="single" w:sz="8" w:space="0" w:color="auto"/>
                        </w:tcBorders>
                        <w:shd w:val="clear" w:color="000000" w:fill="DDEBF7"/>
                        <w:noWrap/>
                        <w:vAlign w:val="bottom"/>
                        <w:hideMark/>
                      </w:tcPr>
                      <w:p w14:paraId="3C47340D"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4</w:t>
                        </w:r>
                      </w:p>
                    </w:tc>
                    <w:tc>
                      <w:tcPr>
                        <w:tcW w:w="68" w:type="dxa"/>
                        <w:tcBorders>
                          <w:top w:val="nil"/>
                          <w:left w:val="nil"/>
                          <w:bottom w:val="nil"/>
                          <w:right w:val="nil"/>
                        </w:tcBorders>
                        <w:shd w:val="clear" w:color="auto" w:fill="auto"/>
                        <w:noWrap/>
                        <w:vAlign w:val="bottom"/>
                        <w:hideMark/>
                      </w:tcPr>
                      <w:p w14:paraId="12A4A699" w14:textId="77777777" w:rsidR="00C925F9" w:rsidRPr="00714F47" w:rsidRDefault="00C925F9" w:rsidP="00C925F9">
                        <w:pPr>
                          <w:spacing w:after="0" w:line="240" w:lineRule="auto"/>
                          <w:jc w:val="center"/>
                          <w:rPr>
                            <w:rFonts w:ascii="Calibri" w:eastAsia="Times New Roman" w:hAnsi="Calibri" w:cs="Calibri"/>
                            <w:color w:val="000000"/>
                            <w:lang w:eastAsia="en-GB"/>
                          </w:rPr>
                        </w:pPr>
                      </w:p>
                    </w:tc>
                  </w:tr>
                  <w:tr w:rsidR="00C925F9" w:rsidRPr="00714F47" w14:paraId="4CFC8C48" w14:textId="77777777" w:rsidTr="00E86245">
                    <w:trPr>
                      <w:trHeight w:val="288"/>
                    </w:trPr>
                    <w:tc>
                      <w:tcPr>
                        <w:tcW w:w="2221" w:type="dxa"/>
                        <w:tcBorders>
                          <w:top w:val="nil"/>
                          <w:left w:val="single" w:sz="8" w:space="0" w:color="auto"/>
                          <w:bottom w:val="nil"/>
                          <w:right w:val="nil"/>
                        </w:tcBorders>
                        <w:shd w:val="clear" w:color="000000" w:fill="DDEBF7"/>
                        <w:noWrap/>
                        <w:vAlign w:val="bottom"/>
                        <w:hideMark/>
                      </w:tcPr>
                      <w:p w14:paraId="50587A7A"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Cameroon</w:t>
                        </w:r>
                      </w:p>
                    </w:tc>
                    <w:tc>
                      <w:tcPr>
                        <w:tcW w:w="916" w:type="dxa"/>
                        <w:tcBorders>
                          <w:top w:val="nil"/>
                          <w:left w:val="nil"/>
                          <w:bottom w:val="nil"/>
                          <w:right w:val="nil"/>
                        </w:tcBorders>
                        <w:shd w:val="clear" w:color="000000" w:fill="DDEBF7"/>
                        <w:noWrap/>
                        <w:vAlign w:val="bottom"/>
                        <w:hideMark/>
                      </w:tcPr>
                      <w:p w14:paraId="6D5F8371"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37</w:t>
                        </w:r>
                      </w:p>
                    </w:tc>
                    <w:tc>
                      <w:tcPr>
                        <w:tcW w:w="820" w:type="dxa"/>
                        <w:tcBorders>
                          <w:top w:val="nil"/>
                          <w:left w:val="nil"/>
                          <w:bottom w:val="nil"/>
                          <w:right w:val="nil"/>
                        </w:tcBorders>
                        <w:shd w:val="clear" w:color="000000" w:fill="DDEBF7"/>
                        <w:noWrap/>
                        <w:vAlign w:val="bottom"/>
                        <w:hideMark/>
                      </w:tcPr>
                      <w:p w14:paraId="04428030"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38</w:t>
                        </w:r>
                      </w:p>
                    </w:tc>
                    <w:tc>
                      <w:tcPr>
                        <w:tcW w:w="856" w:type="dxa"/>
                        <w:tcBorders>
                          <w:top w:val="nil"/>
                          <w:left w:val="nil"/>
                          <w:bottom w:val="nil"/>
                          <w:right w:val="nil"/>
                        </w:tcBorders>
                        <w:shd w:val="clear" w:color="000000" w:fill="DDEBF7"/>
                        <w:noWrap/>
                        <w:vAlign w:val="bottom"/>
                        <w:hideMark/>
                      </w:tcPr>
                      <w:p w14:paraId="063C67EA"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36</w:t>
                        </w:r>
                      </w:p>
                    </w:tc>
                    <w:tc>
                      <w:tcPr>
                        <w:tcW w:w="1159" w:type="dxa"/>
                        <w:tcBorders>
                          <w:top w:val="nil"/>
                          <w:left w:val="nil"/>
                          <w:bottom w:val="nil"/>
                          <w:right w:val="single" w:sz="8" w:space="0" w:color="auto"/>
                        </w:tcBorders>
                        <w:shd w:val="clear" w:color="000000" w:fill="DDEBF7"/>
                        <w:noWrap/>
                        <w:vAlign w:val="bottom"/>
                        <w:hideMark/>
                      </w:tcPr>
                      <w:p w14:paraId="566B3181"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2</w:t>
                        </w:r>
                      </w:p>
                    </w:tc>
                    <w:tc>
                      <w:tcPr>
                        <w:tcW w:w="68" w:type="dxa"/>
                        <w:tcBorders>
                          <w:top w:val="nil"/>
                          <w:left w:val="nil"/>
                          <w:bottom w:val="nil"/>
                          <w:right w:val="nil"/>
                        </w:tcBorders>
                        <w:shd w:val="clear" w:color="auto" w:fill="auto"/>
                        <w:noWrap/>
                        <w:vAlign w:val="bottom"/>
                        <w:hideMark/>
                      </w:tcPr>
                      <w:p w14:paraId="6957163A" w14:textId="77777777" w:rsidR="00C925F9" w:rsidRPr="00714F47" w:rsidRDefault="00C925F9" w:rsidP="00C925F9">
                        <w:pPr>
                          <w:spacing w:after="0" w:line="240" w:lineRule="auto"/>
                          <w:jc w:val="center"/>
                          <w:rPr>
                            <w:rFonts w:ascii="Calibri" w:eastAsia="Times New Roman" w:hAnsi="Calibri" w:cs="Calibri"/>
                            <w:color w:val="000000"/>
                            <w:lang w:eastAsia="en-GB"/>
                          </w:rPr>
                        </w:pPr>
                      </w:p>
                    </w:tc>
                  </w:tr>
                  <w:tr w:rsidR="00C925F9" w:rsidRPr="00714F47" w14:paraId="1028B510" w14:textId="77777777" w:rsidTr="00E86245">
                    <w:trPr>
                      <w:trHeight w:val="300"/>
                    </w:trPr>
                    <w:tc>
                      <w:tcPr>
                        <w:tcW w:w="2221" w:type="dxa"/>
                        <w:tcBorders>
                          <w:top w:val="nil"/>
                          <w:left w:val="single" w:sz="8" w:space="0" w:color="auto"/>
                          <w:bottom w:val="single" w:sz="8" w:space="0" w:color="auto"/>
                          <w:right w:val="nil"/>
                        </w:tcBorders>
                        <w:shd w:val="clear" w:color="000000" w:fill="DDEBF7"/>
                        <w:noWrap/>
                        <w:vAlign w:val="bottom"/>
                        <w:hideMark/>
                      </w:tcPr>
                      <w:p w14:paraId="0F9E7E80"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Senegal</w:t>
                        </w:r>
                      </w:p>
                    </w:tc>
                    <w:tc>
                      <w:tcPr>
                        <w:tcW w:w="916" w:type="dxa"/>
                        <w:tcBorders>
                          <w:top w:val="nil"/>
                          <w:left w:val="nil"/>
                          <w:bottom w:val="single" w:sz="8" w:space="0" w:color="auto"/>
                          <w:right w:val="nil"/>
                        </w:tcBorders>
                        <w:shd w:val="clear" w:color="000000" w:fill="DDEBF7"/>
                        <w:noWrap/>
                        <w:vAlign w:val="bottom"/>
                        <w:hideMark/>
                      </w:tcPr>
                      <w:p w14:paraId="4E67ADE5"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42</w:t>
                        </w:r>
                      </w:p>
                    </w:tc>
                    <w:tc>
                      <w:tcPr>
                        <w:tcW w:w="820" w:type="dxa"/>
                        <w:tcBorders>
                          <w:top w:val="nil"/>
                          <w:left w:val="nil"/>
                          <w:bottom w:val="single" w:sz="8" w:space="0" w:color="auto"/>
                          <w:right w:val="nil"/>
                        </w:tcBorders>
                        <w:shd w:val="clear" w:color="000000" w:fill="DDEBF7"/>
                        <w:noWrap/>
                        <w:vAlign w:val="bottom"/>
                        <w:hideMark/>
                      </w:tcPr>
                      <w:p w14:paraId="7A870946"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43</w:t>
                        </w:r>
                      </w:p>
                    </w:tc>
                    <w:tc>
                      <w:tcPr>
                        <w:tcW w:w="856" w:type="dxa"/>
                        <w:tcBorders>
                          <w:top w:val="nil"/>
                          <w:left w:val="nil"/>
                          <w:bottom w:val="single" w:sz="8" w:space="0" w:color="auto"/>
                          <w:right w:val="nil"/>
                        </w:tcBorders>
                        <w:shd w:val="clear" w:color="000000" w:fill="DDEBF7"/>
                        <w:noWrap/>
                        <w:vAlign w:val="bottom"/>
                        <w:hideMark/>
                      </w:tcPr>
                      <w:p w14:paraId="297BAF87"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41</w:t>
                        </w:r>
                      </w:p>
                    </w:tc>
                    <w:tc>
                      <w:tcPr>
                        <w:tcW w:w="1159" w:type="dxa"/>
                        <w:tcBorders>
                          <w:top w:val="nil"/>
                          <w:left w:val="nil"/>
                          <w:bottom w:val="single" w:sz="8" w:space="0" w:color="auto"/>
                          <w:right w:val="single" w:sz="8" w:space="0" w:color="auto"/>
                        </w:tcBorders>
                        <w:shd w:val="clear" w:color="000000" w:fill="DDEBF7"/>
                        <w:noWrap/>
                        <w:vAlign w:val="bottom"/>
                        <w:hideMark/>
                      </w:tcPr>
                      <w:p w14:paraId="09099381" w14:textId="77777777" w:rsidR="00C925F9" w:rsidRPr="00714F47" w:rsidRDefault="00C925F9" w:rsidP="00C925F9">
                        <w:pPr>
                          <w:spacing w:after="0" w:line="240" w:lineRule="auto"/>
                          <w:jc w:val="center"/>
                          <w:rPr>
                            <w:rFonts w:ascii="Calibri" w:eastAsia="Times New Roman" w:hAnsi="Calibri" w:cs="Calibri"/>
                            <w:color w:val="000000"/>
                            <w:lang w:eastAsia="en-GB"/>
                          </w:rPr>
                        </w:pPr>
                        <w:r w:rsidRPr="00714F47">
                          <w:rPr>
                            <w:rFonts w:ascii="Calibri" w:eastAsia="Times New Roman" w:hAnsi="Calibri" w:cs="Calibri"/>
                            <w:color w:val="000000"/>
                            <w:lang w:eastAsia="en-GB"/>
                          </w:rPr>
                          <w:t>3</w:t>
                        </w:r>
                      </w:p>
                    </w:tc>
                    <w:tc>
                      <w:tcPr>
                        <w:tcW w:w="68" w:type="dxa"/>
                        <w:tcBorders>
                          <w:top w:val="nil"/>
                          <w:left w:val="nil"/>
                          <w:bottom w:val="nil"/>
                          <w:right w:val="nil"/>
                        </w:tcBorders>
                        <w:shd w:val="clear" w:color="auto" w:fill="auto"/>
                        <w:noWrap/>
                        <w:vAlign w:val="bottom"/>
                        <w:hideMark/>
                      </w:tcPr>
                      <w:p w14:paraId="4F6C7DF3" w14:textId="77777777" w:rsidR="00C925F9" w:rsidRPr="00714F47" w:rsidRDefault="00C925F9" w:rsidP="00C925F9">
                        <w:pPr>
                          <w:spacing w:after="0" w:line="240" w:lineRule="auto"/>
                          <w:jc w:val="center"/>
                          <w:rPr>
                            <w:rFonts w:ascii="Calibri" w:eastAsia="Times New Roman" w:hAnsi="Calibri" w:cs="Calibri"/>
                            <w:color w:val="000000"/>
                            <w:lang w:eastAsia="en-GB"/>
                          </w:rPr>
                        </w:pPr>
                      </w:p>
                    </w:tc>
                  </w:tr>
                  <w:tr w:rsidR="00C925F9" w:rsidRPr="00714F47" w14:paraId="782EB47A" w14:textId="77777777" w:rsidTr="00E86245">
                    <w:trPr>
                      <w:trHeight w:val="288"/>
                    </w:trPr>
                    <w:tc>
                      <w:tcPr>
                        <w:tcW w:w="3137" w:type="dxa"/>
                        <w:gridSpan w:val="2"/>
                        <w:tcBorders>
                          <w:top w:val="nil"/>
                          <w:left w:val="nil"/>
                          <w:bottom w:val="nil"/>
                          <w:right w:val="nil"/>
                        </w:tcBorders>
                        <w:shd w:val="clear" w:color="auto" w:fill="auto"/>
                        <w:noWrap/>
                        <w:vAlign w:val="bottom"/>
                        <w:hideMark/>
                      </w:tcPr>
                      <w:p w14:paraId="04B6DBDE" w14:textId="77777777" w:rsidR="00C925F9" w:rsidRPr="00714F47" w:rsidRDefault="00C925F9" w:rsidP="00C925F9">
                        <w:pPr>
                          <w:spacing w:after="0" w:line="240" w:lineRule="auto"/>
                          <w:rPr>
                            <w:rFonts w:ascii="Calibri" w:eastAsia="Times New Roman" w:hAnsi="Calibri" w:cs="Calibri"/>
                            <w:color w:val="000000"/>
                            <w:lang w:eastAsia="en-GB"/>
                          </w:rPr>
                        </w:pPr>
                        <w:r w:rsidRPr="00714F47">
                          <w:rPr>
                            <w:rFonts w:ascii="Calibri" w:eastAsia="Times New Roman" w:hAnsi="Calibri" w:cs="Calibri"/>
                            <w:color w:val="000000"/>
                            <w:lang w:eastAsia="en-GB"/>
                          </w:rPr>
                          <w:t>Source: PASEC</w:t>
                        </w:r>
                      </w:p>
                    </w:tc>
                    <w:tc>
                      <w:tcPr>
                        <w:tcW w:w="820" w:type="dxa"/>
                        <w:tcBorders>
                          <w:top w:val="nil"/>
                          <w:left w:val="nil"/>
                          <w:bottom w:val="nil"/>
                          <w:right w:val="nil"/>
                        </w:tcBorders>
                        <w:shd w:val="clear" w:color="auto" w:fill="auto"/>
                        <w:noWrap/>
                        <w:vAlign w:val="bottom"/>
                        <w:hideMark/>
                      </w:tcPr>
                      <w:p w14:paraId="761D77D6" w14:textId="77777777" w:rsidR="00C925F9" w:rsidRPr="00714F47" w:rsidRDefault="00C925F9" w:rsidP="00C925F9">
                        <w:pPr>
                          <w:spacing w:after="0" w:line="240" w:lineRule="auto"/>
                          <w:rPr>
                            <w:rFonts w:ascii="Calibri" w:eastAsia="Times New Roman" w:hAnsi="Calibri" w:cs="Calibri"/>
                            <w:color w:val="000000"/>
                            <w:lang w:eastAsia="en-GB"/>
                          </w:rPr>
                        </w:pPr>
                      </w:p>
                    </w:tc>
                    <w:tc>
                      <w:tcPr>
                        <w:tcW w:w="856" w:type="dxa"/>
                        <w:tcBorders>
                          <w:top w:val="nil"/>
                          <w:left w:val="nil"/>
                          <w:bottom w:val="nil"/>
                          <w:right w:val="nil"/>
                        </w:tcBorders>
                        <w:shd w:val="clear" w:color="auto" w:fill="auto"/>
                        <w:noWrap/>
                        <w:vAlign w:val="bottom"/>
                        <w:hideMark/>
                      </w:tcPr>
                      <w:p w14:paraId="638B42AD" w14:textId="77777777" w:rsidR="00C925F9" w:rsidRPr="00714F47" w:rsidRDefault="00C925F9" w:rsidP="00C925F9">
                        <w:pPr>
                          <w:spacing w:after="0" w:line="240" w:lineRule="auto"/>
                          <w:rPr>
                            <w:rFonts w:ascii="Times New Roman" w:eastAsia="Times New Roman" w:hAnsi="Times New Roman" w:cs="Times New Roman"/>
                            <w:sz w:val="20"/>
                            <w:szCs w:val="20"/>
                            <w:lang w:eastAsia="en-GB"/>
                          </w:rPr>
                        </w:pPr>
                      </w:p>
                    </w:tc>
                    <w:tc>
                      <w:tcPr>
                        <w:tcW w:w="1159" w:type="dxa"/>
                        <w:tcBorders>
                          <w:top w:val="nil"/>
                          <w:left w:val="nil"/>
                          <w:bottom w:val="nil"/>
                          <w:right w:val="nil"/>
                        </w:tcBorders>
                        <w:shd w:val="clear" w:color="auto" w:fill="auto"/>
                        <w:noWrap/>
                        <w:vAlign w:val="bottom"/>
                        <w:hideMark/>
                      </w:tcPr>
                      <w:p w14:paraId="7089E373" w14:textId="77777777" w:rsidR="00C925F9" w:rsidRPr="00714F47" w:rsidRDefault="00C925F9" w:rsidP="00C925F9">
                        <w:pPr>
                          <w:spacing w:after="0" w:line="240" w:lineRule="auto"/>
                          <w:rPr>
                            <w:rFonts w:ascii="Times New Roman" w:eastAsia="Times New Roman" w:hAnsi="Times New Roman" w:cs="Times New Roman"/>
                            <w:sz w:val="20"/>
                            <w:szCs w:val="20"/>
                            <w:lang w:eastAsia="en-GB"/>
                          </w:rPr>
                        </w:pPr>
                      </w:p>
                    </w:tc>
                    <w:tc>
                      <w:tcPr>
                        <w:tcW w:w="68" w:type="dxa"/>
                        <w:tcBorders>
                          <w:top w:val="nil"/>
                          <w:left w:val="nil"/>
                          <w:bottom w:val="nil"/>
                          <w:right w:val="nil"/>
                        </w:tcBorders>
                        <w:shd w:val="clear" w:color="auto" w:fill="auto"/>
                        <w:noWrap/>
                        <w:vAlign w:val="bottom"/>
                        <w:hideMark/>
                      </w:tcPr>
                      <w:p w14:paraId="74E7B599" w14:textId="77777777" w:rsidR="00C925F9" w:rsidRPr="00714F47" w:rsidRDefault="00C925F9" w:rsidP="00C925F9">
                        <w:pPr>
                          <w:spacing w:after="0" w:line="240" w:lineRule="auto"/>
                          <w:rPr>
                            <w:rFonts w:ascii="Times New Roman" w:eastAsia="Times New Roman" w:hAnsi="Times New Roman" w:cs="Times New Roman"/>
                            <w:sz w:val="20"/>
                            <w:szCs w:val="20"/>
                            <w:lang w:eastAsia="en-GB"/>
                          </w:rPr>
                        </w:pPr>
                      </w:p>
                    </w:tc>
                  </w:tr>
                </w:tbl>
                <w:p w14:paraId="32CE9CF0" w14:textId="77777777" w:rsidR="00C925F9" w:rsidRDefault="00C925F9" w:rsidP="00C925F9"/>
                <w:p w14:paraId="3B677D54" w14:textId="77777777" w:rsidR="00C925F9" w:rsidRDefault="00C925F9" w:rsidP="00C925F9">
                  <w:pPr>
                    <w:rPr>
                      <w:rFonts w:ascii="Calibri" w:hAnsi="Calibri" w:cs="Calibri"/>
                      <w:color w:val="000000"/>
                    </w:rPr>
                  </w:pPr>
                </w:p>
              </w:tc>
            </w:tr>
          </w:tbl>
          <w:p w14:paraId="05B689F0"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lastRenderedPageBreak/>
              <w:t xml:space="preserve">Table 4: Incidence of private tuition among grade 6 students by school </w:t>
            </w:r>
          </w:p>
        </w:tc>
      </w:tr>
      <w:tr w:rsidR="001D15BD" w:rsidRPr="001D15BD" w14:paraId="0379EE8D" w14:textId="77777777" w:rsidTr="009C5214">
        <w:trPr>
          <w:trHeight w:val="300"/>
        </w:trPr>
        <w:tc>
          <w:tcPr>
            <w:tcW w:w="8739" w:type="dxa"/>
            <w:gridSpan w:val="5"/>
            <w:tcBorders>
              <w:top w:val="nil"/>
              <w:left w:val="nil"/>
              <w:bottom w:val="nil"/>
              <w:right w:val="nil"/>
            </w:tcBorders>
            <w:shd w:val="clear" w:color="auto" w:fill="auto"/>
            <w:noWrap/>
            <w:vAlign w:val="bottom"/>
            <w:hideMark/>
          </w:tcPr>
          <w:p w14:paraId="2A028FE4" w14:textId="77777777" w:rsidR="001D15BD" w:rsidRPr="001D15BD" w:rsidRDefault="001D15BD" w:rsidP="001D15BD">
            <w:pPr>
              <w:spacing w:after="0" w:line="240" w:lineRule="auto"/>
              <w:rPr>
                <w:rFonts w:ascii="Calibri" w:eastAsia="Times New Roman" w:hAnsi="Calibri" w:cs="Calibri"/>
                <w:color w:val="000000"/>
                <w:lang w:eastAsia="en-GB"/>
              </w:rPr>
            </w:pPr>
            <w:proofErr w:type="gramStart"/>
            <w:r w:rsidRPr="001D15BD">
              <w:rPr>
                <w:rFonts w:ascii="Calibri" w:eastAsia="Times New Roman" w:hAnsi="Calibri" w:cs="Calibri"/>
                <w:color w:val="000000"/>
                <w:lang w:eastAsia="en-GB"/>
              </w:rPr>
              <w:lastRenderedPageBreak/>
              <w:t>ownership</w:t>
            </w:r>
            <w:proofErr w:type="gramEnd"/>
            <w:r w:rsidRPr="001D15BD">
              <w:rPr>
                <w:rFonts w:ascii="Calibri" w:eastAsia="Times New Roman" w:hAnsi="Calibri" w:cs="Calibri"/>
                <w:color w:val="000000"/>
                <w:lang w:eastAsia="en-GB"/>
              </w:rPr>
              <w:t xml:space="preserve"> and location in Francophone West Africa (rounded %)</w:t>
            </w:r>
          </w:p>
        </w:tc>
        <w:tc>
          <w:tcPr>
            <w:tcW w:w="287" w:type="dxa"/>
            <w:tcBorders>
              <w:top w:val="nil"/>
              <w:left w:val="nil"/>
              <w:bottom w:val="nil"/>
              <w:right w:val="nil"/>
            </w:tcBorders>
            <w:shd w:val="clear" w:color="auto" w:fill="auto"/>
            <w:noWrap/>
            <w:vAlign w:val="bottom"/>
            <w:hideMark/>
          </w:tcPr>
          <w:p w14:paraId="3F56E41C" w14:textId="77777777" w:rsidR="001D15BD" w:rsidRPr="001D15BD" w:rsidRDefault="001D15BD" w:rsidP="001D15BD">
            <w:pPr>
              <w:spacing w:after="0" w:line="240" w:lineRule="auto"/>
              <w:rPr>
                <w:rFonts w:ascii="Calibri" w:eastAsia="Times New Roman" w:hAnsi="Calibri" w:cs="Calibri"/>
                <w:color w:val="000000"/>
                <w:lang w:eastAsia="en-GB"/>
              </w:rPr>
            </w:pPr>
          </w:p>
        </w:tc>
      </w:tr>
      <w:tr w:rsidR="001D15BD" w:rsidRPr="001D15BD" w14:paraId="24125D1B" w14:textId="77777777" w:rsidTr="009C5214">
        <w:trPr>
          <w:trHeight w:val="288"/>
        </w:trPr>
        <w:tc>
          <w:tcPr>
            <w:tcW w:w="2376" w:type="dxa"/>
            <w:tcBorders>
              <w:top w:val="single" w:sz="8" w:space="0" w:color="auto"/>
              <w:left w:val="single" w:sz="8" w:space="0" w:color="auto"/>
              <w:bottom w:val="nil"/>
              <w:right w:val="nil"/>
            </w:tcBorders>
            <w:shd w:val="clear" w:color="000000" w:fill="EDEDED"/>
            <w:noWrap/>
            <w:vAlign w:val="bottom"/>
            <w:hideMark/>
          </w:tcPr>
          <w:p w14:paraId="77C14BAB"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t>Country</w:t>
            </w:r>
          </w:p>
        </w:tc>
        <w:tc>
          <w:tcPr>
            <w:tcW w:w="1253" w:type="dxa"/>
            <w:tcBorders>
              <w:top w:val="single" w:sz="8" w:space="0" w:color="auto"/>
              <w:left w:val="nil"/>
              <w:bottom w:val="nil"/>
              <w:right w:val="nil"/>
            </w:tcBorders>
            <w:shd w:val="clear" w:color="000000" w:fill="EDEDED"/>
            <w:noWrap/>
            <w:vAlign w:val="bottom"/>
            <w:hideMark/>
          </w:tcPr>
          <w:p w14:paraId="4D80E504"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Public urban</w:t>
            </w:r>
          </w:p>
        </w:tc>
        <w:tc>
          <w:tcPr>
            <w:tcW w:w="1851" w:type="dxa"/>
            <w:tcBorders>
              <w:top w:val="single" w:sz="8" w:space="0" w:color="auto"/>
              <w:left w:val="nil"/>
              <w:bottom w:val="nil"/>
              <w:right w:val="nil"/>
            </w:tcBorders>
            <w:shd w:val="clear" w:color="000000" w:fill="EDEDED"/>
            <w:noWrap/>
            <w:vAlign w:val="bottom"/>
            <w:hideMark/>
          </w:tcPr>
          <w:p w14:paraId="64DEBB12"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Private urban</w:t>
            </w:r>
          </w:p>
        </w:tc>
        <w:tc>
          <w:tcPr>
            <w:tcW w:w="1563" w:type="dxa"/>
            <w:tcBorders>
              <w:top w:val="single" w:sz="8" w:space="0" w:color="auto"/>
              <w:left w:val="single" w:sz="4" w:space="0" w:color="auto"/>
              <w:bottom w:val="nil"/>
              <w:right w:val="nil"/>
            </w:tcBorders>
            <w:shd w:val="clear" w:color="000000" w:fill="EDEDED"/>
            <w:noWrap/>
            <w:vAlign w:val="bottom"/>
            <w:hideMark/>
          </w:tcPr>
          <w:p w14:paraId="4FBB7B9A"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Public rural</w:t>
            </w:r>
          </w:p>
        </w:tc>
        <w:tc>
          <w:tcPr>
            <w:tcW w:w="1696" w:type="dxa"/>
            <w:tcBorders>
              <w:top w:val="single" w:sz="8" w:space="0" w:color="auto"/>
              <w:left w:val="nil"/>
              <w:bottom w:val="nil"/>
              <w:right w:val="single" w:sz="8" w:space="0" w:color="auto"/>
            </w:tcBorders>
            <w:shd w:val="clear" w:color="000000" w:fill="EDEDED"/>
            <w:noWrap/>
            <w:vAlign w:val="bottom"/>
            <w:hideMark/>
          </w:tcPr>
          <w:p w14:paraId="6681A985"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Private rural</w:t>
            </w:r>
          </w:p>
        </w:tc>
        <w:tc>
          <w:tcPr>
            <w:tcW w:w="287" w:type="dxa"/>
            <w:tcBorders>
              <w:top w:val="nil"/>
              <w:left w:val="nil"/>
              <w:bottom w:val="nil"/>
              <w:right w:val="nil"/>
            </w:tcBorders>
            <w:shd w:val="clear" w:color="auto" w:fill="auto"/>
            <w:noWrap/>
            <w:vAlign w:val="bottom"/>
            <w:hideMark/>
          </w:tcPr>
          <w:p w14:paraId="175146B5" w14:textId="77777777" w:rsidR="001D15BD" w:rsidRPr="001D15BD" w:rsidRDefault="001D15BD" w:rsidP="001D15BD">
            <w:pPr>
              <w:spacing w:after="0" w:line="240" w:lineRule="auto"/>
              <w:jc w:val="center"/>
              <w:rPr>
                <w:rFonts w:ascii="Calibri" w:eastAsia="Times New Roman" w:hAnsi="Calibri" w:cs="Calibri"/>
                <w:color w:val="000000"/>
                <w:lang w:eastAsia="en-GB"/>
              </w:rPr>
            </w:pPr>
          </w:p>
        </w:tc>
      </w:tr>
      <w:tr w:rsidR="001D15BD" w:rsidRPr="001D15BD" w14:paraId="1B78DB03" w14:textId="77777777" w:rsidTr="009C5214">
        <w:trPr>
          <w:trHeight w:val="288"/>
        </w:trPr>
        <w:tc>
          <w:tcPr>
            <w:tcW w:w="2376" w:type="dxa"/>
            <w:tcBorders>
              <w:top w:val="single" w:sz="4" w:space="0" w:color="auto"/>
              <w:left w:val="single" w:sz="8" w:space="0" w:color="auto"/>
              <w:bottom w:val="nil"/>
              <w:right w:val="nil"/>
            </w:tcBorders>
            <w:shd w:val="clear" w:color="000000" w:fill="DDEBF7"/>
            <w:noWrap/>
            <w:vAlign w:val="bottom"/>
            <w:hideMark/>
          </w:tcPr>
          <w:p w14:paraId="6F8A95FE"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t>Benin</w:t>
            </w:r>
          </w:p>
        </w:tc>
        <w:tc>
          <w:tcPr>
            <w:tcW w:w="1253" w:type="dxa"/>
            <w:tcBorders>
              <w:top w:val="single" w:sz="4" w:space="0" w:color="auto"/>
              <w:left w:val="nil"/>
              <w:bottom w:val="nil"/>
              <w:right w:val="nil"/>
            </w:tcBorders>
            <w:shd w:val="clear" w:color="000000" w:fill="DDEBF7"/>
            <w:noWrap/>
            <w:vAlign w:val="bottom"/>
            <w:hideMark/>
          </w:tcPr>
          <w:p w14:paraId="32A93287"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30</w:t>
            </w:r>
          </w:p>
        </w:tc>
        <w:tc>
          <w:tcPr>
            <w:tcW w:w="1851" w:type="dxa"/>
            <w:tcBorders>
              <w:top w:val="single" w:sz="4" w:space="0" w:color="auto"/>
              <w:left w:val="nil"/>
              <w:bottom w:val="nil"/>
              <w:right w:val="nil"/>
            </w:tcBorders>
            <w:shd w:val="clear" w:color="000000" w:fill="DDEBF7"/>
            <w:noWrap/>
            <w:vAlign w:val="bottom"/>
            <w:hideMark/>
          </w:tcPr>
          <w:p w14:paraId="20042542"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45</w:t>
            </w:r>
          </w:p>
        </w:tc>
        <w:tc>
          <w:tcPr>
            <w:tcW w:w="1563" w:type="dxa"/>
            <w:tcBorders>
              <w:top w:val="single" w:sz="4" w:space="0" w:color="auto"/>
              <w:left w:val="single" w:sz="4" w:space="0" w:color="auto"/>
              <w:bottom w:val="nil"/>
              <w:right w:val="nil"/>
            </w:tcBorders>
            <w:shd w:val="clear" w:color="000000" w:fill="DDEBF7"/>
            <w:noWrap/>
            <w:vAlign w:val="bottom"/>
            <w:hideMark/>
          </w:tcPr>
          <w:p w14:paraId="5A162200"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24</w:t>
            </w:r>
          </w:p>
        </w:tc>
        <w:tc>
          <w:tcPr>
            <w:tcW w:w="1696" w:type="dxa"/>
            <w:tcBorders>
              <w:top w:val="single" w:sz="4" w:space="0" w:color="auto"/>
              <w:left w:val="nil"/>
              <w:bottom w:val="nil"/>
              <w:right w:val="single" w:sz="8" w:space="0" w:color="auto"/>
            </w:tcBorders>
            <w:shd w:val="clear" w:color="000000" w:fill="DDEBF7"/>
            <w:noWrap/>
            <w:vAlign w:val="bottom"/>
            <w:hideMark/>
          </w:tcPr>
          <w:p w14:paraId="1E234FB7"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49</w:t>
            </w:r>
          </w:p>
        </w:tc>
        <w:tc>
          <w:tcPr>
            <w:tcW w:w="287" w:type="dxa"/>
            <w:tcBorders>
              <w:top w:val="nil"/>
              <w:left w:val="nil"/>
              <w:bottom w:val="nil"/>
              <w:right w:val="nil"/>
            </w:tcBorders>
            <w:shd w:val="clear" w:color="auto" w:fill="auto"/>
            <w:noWrap/>
            <w:vAlign w:val="bottom"/>
            <w:hideMark/>
          </w:tcPr>
          <w:p w14:paraId="4BB5E0AB" w14:textId="77777777" w:rsidR="001D15BD" w:rsidRPr="001D15BD" w:rsidRDefault="001D15BD" w:rsidP="001D15BD">
            <w:pPr>
              <w:spacing w:after="0" w:line="240" w:lineRule="auto"/>
              <w:jc w:val="center"/>
              <w:rPr>
                <w:rFonts w:ascii="Calibri" w:eastAsia="Times New Roman" w:hAnsi="Calibri" w:cs="Calibri"/>
                <w:color w:val="000000"/>
                <w:lang w:eastAsia="en-GB"/>
              </w:rPr>
            </w:pPr>
          </w:p>
        </w:tc>
      </w:tr>
      <w:tr w:rsidR="001D15BD" w:rsidRPr="001D15BD" w14:paraId="61F86D82" w14:textId="77777777" w:rsidTr="009C5214">
        <w:trPr>
          <w:trHeight w:val="288"/>
        </w:trPr>
        <w:tc>
          <w:tcPr>
            <w:tcW w:w="2376" w:type="dxa"/>
            <w:tcBorders>
              <w:top w:val="nil"/>
              <w:left w:val="single" w:sz="8" w:space="0" w:color="auto"/>
              <w:bottom w:val="nil"/>
              <w:right w:val="nil"/>
            </w:tcBorders>
            <w:shd w:val="clear" w:color="000000" w:fill="DDEBF7"/>
            <w:noWrap/>
            <w:vAlign w:val="bottom"/>
            <w:hideMark/>
          </w:tcPr>
          <w:p w14:paraId="0676C23B"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t>Burkina Faso</w:t>
            </w:r>
          </w:p>
        </w:tc>
        <w:tc>
          <w:tcPr>
            <w:tcW w:w="1253" w:type="dxa"/>
            <w:tcBorders>
              <w:top w:val="nil"/>
              <w:left w:val="nil"/>
              <w:bottom w:val="nil"/>
              <w:right w:val="nil"/>
            </w:tcBorders>
            <w:shd w:val="clear" w:color="000000" w:fill="DDEBF7"/>
            <w:noWrap/>
            <w:vAlign w:val="bottom"/>
            <w:hideMark/>
          </w:tcPr>
          <w:p w14:paraId="1506177F"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30</w:t>
            </w:r>
          </w:p>
        </w:tc>
        <w:tc>
          <w:tcPr>
            <w:tcW w:w="1851" w:type="dxa"/>
            <w:tcBorders>
              <w:top w:val="nil"/>
              <w:left w:val="nil"/>
              <w:bottom w:val="nil"/>
              <w:right w:val="nil"/>
            </w:tcBorders>
            <w:shd w:val="clear" w:color="000000" w:fill="DDEBF7"/>
            <w:noWrap/>
            <w:vAlign w:val="bottom"/>
            <w:hideMark/>
          </w:tcPr>
          <w:p w14:paraId="25C0103F"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30</w:t>
            </w:r>
          </w:p>
        </w:tc>
        <w:tc>
          <w:tcPr>
            <w:tcW w:w="1563" w:type="dxa"/>
            <w:tcBorders>
              <w:top w:val="nil"/>
              <w:left w:val="single" w:sz="4" w:space="0" w:color="auto"/>
              <w:bottom w:val="nil"/>
              <w:right w:val="nil"/>
            </w:tcBorders>
            <w:shd w:val="clear" w:color="000000" w:fill="DDEBF7"/>
            <w:noWrap/>
            <w:vAlign w:val="bottom"/>
            <w:hideMark/>
          </w:tcPr>
          <w:p w14:paraId="543C01B3"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20</w:t>
            </w:r>
          </w:p>
        </w:tc>
        <w:tc>
          <w:tcPr>
            <w:tcW w:w="1696" w:type="dxa"/>
            <w:tcBorders>
              <w:top w:val="nil"/>
              <w:left w:val="nil"/>
              <w:bottom w:val="nil"/>
              <w:right w:val="single" w:sz="8" w:space="0" w:color="auto"/>
            </w:tcBorders>
            <w:shd w:val="clear" w:color="000000" w:fill="DDEBF7"/>
            <w:noWrap/>
            <w:vAlign w:val="bottom"/>
            <w:hideMark/>
          </w:tcPr>
          <w:p w14:paraId="1D1A0E70"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35</w:t>
            </w:r>
          </w:p>
        </w:tc>
        <w:tc>
          <w:tcPr>
            <w:tcW w:w="287" w:type="dxa"/>
            <w:tcBorders>
              <w:top w:val="nil"/>
              <w:left w:val="nil"/>
              <w:bottom w:val="nil"/>
              <w:right w:val="nil"/>
            </w:tcBorders>
            <w:shd w:val="clear" w:color="auto" w:fill="auto"/>
            <w:noWrap/>
            <w:vAlign w:val="bottom"/>
            <w:hideMark/>
          </w:tcPr>
          <w:p w14:paraId="0BA8B36F" w14:textId="77777777" w:rsidR="001D15BD" w:rsidRPr="001D15BD" w:rsidRDefault="001D15BD" w:rsidP="001D15BD">
            <w:pPr>
              <w:spacing w:after="0" w:line="240" w:lineRule="auto"/>
              <w:jc w:val="center"/>
              <w:rPr>
                <w:rFonts w:ascii="Calibri" w:eastAsia="Times New Roman" w:hAnsi="Calibri" w:cs="Calibri"/>
                <w:color w:val="000000"/>
                <w:lang w:eastAsia="en-GB"/>
              </w:rPr>
            </w:pPr>
          </w:p>
        </w:tc>
      </w:tr>
      <w:tr w:rsidR="001D15BD" w:rsidRPr="001D15BD" w14:paraId="2966FF47" w14:textId="77777777" w:rsidTr="009C5214">
        <w:trPr>
          <w:trHeight w:val="288"/>
        </w:trPr>
        <w:tc>
          <w:tcPr>
            <w:tcW w:w="2376" w:type="dxa"/>
            <w:tcBorders>
              <w:top w:val="nil"/>
              <w:left w:val="single" w:sz="8" w:space="0" w:color="auto"/>
              <w:bottom w:val="nil"/>
              <w:right w:val="nil"/>
            </w:tcBorders>
            <w:shd w:val="clear" w:color="000000" w:fill="DDEBF7"/>
            <w:noWrap/>
            <w:vAlign w:val="bottom"/>
            <w:hideMark/>
          </w:tcPr>
          <w:p w14:paraId="128DF94F"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t>Cameroon</w:t>
            </w:r>
          </w:p>
        </w:tc>
        <w:tc>
          <w:tcPr>
            <w:tcW w:w="1253" w:type="dxa"/>
            <w:tcBorders>
              <w:top w:val="nil"/>
              <w:left w:val="nil"/>
              <w:bottom w:val="nil"/>
              <w:right w:val="nil"/>
            </w:tcBorders>
            <w:shd w:val="clear" w:color="000000" w:fill="DDEBF7"/>
            <w:noWrap/>
            <w:vAlign w:val="bottom"/>
            <w:hideMark/>
          </w:tcPr>
          <w:p w14:paraId="6BA20072"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28</w:t>
            </w:r>
          </w:p>
        </w:tc>
        <w:tc>
          <w:tcPr>
            <w:tcW w:w="1851" w:type="dxa"/>
            <w:tcBorders>
              <w:top w:val="nil"/>
              <w:left w:val="nil"/>
              <w:bottom w:val="nil"/>
              <w:right w:val="nil"/>
            </w:tcBorders>
            <w:shd w:val="clear" w:color="000000" w:fill="DDEBF7"/>
            <w:noWrap/>
            <w:vAlign w:val="bottom"/>
            <w:hideMark/>
          </w:tcPr>
          <w:p w14:paraId="40F810D2"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40</w:t>
            </w:r>
          </w:p>
        </w:tc>
        <w:tc>
          <w:tcPr>
            <w:tcW w:w="1563" w:type="dxa"/>
            <w:tcBorders>
              <w:top w:val="nil"/>
              <w:left w:val="single" w:sz="4" w:space="0" w:color="auto"/>
              <w:bottom w:val="nil"/>
              <w:right w:val="nil"/>
            </w:tcBorders>
            <w:shd w:val="clear" w:color="000000" w:fill="DDEBF7"/>
            <w:noWrap/>
            <w:vAlign w:val="bottom"/>
            <w:hideMark/>
          </w:tcPr>
          <w:p w14:paraId="07AA286D"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30</w:t>
            </w:r>
          </w:p>
        </w:tc>
        <w:tc>
          <w:tcPr>
            <w:tcW w:w="1696" w:type="dxa"/>
            <w:tcBorders>
              <w:top w:val="nil"/>
              <w:left w:val="nil"/>
              <w:bottom w:val="nil"/>
              <w:right w:val="single" w:sz="8" w:space="0" w:color="auto"/>
            </w:tcBorders>
            <w:shd w:val="clear" w:color="000000" w:fill="DDEBF7"/>
            <w:noWrap/>
            <w:vAlign w:val="bottom"/>
            <w:hideMark/>
          </w:tcPr>
          <w:p w14:paraId="25DD92CC"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38</w:t>
            </w:r>
          </w:p>
        </w:tc>
        <w:tc>
          <w:tcPr>
            <w:tcW w:w="287" w:type="dxa"/>
            <w:tcBorders>
              <w:top w:val="nil"/>
              <w:left w:val="nil"/>
              <w:bottom w:val="nil"/>
              <w:right w:val="nil"/>
            </w:tcBorders>
            <w:shd w:val="clear" w:color="auto" w:fill="auto"/>
            <w:noWrap/>
            <w:vAlign w:val="bottom"/>
            <w:hideMark/>
          </w:tcPr>
          <w:p w14:paraId="4055749A" w14:textId="77777777" w:rsidR="001D15BD" w:rsidRPr="001D15BD" w:rsidRDefault="001D15BD" w:rsidP="001D15BD">
            <w:pPr>
              <w:spacing w:after="0" w:line="240" w:lineRule="auto"/>
              <w:jc w:val="center"/>
              <w:rPr>
                <w:rFonts w:ascii="Calibri" w:eastAsia="Times New Roman" w:hAnsi="Calibri" w:cs="Calibri"/>
                <w:color w:val="000000"/>
                <w:lang w:eastAsia="en-GB"/>
              </w:rPr>
            </w:pPr>
          </w:p>
        </w:tc>
      </w:tr>
      <w:tr w:rsidR="001D15BD" w:rsidRPr="001D15BD" w14:paraId="4486607F" w14:textId="77777777" w:rsidTr="009C5214">
        <w:trPr>
          <w:trHeight w:val="288"/>
        </w:trPr>
        <w:tc>
          <w:tcPr>
            <w:tcW w:w="2376" w:type="dxa"/>
            <w:tcBorders>
              <w:top w:val="nil"/>
              <w:left w:val="single" w:sz="8" w:space="0" w:color="auto"/>
              <w:bottom w:val="nil"/>
              <w:right w:val="nil"/>
            </w:tcBorders>
            <w:shd w:val="clear" w:color="000000" w:fill="DDEBF7"/>
            <w:noWrap/>
            <w:vAlign w:val="bottom"/>
            <w:hideMark/>
          </w:tcPr>
          <w:p w14:paraId="6F5C1DA2"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t>Congo</w:t>
            </w:r>
          </w:p>
        </w:tc>
        <w:tc>
          <w:tcPr>
            <w:tcW w:w="1253" w:type="dxa"/>
            <w:tcBorders>
              <w:top w:val="nil"/>
              <w:left w:val="nil"/>
              <w:bottom w:val="nil"/>
              <w:right w:val="nil"/>
            </w:tcBorders>
            <w:shd w:val="clear" w:color="000000" w:fill="DDEBF7"/>
            <w:noWrap/>
            <w:vAlign w:val="bottom"/>
            <w:hideMark/>
          </w:tcPr>
          <w:p w14:paraId="3BE9BDB2"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17</w:t>
            </w:r>
          </w:p>
        </w:tc>
        <w:tc>
          <w:tcPr>
            <w:tcW w:w="1851" w:type="dxa"/>
            <w:tcBorders>
              <w:top w:val="nil"/>
              <w:left w:val="nil"/>
              <w:bottom w:val="nil"/>
              <w:right w:val="nil"/>
            </w:tcBorders>
            <w:shd w:val="clear" w:color="000000" w:fill="DDEBF7"/>
            <w:noWrap/>
            <w:vAlign w:val="bottom"/>
            <w:hideMark/>
          </w:tcPr>
          <w:p w14:paraId="111F3A98"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20</w:t>
            </w:r>
          </w:p>
        </w:tc>
        <w:tc>
          <w:tcPr>
            <w:tcW w:w="1563" w:type="dxa"/>
            <w:tcBorders>
              <w:top w:val="nil"/>
              <w:left w:val="single" w:sz="4" w:space="0" w:color="auto"/>
              <w:bottom w:val="nil"/>
              <w:right w:val="nil"/>
            </w:tcBorders>
            <w:shd w:val="clear" w:color="000000" w:fill="DDEBF7"/>
            <w:noWrap/>
            <w:vAlign w:val="bottom"/>
            <w:hideMark/>
          </w:tcPr>
          <w:p w14:paraId="7617A664"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9</w:t>
            </w:r>
          </w:p>
        </w:tc>
        <w:tc>
          <w:tcPr>
            <w:tcW w:w="1696" w:type="dxa"/>
            <w:tcBorders>
              <w:top w:val="nil"/>
              <w:left w:val="nil"/>
              <w:bottom w:val="nil"/>
              <w:right w:val="single" w:sz="8" w:space="0" w:color="auto"/>
            </w:tcBorders>
            <w:shd w:val="clear" w:color="000000" w:fill="DDEBF7"/>
            <w:noWrap/>
            <w:vAlign w:val="bottom"/>
            <w:hideMark/>
          </w:tcPr>
          <w:p w14:paraId="04574DFB"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12</w:t>
            </w:r>
          </w:p>
        </w:tc>
        <w:tc>
          <w:tcPr>
            <w:tcW w:w="287" w:type="dxa"/>
            <w:tcBorders>
              <w:top w:val="nil"/>
              <w:left w:val="nil"/>
              <w:bottom w:val="nil"/>
              <w:right w:val="nil"/>
            </w:tcBorders>
            <w:shd w:val="clear" w:color="auto" w:fill="auto"/>
            <w:noWrap/>
            <w:vAlign w:val="bottom"/>
            <w:hideMark/>
          </w:tcPr>
          <w:p w14:paraId="24574F35" w14:textId="77777777" w:rsidR="001D15BD" w:rsidRPr="001D15BD" w:rsidRDefault="001D15BD" w:rsidP="001D15BD">
            <w:pPr>
              <w:spacing w:after="0" w:line="240" w:lineRule="auto"/>
              <w:jc w:val="center"/>
              <w:rPr>
                <w:rFonts w:ascii="Calibri" w:eastAsia="Times New Roman" w:hAnsi="Calibri" w:cs="Calibri"/>
                <w:color w:val="000000"/>
                <w:lang w:eastAsia="en-GB"/>
              </w:rPr>
            </w:pPr>
          </w:p>
        </w:tc>
      </w:tr>
      <w:tr w:rsidR="001D15BD" w:rsidRPr="001D15BD" w14:paraId="19F3CB7D" w14:textId="77777777" w:rsidTr="009C5214">
        <w:trPr>
          <w:trHeight w:val="288"/>
        </w:trPr>
        <w:tc>
          <w:tcPr>
            <w:tcW w:w="2376" w:type="dxa"/>
            <w:tcBorders>
              <w:top w:val="nil"/>
              <w:left w:val="single" w:sz="8" w:space="0" w:color="auto"/>
              <w:bottom w:val="nil"/>
              <w:right w:val="nil"/>
            </w:tcBorders>
            <w:shd w:val="clear" w:color="000000" w:fill="DDEBF7"/>
            <w:noWrap/>
            <w:vAlign w:val="bottom"/>
            <w:hideMark/>
          </w:tcPr>
          <w:p w14:paraId="7230C379"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t>Cote d'Ivoire</w:t>
            </w:r>
          </w:p>
        </w:tc>
        <w:tc>
          <w:tcPr>
            <w:tcW w:w="1253" w:type="dxa"/>
            <w:tcBorders>
              <w:top w:val="nil"/>
              <w:left w:val="nil"/>
              <w:bottom w:val="nil"/>
              <w:right w:val="nil"/>
            </w:tcBorders>
            <w:shd w:val="clear" w:color="000000" w:fill="DDEBF7"/>
            <w:noWrap/>
            <w:vAlign w:val="bottom"/>
            <w:hideMark/>
          </w:tcPr>
          <w:p w14:paraId="53C7E2E8"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38</w:t>
            </w:r>
          </w:p>
        </w:tc>
        <w:tc>
          <w:tcPr>
            <w:tcW w:w="1851" w:type="dxa"/>
            <w:tcBorders>
              <w:top w:val="nil"/>
              <w:left w:val="nil"/>
              <w:bottom w:val="nil"/>
              <w:right w:val="nil"/>
            </w:tcBorders>
            <w:shd w:val="clear" w:color="000000" w:fill="DDEBF7"/>
            <w:noWrap/>
            <w:vAlign w:val="bottom"/>
            <w:hideMark/>
          </w:tcPr>
          <w:p w14:paraId="3658B220"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49</w:t>
            </w:r>
          </w:p>
        </w:tc>
        <w:tc>
          <w:tcPr>
            <w:tcW w:w="1563" w:type="dxa"/>
            <w:tcBorders>
              <w:top w:val="nil"/>
              <w:left w:val="single" w:sz="4" w:space="0" w:color="auto"/>
              <w:bottom w:val="nil"/>
              <w:right w:val="nil"/>
            </w:tcBorders>
            <w:shd w:val="clear" w:color="000000" w:fill="DDEBF7"/>
            <w:noWrap/>
            <w:vAlign w:val="bottom"/>
            <w:hideMark/>
          </w:tcPr>
          <w:p w14:paraId="03B65949"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29</w:t>
            </w:r>
          </w:p>
        </w:tc>
        <w:tc>
          <w:tcPr>
            <w:tcW w:w="1696" w:type="dxa"/>
            <w:tcBorders>
              <w:top w:val="nil"/>
              <w:left w:val="nil"/>
              <w:bottom w:val="nil"/>
              <w:right w:val="single" w:sz="8" w:space="0" w:color="auto"/>
            </w:tcBorders>
            <w:shd w:val="clear" w:color="000000" w:fill="DDEBF7"/>
            <w:noWrap/>
            <w:vAlign w:val="bottom"/>
            <w:hideMark/>
          </w:tcPr>
          <w:p w14:paraId="058BE8F7"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56</w:t>
            </w:r>
          </w:p>
        </w:tc>
        <w:tc>
          <w:tcPr>
            <w:tcW w:w="287" w:type="dxa"/>
            <w:tcBorders>
              <w:top w:val="nil"/>
              <w:left w:val="nil"/>
              <w:bottom w:val="nil"/>
              <w:right w:val="nil"/>
            </w:tcBorders>
            <w:shd w:val="clear" w:color="auto" w:fill="auto"/>
            <w:noWrap/>
            <w:vAlign w:val="bottom"/>
            <w:hideMark/>
          </w:tcPr>
          <w:p w14:paraId="6374FBFC" w14:textId="77777777" w:rsidR="001D15BD" w:rsidRPr="001D15BD" w:rsidRDefault="001D15BD" w:rsidP="001D15BD">
            <w:pPr>
              <w:spacing w:after="0" w:line="240" w:lineRule="auto"/>
              <w:jc w:val="center"/>
              <w:rPr>
                <w:rFonts w:ascii="Calibri" w:eastAsia="Times New Roman" w:hAnsi="Calibri" w:cs="Calibri"/>
                <w:color w:val="000000"/>
                <w:lang w:eastAsia="en-GB"/>
              </w:rPr>
            </w:pPr>
          </w:p>
        </w:tc>
      </w:tr>
      <w:tr w:rsidR="001D15BD" w:rsidRPr="001D15BD" w14:paraId="3EC66373" w14:textId="77777777" w:rsidTr="009C5214">
        <w:trPr>
          <w:trHeight w:val="288"/>
        </w:trPr>
        <w:tc>
          <w:tcPr>
            <w:tcW w:w="2376" w:type="dxa"/>
            <w:tcBorders>
              <w:top w:val="nil"/>
              <w:left w:val="single" w:sz="8" w:space="0" w:color="auto"/>
              <w:bottom w:val="nil"/>
              <w:right w:val="nil"/>
            </w:tcBorders>
            <w:shd w:val="clear" w:color="000000" w:fill="DDEBF7"/>
            <w:noWrap/>
            <w:vAlign w:val="bottom"/>
            <w:hideMark/>
          </w:tcPr>
          <w:p w14:paraId="38D24530"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t>Niger</w:t>
            </w:r>
          </w:p>
        </w:tc>
        <w:tc>
          <w:tcPr>
            <w:tcW w:w="1253" w:type="dxa"/>
            <w:tcBorders>
              <w:top w:val="nil"/>
              <w:left w:val="nil"/>
              <w:bottom w:val="nil"/>
              <w:right w:val="nil"/>
            </w:tcBorders>
            <w:shd w:val="clear" w:color="000000" w:fill="DDEBF7"/>
            <w:noWrap/>
            <w:vAlign w:val="bottom"/>
            <w:hideMark/>
          </w:tcPr>
          <w:p w14:paraId="75B526EA"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33</w:t>
            </w:r>
          </w:p>
        </w:tc>
        <w:tc>
          <w:tcPr>
            <w:tcW w:w="1851" w:type="dxa"/>
            <w:tcBorders>
              <w:top w:val="nil"/>
              <w:left w:val="nil"/>
              <w:bottom w:val="nil"/>
              <w:right w:val="nil"/>
            </w:tcBorders>
            <w:shd w:val="clear" w:color="000000" w:fill="DDEBF7"/>
            <w:noWrap/>
            <w:vAlign w:val="bottom"/>
            <w:hideMark/>
          </w:tcPr>
          <w:p w14:paraId="41A2CF1A"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41</w:t>
            </w:r>
          </w:p>
        </w:tc>
        <w:tc>
          <w:tcPr>
            <w:tcW w:w="1563" w:type="dxa"/>
            <w:tcBorders>
              <w:top w:val="nil"/>
              <w:left w:val="single" w:sz="4" w:space="0" w:color="auto"/>
              <w:bottom w:val="nil"/>
              <w:right w:val="nil"/>
            </w:tcBorders>
            <w:shd w:val="clear" w:color="000000" w:fill="DDEBF7"/>
            <w:noWrap/>
            <w:vAlign w:val="bottom"/>
            <w:hideMark/>
          </w:tcPr>
          <w:p w14:paraId="1DEFE819"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13</w:t>
            </w:r>
          </w:p>
        </w:tc>
        <w:tc>
          <w:tcPr>
            <w:tcW w:w="1696" w:type="dxa"/>
            <w:tcBorders>
              <w:top w:val="nil"/>
              <w:left w:val="nil"/>
              <w:bottom w:val="nil"/>
              <w:right w:val="single" w:sz="8" w:space="0" w:color="auto"/>
            </w:tcBorders>
            <w:shd w:val="clear" w:color="000000" w:fill="DDEBF7"/>
            <w:noWrap/>
            <w:vAlign w:val="bottom"/>
            <w:hideMark/>
          </w:tcPr>
          <w:p w14:paraId="17A7BDC8"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2</w:t>
            </w:r>
          </w:p>
        </w:tc>
        <w:tc>
          <w:tcPr>
            <w:tcW w:w="287" w:type="dxa"/>
            <w:tcBorders>
              <w:top w:val="nil"/>
              <w:left w:val="nil"/>
              <w:bottom w:val="nil"/>
              <w:right w:val="nil"/>
            </w:tcBorders>
            <w:shd w:val="clear" w:color="auto" w:fill="auto"/>
            <w:noWrap/>
            <w:vAlign w:val="bottom"/>
            <w:hideMark/>
          </w:tcPr>
          <w:p w14:paraId="19286C10" w14:textId="77777777" w:rsidR="001D15BD" w:rsidRPr="001D15BD" w:rsidRDefault="001D15BD" w:rsidP="001D15BD">
            <w:pPr>
              <w:spacing w:after="0" w:line="240" w:lineRule="auto"/>
              <w:jc w:val="center"/>
              <w:rPr>
                <w:rFonts w:ascii="Calibri" w:eastAsia="Times New Roman" w:hAnsi="Calibri" w:cs="Calibri"/>
                <w:color w:val="000000"/>
                <w:lang w:eastAsia="en-GB"/>
              </w:rPr>
            </w:pPr>
          </w:p>
        </w:tc>
      </w:tr>
      <w:tr w:rsidR="001D15BD" w:rsidRPr="001D15BD" w14:paraId="1E19ACF2" w14:textId="77777777" w:rsidTr="009C5214">
        <w:trPr>
          <w:trHeight w:val="288"/>
        </w:trPr>
        <w:tc>
          <w:tcPr>
            <w:tcW w:w="2376" w:type="dxa"/>
            <w:tcBorders>
              <w:top w:val="nil"/>
              <w:left w:val="single" w:sz="8" w:space="0" w:color="auto"/>
              <w:bottom w:val="nil"/>
              <w:right w:val="nil"/>
            </w:tcBorders>
            <w:shd w:val="clear" w:color="000000" w:fill="DDEBF7"/>
            <w:noWrap/>
            <w:vAlign w:val="bottom"/>
            <w:hideMark/>
          </w:tcPr>
          <w:p w14:paraId="5BE2111C"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t>Senegal</w:t>
            </w:r>
          </w:p>
        </w:tc>
        <w:tc>
          <w:tcPr>
            <w:tcW w:w="1253" w:type="dxa"/>
            <w:tcBorders>
              <w:top w:val="nil"/>
              <w:left w:val="nil"/>
              <w:bottom w:val="nil"/>
              <w:right w:val="nil"/>
            </w:tcBorders>
            <w:shd w:val="clear" w:color="000000" w:fill="DDEBF7"/>
            <w:noWrap/>
            <w:vAlign w:val="bottom"/>
            <w:hideMark/>
          </w:tcPr>
          <w:p w14:paraId="0AB75350"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44</w:t>
            </w:r>
          </w:p>
        </w:tc>
        <w:tc>
          <w:tcPr>
            <w:tcW w:w="1851" w:type="dxa"/>
            <w:tcBorders>
              <w:top w:val="nil"/>
              <w:left w:val="nil"/>
              <w:bottom w:val="nil"/>
              <w:right w:val="nil"/>
            </w:tcBorders>
            <w:shd w:val="clear" w:color="000000" w:fill="DDEBF7"/>
            <w:noWrap/>
            <w:vAlign w:val="bottom"/>
            <w:hideMark/>
          </w:tcPr>
          <w:p w14:paraId="3603EC5F"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45</w:t>
            </w:r>
          </w:p>
        </w:tc>
        <w:tc>
          <w:tcPr>
            <w:tcW w:w="1563" w:type="dxa"/>
            <w:tcBorders>
              <w:top w:val="nil"/>
              <w:left w:val="single" w:sz="4" w:space="0" w:color="auto"/>
              <w:bottom w:val="nil"/>
              <w:right w:val="nil"/>
            </w:tcBorders>
            <w:shd w:val="clear" w:color="000000" w:fill="DDEBF7"/>
            <w:noWrap/>
            <w:vAlign w:val="bottom"/>
            <w:hideMark/>
          </w:tcPr>
          <w:p w14:paraId="4F8FB6DA"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30</w:t>
            </w:r>
          </w:p>
        </w:tc>
        <w:tc>
          <w:tcPr>
            <w:tcW w:w="1696" w:type="dxa"/>
            <w:tcBorders>
              <w:top w:val="nil"/>
              <w:left w:val="nil"/>
              <w:bottom w:val="nil"/>
              <w:right w:val="single" w:sz="8" w:space="0" w:color="auto"/>
            </w:tcBorders>
            <w:shd w:val="clear" w:color="000000" w:fill="DDEBF7"/>
            <w:noWrap/>
            <w:vAlign w:val="bottom"/>
            <w:hideMark/>
          </w:tcPr>
          <w:p w14:paraId="5766A7D4"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28</w:t>
            </w:r>
          </w:p>
        </w:tc>
        <w:tc>
          <w:tcPr>
            <w:tcW w:w="287" w:type="dxa"/>
            <w:tcBorders>
              <w:top w:val="nil"/>
              <w:left w:val="nil"/>
              <w:bottom w:val="nil"/>
              <w:right w:val="nil"/>
            </w:tcBorders>
            <w:shd w:val="clear" w:color="auto" w:fill="auto"/>
            <w:noWrap/>
            <w:vAlign w:val="bottom"/>
            <w:hideMark/>
          </w:tcPr>
          <w:p w14:paraId="184159AB" w14:textId="77777777" w:rsidR="001D15BD" w:rsidRPr="001D15BD" w:rsidRDefault="001D15BD" w:rsidP="001D15BD">
            <w:pPr>
              <w:spacing w:after="0" w:line="240" w:lineRule="auto"/>
              <w:jc w:val="center"/>
              <w:rPr>
                <w:rFonts w:ascii="Calibri" w:eastAsia="Times New Roman" w:hAnsi="Calibri" w:cs="Calibri"/>
                <w:color w:val="000000"/>
                <w:lang w:eastAsia="en-GB"/>
              </w:rPr>
            </w:pPr>
          </w:p>
        </w:tc>
      </w:tr>
      <w:tr w:rsidR="001D15BD" w:rsidRPr="001D15BD" w14:paraId="0C1F6693" w14:textId="77777777" w:rsidTr="009C5214">
        <w:trPr>
          <w:trHeight w:val="288"/>
        </w:trPr>
        <w:tc>
          <w:tcPr>
            <w:tcW w:w="2376" w:type="dxa"/>
            <w:tcBorders>
              <w:top w:val="nil"/>
              <w:left w:val="single" w:sz="8" w:space="0" w:color="auto"/>
              <w:bottom w:val="nil"/>
              <w:right w:val="nil"/>
            </w:tcBorders>
            <w:shd w:val="clear" w:color="000000" w:fill="DDEBF7"/>
            <w:noWrap/>
            <w:vAlign w:val="bottom"/>
            <w:hideMark/>
          </w:tcPr>
          <w:p w14:paraId="5A0C7FC0"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t>Tchad</w:t>
            </w:r>
          </w:p>
        </w:tc>
        <w:tc>
          <w:tcPr>
            <w:tcW w:w="1253" w:type="dxa"/>
            <w:tcBorders>
              <w:top w:val="nil"/>
              <w:left w:val="nil"/>
              <w:bottom w:val="nil"/>
              <w:right w:val="nil"/>
            </w:tcBorders>
            <w:shd w:val="clear" w:color="000000" w:fill="DDEBF7"/>
            <w:noWrap/>
            <w:vAlign w:val="bottom"/>
            <w:hideMark/>
          </w:tcPr>
          <w:p w14:paraId="2C8DDFAA"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9</w:t>
            </w:r>
          </w:p>
        </w:tc>
        <w:tc>
          <w:tcPr>
            <w:tcW w:w="1851" w:type="dxa"/>
            <w:tcBorders>
              <w:top w:val="nil"/>
              <w:left w:val="nil"/>
              <w:bottom w:val="nil"/>
              <w:right w:val="nil"/>
            </w:tcBorders>
            <w:shd w:val="clear" w:color="000000" w:fill="DDEBF7"/>
            <w:noWrap/>
            <w:vAlign w:val="bottom"/>
            <w:hideMark/>
          </w:tcPr>
          <w:p w14:paraId="59CA3A59"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27</w:t>
            </w:r>
          </w:p>
        </w:tc>
        <w:tc>
          <w:tcPr>
            <w:tcW w:w="1563" w:type="dxa"/>
            <w:tcBorders>
              <w:top w:val="nil"/>
              <w:left w:val="single" w:sz="4" w:space="0" w:color="auto"/>
              <w:bottom w:val="nil"/>
              <w:right w:val="nil"/>
            </w:tcBorders>
            <w:shd w:val="clear" w:color="000000" w:fill="DDEBF7"/>
            <w:noWrap/>
            <w:vAlign w:val="bottom"/>
            <w:hideMark/>
          </w:tcPr>
          <w:p w14:paraId="3E2D4E03"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8</w:t>
            </w:r>
          </w:p>
        </w:tc>
        <w:tc>
          <w:tcPr>
            <w:tcW w:w="1696" w:type="dxa"/>
            <w:tcBorders>
              <w:top w:val="nil"/>
              <w:left w:val="nil"/>
              <w:bottom w:val="nil"/>
              <w:right w:val="single" w:sz="8" w:space="0" w:color="auto"/>
            </w:tcBorders>
            <w:shd w:val="clear" w:color="000000" w:fill="DDEBF7"/>
            <w:noWrap/>
            <w:vAlign w:val="bottom"/>
            <w:hideMark/>
          </w:tcPr>
          <w:p w14:paraId="6B168F38"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12</w:t>
            </w:r>
          </w:p>
        </w:tc>
        <w:tc>
          <w:tcPr>
            <w:tcW w:w="287" w:type="dxa"/>
            <w:tcBorders>
              <w:top w:val="nil"/>
              <w:left w:val="nil"/>
              <w:bottom w:val="nil"/>
              <w:right w:val="nil"/>
            </w:tcBorders>
            <w:shd w:val="clear" w:color="auto" w:fill="auto"/>
            <w:noWrap/>
            <w:vAlign w:val="bottom"/>
            <w:hideMark/>
          </w:tcPr>
          <w:p w14:paraId="5B815825" w14:textId="77777777" w:rsidR="001D15BD" w:rsidRPr="001D15BD" w:rsidRDefault="001D15BD" w:rsidP="001D15BD">
            <w:pPr>
              <w:spacing w:after="0" w:line="240" w:lineRule="auto"/>
              <w:jc w:val="center"/>
              <w:rPr>
                <w:rFonts w:ascii="Calibri" w:eastAsia="Times New Roman" w:hAnsi="Calibri" w:cs="Calibri"/>
                <w:color w:val="000000"/>
                <w:lang w:eastAsia="en-GB"/>
              </w:rPr>
            </w:pPr>
          </w:p>
        </w:tc>
      </w:tr>
      <w:tr w:rsidR="001D15BD" w:rsidRPr="001D15BD" w14:paraId="7C2A38AA" w14:textId="77777777" w:rsidTr="009C5214">
        <w:trPr>
          <w:trHeight w:val="300"/>
        </w:trPr>
        <w:tc>
          <w:tcPr>
            <w:tcW w:w="2376" w:type="dxa"/>
            <w:tcBorders>
              <w:top w:val="nil"/>
              <w:left w:val="single" w:sz="8" w:space="0" w:color="auto"/>
              <w:bottom w:val="single" w:sz="8" w:space="0" w:color="auto"/>
              <w:right w:val="nil"/>
            </w:tcBorders>
            <w:shd w:val="clear" w:color="000000" w:fill="DDEBF7"/>
            <w:noWrap/>
            <w:vAlign w:val="bottom"/>
            <w:hideMark/>
          </w:tcPr>
          <w:p w14:paraId="2BAED4CB" w14:textId="77777777" w:rsidR="001D15BD" w:rsidRPr="001D15BD" w:rsidRDefault="001D15BD" w:rsidP="001D15BD">
            <w:pPr>
              <w:spacing w:after="0" w:line="240" w:lineRule="auto"/>
              <w:rPr>
                <w:rFonts w:ascii="Calibri" w:eastAsia="Times New Roman" w:hAnsi="Calibri" w:cs="Calibri"/>
                <w:color w:val="000000"/>
                <w:lang w:eastAsia="en-GB"/>
              </w:rPr>
            </w:pPr>
            <w:r w:rsidRPr="001D15BD">
              <w:rPr>
                <w:rFonts w:ascii="Calibri" w:eastAsia="Times New Roman" w:hAnsi="Calibri" w:cs="Calibri"/>
                <w:color w:val="000000"/>
                <w:lang w:eastAsia="en-GB"/>
              </w:rPr>
              <w:t>Togo</w:t>
            </w:r>
          </w:p>
        </w:tc>
        <w:tc>
          <w:tcPr>
            <w:tcW w:w="1253" w:type="dxa"/>
            <w:tcBorders>
              <w:top w:val="nil"/>
              <w:left w:val="nil"/>
              <w:bottom w:val="single" w:sz="8" w:space="0" w:color="auto"/>
              <w:right w:val="nil"/>
            </w:tcBorders>
            <w:shd w:val="clear" w:color="000000" w:fill="DDEBF7"/>
            <w:noWrap/>
            <w:vAlign w:val="bottom"/>
            <w:hideMark/>
          </w:tcPr>
          <w:p w14:paraId="6D263CD8"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30</w:t>
            </w:r>
          </w:p>
        </w:tc>
        <w:tc>
          <w:tcPr>
            <w:tcW w:w="1851" w:type="dxa"/>
            <w:tcBorders>
              <w:top w:val="nil"/>
              <w:left w:val="nil"/>
              <w:bottom w:val="single" w:sz="8" w:space="0" w:color="auto"/>
              <w:right w:val="nil"/>
            </w:tcBorders>
            <w:shd w:val="clear" w:color="000000" w:fill="DDEBF7"/>
            <w:noWrap/>
            <w:vAlign w:val="bottom"/>
            <w:hideMark/>
          </w:tcPr>
          <w:p w14:paraId="6EF92726"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32</w:t>
            </w:r>
          </w:p>
        </w:tc>
        <w:tc>
          <w:tcPr>
            <w:tcW w:w="1563" w:type="dxa"/>
            <w:tcBorders>
              <w:top w:val="nil"/>
              <w:left w:val="single" w:sz="4" w:space="0" w:color="auto"/>
              <w:bottom w:val="single" w:sz="8" w:space="0" w:color="auto"/>
              <w:right w:val="nil"/>
            </w:tcBorders>
            <w:shd w:val="clear" w:color="000000" w:fill="DDEBF7"/>
            <w:noWrap/>
            <w:vAlign w:val="bottom"/>
            <w:hideMark/>
          </w:tcPr>
          <w:p w14:paraId="675FC03C"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20</w:t>
            </w:r>
          </w:p>
        </w:tc>
        <w:tc>
          <w:tcPr>
            <w:tcW w:w="1696" w:type="dxa"/>
            <w:tcBorders>
              <w:top w:val="nil"/>
              <w:left w:val="nil"/>
              <w:bottom w:val="single" w:sz="8" w:space="0" w:color="auto"/>
              <w:right w:val="single" w:sz="8" w:space="0" w:color="auto"/>
            </w:tcBorders>
            <w:shd w:val="clear" w:color="000000" w:fill="DDEBF7"/>
            <w:noWrap/>
            <w:vAlign w:val="bottom"/>
            <w:hideMark/>
          </w:tcPr>
          <w:p w14:paraId="5F5E9922" w14:textId="77777777" w:rsidR="001D15BD" w:rsidRPr="001D15BD" w:rsidRDefault="001D15BD" w:rsidP="001D15BD">
            <w:pPr>
              <w:spacing w:after="0" w:line="240" w:lineRule="auto"/>
              <w:jc w:val="center"/>
              <w:rPr>
                <w:rFonts w:ascii="Calibri" w:eastAsia="Times New Roman" w:hAnsi="Calibri" w:cs="Calibri"/>
                <w:color w:val="000000"/>
                <w:lang w:eastAsia="en-GB"/>
              </w:rPr>
            </w:pPr>
            <w:r w:rsidRPr="001D15BD">
              <w:rPr>
                <w:rFonts w:ascii="Calibri" w:eastAsia="Times New Roman" w:hAnsi="Calibri" w:cs="Calibri"/>
                <w:color w:val="000000"/>
                <w:lang w:eastAsia="en-GB"/>
              </w:rPr>
              <w:t>32</w:t>
            </w:r>
          </w:p>
        </w:tc>
        <w:tc>
          <w:tcPr>
            <w:tcW w:w="287" w:type="dxa"/>
            <w:tcBorders>
              <w:top w:val="nil"/>
              <w:left w:val="nil"/>
              <w:bottom w:val="nil"/>
              <w:right w:val="nil"/>
            </w:tcBorders>
            <w:shd w:val="clear" w:color="auto" w:fill="auto"/>
            <w:noWrap/>
            <w:vAlign w:val="bottom"/>
            <w:hideMark/>
          </w:tcPr>
          <w:p w14:paraId="4B25974D" w14:textId="77777777" w:rsidR="001D15BD" w:rsidRPr="001D15BD" w:rsidRDefault="001D15BD" w:rsidP="001D15BD">
            <w:pPr>
              <w:spacing w:after="0" w:line="240" w:lineRule="auto"/>
              <w:jc w:val="center"/>
              <w:rPr>
                <w:rFonts w:ascii="Calibri" w:eastAsia="Times New Roman" w:hAnsi="Calibri" w:cs="Calibri"/>
                <w:color w:val="000000"/>
                <w:lang w:eastAsia="en-GB"/>
              </w:rPr>
            </w:pPr>
          </w:p>
        </w:tc>
      </w:tr>
    </w:tbl>
    <w:p w14:paraId="7ACCCDD6" w14:textId="77777777" w:rsidR="0094004C" w:rsidRDefault="0094004C" w:rsidP="001D15BD">
      <w:pPr>
        <w:jc w:val="both"/>
        <w:rPr>
          <w:sz w:val="28"/>
          <w:szCs w:val="28"/>
        </w:rPr>
      </w:pPr>
    </w:p>
    <w:tbl>
      <w:tblPr>
        <w:tblW w:w="7882" w:type="dxa"/>
        <w:tblLook w:val="04A0" w:firstRow="1" w:lastRow="0" w:firstColumn="1" w:lastColumn="0" w:noHBand="0" w:noVBand="1"/>
      </w:tblPr>
      <w:tblGrid>
        <w:gridCol w:w="2225"/>
        <w:gridCol w:w="1182"/>
        <w:gridCol w:w="1806"/>
        <w:gridCol w:w="734"/>
        <w:gridCol w:w="1491"/>
        <w:gridCol w:w="222"/>
        <w:gridCol w:w="222"/>
      </w:tblGrid>
      <w:tr w:rsidR="00D117C6" w:rsidRPr="00D117C6" w14:paraId="3B11451D" w14:textId="77777777" w:rsidTr="00640FD0">
        <w:trPr>
          <w:trHeight w:val="288"/>
        </w:trPr>
        <w:tc>
          <w:tcPr>
            <w:tcW w:w="7882" w:type="dxa"/>
            <w:gridSpan w:val="7"/>
            <w:tcBorders>
              <w:top w:val="nil"/>
              <w:left w:val="nil"/>
              <w:bottom w:val="nil"/>
              <w:right w:val="nil"/>
            </w:tcBorders>
            <w:shd w:val="clear" w:color="auto" w:fill="auto"/>
            <w:noWrap/>
            <w:vAlign w:val="bottom"/>
            <w:hideMark/>
          </w:tcPr>
          <w:p w14:paraId="1E018328" w14:textId="77777777" w:rsidR="00D117C6" w:rsidRPr="00D117C6" w:rsidRDefault="00D117C6" w:rsidP="000D1486">
            <w:pPr>
              <w:spacing w:after="0" w:line="240" w:lineRule="auto"/>
              <w:rPr>
                <w:rFonts w:ascii="Calibri" w:eastAsia="Times New Roman" w:hAnsi="Calibri" w:cs="Calibri"/>
                <w:color w:val="000000"/>
                <w:lang w:eastAsia="en-GB"/>
              </w:rPr>
            </w:pPr>
            <w:r w:rsidRPr="00D117C6">
              <w:rPr>
                <w:rFonts w:ascii="Calibri" w:eastAsia="Times New Roman" w:hAnsi="Calibri" w:cs="Calibri"/>
                <w:color w:val="000000"/>
                <w:lang w:eastAsia="en-GB"/>
              </w:rPr>
              <w:t xml:space="preserve">Table </w:t>
            </w:r>
            <w:r w:rsidR="000D1486">
              <w:rPr>
                <w:rFonts w:ascii="Calibri" w:eastAsia="Times New Roman" w:hAnsi="Calibri" w:cs="Calibri"/>
                <w:color w:val="000000"/>
                <w:lang w:eastAsia="en-GB"/>
              </w:rPr>
              <w:t>5</w:t>
            </w:r>
            <w:r w:rsidRPr="00D117C6">
              <w:rPr>
                <w:rFonts w:ascii="Calibri" w:eastAsia="Times New Roman" w:hAnsi="Calibri" w:cs="Calibri"/>
                <w:color w:val="000000"/>
                <w:lang w:eastAsia="en-GB"/>
              </w:rPr>
              <w:t>: Median incidence rates for grade 6 students receiving private tuition from</w:t>
            </w:r>
          </w:p>
        </w:tc>
      </w:tr>
      <w:tr w:rsidR="00D117C6" w:rsidRPr="00D117C6" w14:paraId="157DD722" w14:textId="77777777" w:rsidTr="00640FD0">
        <w:trPr>
          <w:trHeight w:val="300"/>
        </w:trPr>
        <w:tc>
          <w:tcPr>
            <w:tcW w:w="7882" w:type="dxa"/>
            <w:gridSpan w:val="7"/>
            <w:tcBorders>
              <w:top w:val="nil"/>
              <w:left w:val="nil"/>
              <w:bottom w:val="nil"/>
              <w:right w:val="nil"/>
            </w:tcBorders>
            <w:shd w:val="clear" w:color="auto" w:fill="auto"/>
            <w:noWrap/>
            <w:vAlign w:val="bottom"/>
            <w:hideMark/>
          </w:tcPr>
          <w:p w14:paraId="20952A20" w14:textId="77777777" w:rsidR="00D117C6" w:rsidRPr="00D117C6" w:rsidRDefault="00D117C6" w:rsidP="00D117C6">
            <w:pPr>
              <w:spacing w:after="0" w:line="240" w:lineRule="auto"/>
              <w:rPr>
                <w:rFonts w:ascii="Calibri" w:eastAsia="Times New Roman" w:hAnsi="Calibri" w:cs="Calibri"/>
                <w:color w:val="000000"/>
                <w:lang w:eastAsia="en-GB"/>
              </w:rPr>
            </w:pPr>
            <w:proofErr w:type="gramStart"/>
            <w:r w:rsidRPr="00D117C6">
              <w:rPr>
                <w:rFonts w:ascii="Calibri" w:eastAsia="Times New Roman" w:hAnsi="Calibri" w:cs="Calibri"/>
                <w:color w:val="000000"/>
                <w:lang w:eastAsia="en-GB"/>
              </w:rPr>
              <w:t>class</w:t>
            </w:r>
            <w:proofErr w:type="gramEnd"/>
            <w:r w:rsidRPr="00D117C6">
              <w:rPr>
                <w:rFonts w:ascii="Calibri" w:eastAsia="Times New Roman" w:hAnsi="Calibri" w:cs="Calibri"/>
                <w:color w:val="000000"/>
                <w:lang w:eastAsia="en-GB"/>
              </w:rPr>
              <w:t xml:space="preserve"> teacher, independent tutor and both in Francophone West Africa (rounded %)</w:t>
            </w:r>
          </w:p>
        </w:tc>
      </w:tr>
      <w:tr w:rsidR="00D117C6" w:rsidRPr="00D117C6" w14:paraId="51824A73" w14:textId="77777777" w:rsidTr="00640FD0">
        <w:trPr>
          <w:trHeight w:val="288"/>
        </w:trPr>
        <w:tc>
          <w:tcPr>
            <w:tcW w:w="2225" w:type="dxa"/>
            <w:tcBorders>
              <w:top w:val="single" w:sz="8" w:space="0" w:color="auto"/>
              <w:left w:val="single" w:sz="8" w:space="0" w:color="auto"/>
              <w:bottom w:val="nil"/>
              <w:right w:val="nil"/>
            </w:tcBorders>
            <w:shd w:val="clear" w:color="000000" w:fill="EDEDED"/>
            <w:noWrap/>
            <w:vAlign w:val="bottom"/>
            <w:hideMark/>
          </w:tcPr>
          <w:p w14:paraId="17B2EE19" w14:textId="77777777" w:rsidR="00D117C6" w:rsidRPr="00D117C6" w:rsidRDefault="00D117C6" w:rsidP="00D117C6">
            <w:pPr>
              <w:spacing w:after="0" w:line="240" w:lineRule="auto"/>
              <w:rPr>
                <w:rFonts w:ascii="Calibri" w:eastAsia="Times New Roman" w:hAnsi="Calibri" w:cs="Calibri"/>
                <w:color w:val="000000"/>
                <w:lang w:eastAsia="en-GB"/>
              </w:rPr>
            </w:pPr>
            <w:r w:rsidRPr="00D117C6">
              <w:rPr>
                <w:rFonts w:ascii="Calibri" w:eastAsia="Times New Roman" w:hAnsi="Calibri" w:cs="Calibri"/>
                <w:color w:val="000000"/>
                <w:lang w:eastAsia="en-GB"/>
              </w:rPr>
              <w:t>School type</w:t>
            </w:r>
          </w:p>
        </w:tc>
        <w:tc>
          <w:tcPr>
            <w:tcW w:w="1182" w:type="dxa"/>
            <w:tcBorders>
              <w:top w:val="single" w:sz="8" w:space="0" w:color="auto"/>
              <w:left w:val="nil"/>
              <w:bottom w:val="nil"/>
              <w:right w:val="nil"/>
            </w:tcBorders>
            <w:shd w:val="clear" w:color="000000" w:fill="EDEDED"/>
            <w:noWrap/>
            <w:vAlign w:val="bottom"/>
            <w:hideMark/>
          </w:tcPr>
          <w:p w14:paraId="4664F825"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Class</w:t>
            </w:r>
          </w:p>
        </w:tc>
        <w:tc>
          <w:tcPr>
            <w:tcW w:w="1806" w:type="dxa"/>
            <w:tcBorders>
              <w:top w:val="single" w:sz="8" w:space="0" w:color="auto"/>
              <w:left w:val="nil"/>
              <w:bottom w:val="nil"/>
              <w:right w:val="nil"/>
            </w:tcBorders>
            <w:shd w:val="clear" w:color="000000" w:fill="EDEDED"/>
            <w:noWrap/>
            <w:vAlign w:val="bottom"/>
            <w:hideMark/>
          </w:tcPr>
          <w:p w14:paraId="2A906CB9"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Tutor</w:t>
            </w:r>
          </w:p>
        </w:tc>
        <w:tc>
          <w:tcPr>
            <w:tcW w:w="734" w:type="dxa"/>
            <w:tcBorders>
              <w:top w:val="single" w:sz="8" w:space="0" w:color="auto"/>
              <w:left w:val="nil"/>
              <w:bottom w:val="nil"/>
              <w:right w:val="nil"/>
            </w:tcBorders>
            <w:shd w:val="clear" w:color="000000" w:fill="EDEDED"/>
            <w:noWrap/>
            <w:vAlign w:val="bottom"/>
            <w:hideMark/>
          </w:tcPr>
          <w:p w14:paraId="01A7C16A"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Both</w:t>
            </w:r>
          </w:p>
        </w:tc>
        <w:tc>
          <w:tcPr>
            <w:tcW w:w="1491" w:type="dxa"/>
            <w:tcBorders>
              <w:top w:val="single" w:sz="8" w:space="0" w:color="auto"/>
              <w:left w:val="nil"/>
              <w:bottom w:val="nil"/>
              <w:right w:val="single" w:sz="8" w:space="0" w:color="auto"/>
            </w:tcBorders>
            <w:shd w:val="clear" w:color="000000" w:fill="EDEDED"/>
            <w:noWrap/>
            <w:vAlign w:val="bottom"/>
            <w:hideMark/>
          </w:tcPr>
          <w:p w14:paraId="1BB3A892"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Overall</w:t>
            </w:r>
          </w:p>
        </w:tc>
        <w:tc>
          <w:tcPr>
            <w:tcW w:w="222" w:type="dxa"/>
            <w:tcBorders>
              <w:top w:val="nil"/>
              <w:left w:val="nil"/>
              <w:bottom w:val="nil"/>
              <w:right w:val="nil"/>
            </w:tcBorders>
            <w:shd w:val="clear" w:color="auto" w:fill="auto"/>
            <w:noWrap/>
            <w:vAlign w:val="bottom"/>
            <w:hideMark/>
          </w:tcPr>
          <w:p w14:paraId="5656B132" w14:textId="77777777" w:rsidR="00D117C6" w:rsidRPr="00D117C6" w:rsidRDefault="00D117C6" w:rsidP="00D117C6">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6D8AD6E"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r>
      <w:tr w:rsidR="00D117C6" w:rsidRPr="00D117C6" w14:paraId="3E9366D3" w14:textId="77777777" w:rsidTr="00640FD0">
        <w:trPr>
          <w:trHeight w:val="288"/>
        </w:trPr>
        <w:tc>
          <w:tcPr>
            <w:tcW w:w="2225" w:type="dxa"/>
            <w:tcBorders>
              <w:top w:val="nil"/>
              <w:left w:val="single" w:sz="8" w:space="0" w:color="auto"/>
              <w:bottom w:val="nil"/>
              <w:right w:val="nil"/>
            </w:tcBorders>
            <w:shd w:val="clear" w:color="000000" w:fill="EDEDED"/>
            <w:noWrap/>
            <w:vAlign w:val="bottom"/>
            <w:hideMark/>
          </w:tcPr>
          <w:p w14:paraId="0E6EF06D" w14:textId="77777777" w:rsidR="00D117C6" w:rsidRPr="00D117C6" w:rsidRDefault="00D117C6" w:rsidP="00D117C6">
            <w:pPr>
              <w:spacing w:after="0" w:line="240" w:lineRule="auto"/>
              <w:rPr>
                <w:rFonts w:ascii="Calibri" w:eastAsia="Times New Roman" w:hAnsi="Calibri" w:cs="Calibri"/>
                <w:color w:val="000000"/>
                <w:lang w:eastAsia="en-GB"/>
              </w:rPr>
            </w:pPr>
            <w:r w:rsidRPr="00D117C6">
              <w:rPr>
                <w:rFonts w:ascii="Calibri" w:eastAsia="Times New Roman" w:hAnsi="Calibri" w:cs="Calibri"/>
                <w:color w:val="000000"/>
                <w:lang w:eastAsia="en-GB"/>
              </w:rPr>
              <w:t>and location</w:t>
            </w:r>
          </w:p>
        </w:tc>
        <w:tc>
          <w:tcPr>
            <w:tcW w:w="1182" w:type="dxa"/>
            <w:tcBorders>
              <w:top w:val="nil"/>
              <w:left w:val="nil"/>
              <w:bottom w:val="nil"/>
              <w:right w:val="nil"/>
            </w:tcBorders>
            <w:shd w:val="clear" w:color="000000" w:fill="EDEDED"/>
            <w:noWrap/>
            <w:vAlign w:val="bottom"/>
            <w:hideMark/>
          </w:tcPr>
          <w:p w14:paraId="510A467C"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teacher</w:t>
            </w:r>
          </w:p>
        </w:tc>
        <w:tc>
          <w:tcPr>
            <w:tcW w:w="1806" w:type="dxa"/>
            <w:tcBorders>
              <w:top w:val="nil"/>
              <w:left w:val="nil"/>
              <w:bottom w:val="nil"/>
              <w:right w:val="nil"/>
            </w:tcBorders>
            <w:shd w:val="clear" w:color="000000" w:fill="EDEDED"/>
            <w:noWrap/>
            <w:vAlign w:val="bottom"/>
            <w:hideMark/>
          </w:tcPr>
          <w:p w14:paraId="123EE86E"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(repetiteur)</w:t>
            </w:r>
          </w:p>
        </w:tc>
        <w:tc>
          <w:tcPr>
            <w:tcW w:w="734" w:type="dxa"/>
            <w:tcBorders>
              <w:top w:val="nil"/>
              <w:left w:val="nil"/>
              <w:bottom w:val="nil"/>
              <w:right w:val="nil"/>
            </w:tcBorders>
            <w:shd w:val="clear" w:color="000000" w:fill="EDEDED"/>
            <w:noWrap/>
            <w:vAlign w:val="bottom"/>
            <w:hideMark/>
          </w:tcPr>
          <w:p w14:paraId="12676E39"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 </w:t>
            </w:r>
          </w:p>
        </w:tc>
        <w:tc>
          <w:tcPr>
            <w:tcW w:w="1491" w:type="dxa"/>
            <w:tcBorders>
              <w:top w:val="nil"/>
              <w:left w:val="nil"/>
              <w:bottom w:val="nil"/>
              <w:right w:val="single" w:sz="8" w:space="0" w:color="auto"/>
            </w:tcBorders>
            <w:shd w:val="clear" w:color="000000" w:fill="EDEDED"/>
            <w:noWrap/>
            <w:vAlign w:val="bottom"/>
            <w:hideMark/>
          </w:tcPr>
          <w:p w14:paraId="24FC4545" w14:textId="77777777" w:rsidR="00D117C6" w:rsidRPr="00D117C6" w:rsidRDefault="009A27F3"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I</w:t>
            </w:r>
            <w:r w:rsidR="00D117C6" w:rsidRPr="00D117C6">
              <w:rPr>
                <w:rFonts w:ascii="Calibri" w:eastAsia="Times New Roman" w:hAnsi="Calibri" w:cs="Calibri"/>
                <w:color w:val="000000"/>
                <w:lang w:eastAsia="en-GB"/>
              </w:rPr>
              <w:t>ncidence</w:t>
            </w:r>
          </w:p>
        </w:tc>
        <w:tc>
          <w:tcPr>
            <w:tcW w:w="222" w:type="dxa"/>
            <w:tcBorders>
              <w:top w:val="nil"/>
              <w:left w:val="nil"/>
              <w:bottom w:val="nil"/>
              <w:right w:val="nil"/>
            </w:tcBorders>
            <w:shd w:val="clear" w:color="auto" w:fill="auto"/>
            <w:noWrap/>
            <w:vAlign w:val="bottom"/>
            <w:hideMark/>
          </w:tcPr>
          <w:p w14:paraId="7CFA2342" w14:textId="77777777" w:rsidR="00D117C6" w:rsidRPr="00D117C6" w:rsidRDefault="00D117C6" w:rsidP="00D117C6">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232787D9"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r>
      <w:tr w:rsidR="00D117C6" w:rsidRPr="00D117C6" w14:paraId="1CEB3D48" w14:textId="77777777" w:rsidTr="00640FD0">
        <w:trPr>
          <w:trHeight w:val="288"/>
        </w:trPr>
        <w:tc>
          <w:tcPr>
            <w:tcW w:w="2225" w:type="dxa"/>
            <w:tcBorders>
              <w:top w:val="single" w:sz="4" w:space="0" w:color="auto"/>
              <w:left w:val="single" w:sz="8" w:space="0" w:color="auto"/>
              <w:bottom w:val="nil"/>
              <w:right w:val="nil"/>
            </w:tcBorders>
            <w:shd w:val="clear" w:color="000000" w:fill="DDEBF7"/>
            <w:noWrap/>
            <w:vAlign w:val="bottom"/>
            <w:hideMark/>
          </w:tcPr>
          <w:p w14:paraId="37DC8212" w14:textId="77777777" w:rsidR="00D117C6" w:rsidRPr="00D117C6" w:rsidRDefault="00D117C6" w:rsidP="00D117C6">
            <w:pPr>
              <w:spacing w:after="0" w:line="240" w:lineRule="auto"/>
              <w:rPr>
                <w:rFonts w:ascii="Calibri" w:eastAsia="Times New Roman" w:hAnsi="Calibri" w:cs="Calibri"/>
                <w:color w:val="000000"/>
                <w:lang w:eastAsia="en-GB"/>
              </w:rPr>
            </w:pPr>
            <w:r w:rsidRPr="00D117C6">
              <w:rPr>
                <w:rFonts w:ascii="Calibri" w:eastAsia="Times New Roman" w:hAnsi="Calibri" w:cs="Calibri"/>
                <w:color w:val="000000"/>
                <w:lang w:eastAsia="en-GB"/>
              </w:rPr>
              <w:t>Urban public</w:t>
            </w:r>
          </w:p>
        </w:tc>
        <w:tc>
          <w:tcPr>
            <w:tcW w:w="1182" w:type="dxa"/>
            <w:tcBorders>
              <w:top w:val="single" w:sz="4" w:space="0" w:color="auto"/>
              <w:left w:val="nil"/>
              <w:bottom w:val="nil"/>
              <w:right w:val="nil"/>
            </w:tcBorders>
            <w:shd w:val="clear" w:color="000000" w:fill="DDEBF7"/>
            <w:noWrap/>
            <w:vAlign w:val="bottom"/>
            <w:hideMark/>
          </w:tcPr>
          <w:p w14:paraId="2176C914"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12</w:t>
            </w:r>
          </w:p>
        </w:tc>
        <w:tc>
          <w:tcPr>
            <w:tcW w:w="1806" w:type="dxa"/>
            <w:tcBorders>
              <w:top w:val="single" w:sz="4" w:space="0" w:color="auto"/>
              <w:left w:val="nil"/>
              <w:bottom w:val="nil"/>
              <w:right w:val="nil"/>
            </w:tcBorders>
            <w:shd w:val="clear" w:color="000000" w:fill="DDEBF7"/>
            <w:noWrap/>
            <w:vAlign w:val="bottom"/>
            <w:hideMark/>
          </w:tcPr>
          <w:p w14:paraId="650CC441"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6</w:t>
            </w:r>
          </w:p>
        </w:tc>
        <w:tc>
          <w:tcPr>
            <w:tcW w:w="734" w:type="dxa"/>
            <w:tcBorders>
              <w:top w:val="single" w:sz="4" w:space="0" w:color="auto"/>
              <w:left w:val="nil"/>
              <w:bottom w:val="nil"/>
              <w:right w:val="nil"/>
            </w:tcBorders>
            <w:shd w:val="clear" w:color="000000" w:fill="DDEBF7"/>
            <w:noWrap/>
            <w:vAlign w:val="bottom"/>
            <w:hideMark/>
          </w:tcPr>
          <w:p w14:paraId="35D1D019"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6</w:t>
            </w:r>
          </w:p>
        </w:tc>
        <w:tc>
          <w:tcPr>
            <w:tcW w:w="1491" w:type="dxa"/>
            <w:tcBorders>
              <w:top w:val="single" w:sz="4" w:space="0" w:color="auto"/>
              <w:left w:val="nil"/>
              <w:bottom w:val="nil"/>
              <w:right w:val="single" w:sz="8" w:space="0" w:color="auto"/>
            </w:tcBorders>
            <w:shd w:val="clear" w:color="000000" w:fill="DDEBF7"/>
            <w:noWrap/>
            <w:vAlign w:val="bottom"/>
            <w:hideMark/>
          </w:tcPr>
          <w:p w14:paraId="4D292ACB"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30</w:t>
            </w:r>
          </w:p>
        </w:tc>
        <w:tc>
          <w:tcPr>
            <w:tcW w:w="222" w:type="dxa"/>
            <w:tcBorders>
              <w:top w:val="nil"/>
              <w:left w:val="nil"/>
              <w:bottom w:val="nil"/>
              <w:right w:val="nil"/>
            </w:tcBorders>
            <w:shd w:val="clear" w:color="auto" w:fill="auto"/>
            <w:noWrap/>
            <w:vAlign w:val="bottom"/>
            <w:hideMark/>
          </w:tcPr>
          <w:p w14:paraId="3F5B942C" w14:textId="77777777" w:rsidR="00D117C6" w:rsidRPr="00D117C6" w:rsidRDefault="00D117C6" w:rsidP="00D117C6">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37504170"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r>
      <w:tr w:rsidR="00D117C6" w:rsidRPr="00D117C6" w14:paraId="21366C7D" w14:textId="77777777" w:rsidTr="00640FD0">
        <w:trPr>
          <w:trHeight w:val="288"/>
        </w:trPr>
        <w:tc>
          <w:tcPr>
            <w:tcW w:w="2225" w:type="dxa"/>
            <w:tcBorders>
              <w:top w:val="nil"/>
              <w:left w:val="single" w:sz="8" w:space="0" w:color="auto"/>
              <w:bottom w:val="nil"/>
              <w:right w:val="nil"/>
            </w:tcBorders>
            <w:shd w:val="clear" w:color="000000" w:fill="DDEBF7"/>
            <w:noWrap/>
            <w:vAlign w:val="bottom"/>
            <w:hideMark/>
          </w:tcPr>
          <w:p w14:paraId="079AB399" w14:textId="77777777" w:rsidR="00D117C6" w:rsidRPr="00D117C6" w:rsidRDefault="00D117C6" w:rsidP="00D117C6">
            <w:pPr>
              <w:spacing w:after="0" w:line="240" w:lineRule="auto"/>
              <w:rPr>
                <w:rFonts w:ascii="Calibri" w:eastAsia="Times New Roman" w:hAnsi="Calibri" w:cs="Calibri"/>
                <w:color w:val="000000"/>
                <w:lang w:eastAsia="en-GB"/>
              </w:rPr>
            </w:pPr>
            <w:r w:rsidRPr="00D117C6">
              <w:rPr>
                <w:rFonts w:ascii="Calibri" w:eastAsia="Times New Roman" w:hAnsi="Calibri" w:cs="Calibri"/>
                <w:color w:val="000000"/>
                <w:lang w:eastAsia="en-GB"/>
              </w:rPr>
              <w:t>Urban private</w:t>
            </w:r>
          </w:p>
        </w:tc>
        <w:tc>
          <w:tcPr>
            <w:tcW w:w="1182" w:type="dxa"/>
            <w:tcBorders>
              <w:top w:val="nil"/>
              <w:left w:val="nil"/>
              <w:bottom w:val="nil"/>
              <w:right w:val="nil"/>
            </w:tcBorders>
            <w:shd w:val="clear" w:color="000000" w:fill="DDEBF7"/>
            <w:noWrap/>
            <w:vAlign w:val="bottom"/>
            <w:hideMark/>
          </w:tcPr>
          <w:p w14:paraId="54E8B026"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20</w:t>
            </w:r>
          </w:p>
        </w:tc>
        <w:tc>
          <w:tcPr>
            <w:tcW w:w="1806" w:type="dxa"/>
            <w:tcBorders>
              <w:top w:val="nil"/>
              <w:left w:val="nil"/>
              <w:bottom w:val="nil"/>
              <w:right w:val="nil"/>
            </w:tcBorders>
            <w:shd w:val="clear" w:color="000000" w:fill="DDEBF7"/>
            <w:noWrap/>
            <w:vAlign w:val="bottom"/>
            <w:hideMark/>
          </w:tcPr>
          <w:p w14:paraId="7DBA8B27"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4</w:t>
            </w:r>
          </w:p>
        </w:tc>
        <w:tc>
          <w:tcPr>
            <w:tcW w:w="734" w:type="dxa"/>
            <w:tcBorders>
              <w:top w:val="nil"/>
              <w:left w:val="nil"/>
              <w:bottom w:val="nil"/>
              <w:right w:val="nil"/>
            </w:tcBorders>
            <w:shd w:val="clear" w:color="000000" w:fill="DDEBF7"/>
            <w:noWrap/>
            <w:vAlign w:val="bottom"/>
            <w:hideMark/>
          </w:tcPr>
          <w:p w14:paraId="78793FD7"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9</w:t>
            </w:r>
          </w:p>
        </w:tc>
        <w:tc>
          <w:tcPr>
            <w:tcW w:w="1491" w:type="dxa"/>
            <w:tcBorders>
              <w:top w:val="nil"/>
              <w:left w:val="nil"/>
              <w:bottom w:val="nil"/>
              <w:right w:val="single" w:sz="8" w:space="0" w:color="auto"/>
            </w:tcBorders>
            <w:shd w:val="clear" w:color="000000" w:fill="DDEBF7"/>
            <w:noWrap/>
            <w:vAlign w:val="bottom"/>
            <w:hideMark/>
          </w:tcPr>
          <w:p w14:paraId="5E9311DE"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40</w:t>
            </w:r>
          </w:p>
        </w:tc>
        <w:tc>
          <w:tcPr>
            <w:tcW w:w="222" w:type="dxa"/>
            <w:tcBorders>
              <w:top w:val="nil"/>
              <w:left w:val="nil"/>
              <w:bottom w:val="nil"/>
              <w:right w:val="nil"/>
            </w:tcBorders>
            <w:shd w:val="clear" w:color="auto" w:fill="auto"/>
            <w:noWrap/>
            <w:vAlign w:val="bottom"/>
            <w:hideMark/>
          </w:tcPr>
          <w:p w14:paraId="4B2147BE" w14:textId="77777777" w:rsidR="00D117C6" w:rsidRPr="00D117C6" w:rsidRDefault="00D117C6" w:rsidP="00D117C6">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6CA128C"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r>
      <w:tr w:rsidR="00D117C6" w:rsidRPr="00D117C6" w14:paraId="4D2385CC" w14:textId="77777777" w:rsidTr="00640FD0">
        <w:trPr>
          <w:trHeight w:val="288"/>
        </w:trPr>
        <w:tc>
          <w:tcPr>
            <w:tcW w:w="2225" w:type="dxa"/>
            <w:tcBorders>
              <w:top w:val="nil"/>
              <w:left w:val="single" w:sz="8" w:space="0" w:color="auto"/>
              <w:bottom w:val="nil"/>
              <w:right w:val="nil"/>
            </w:tcBorders>
            <w:shd w:val="clear" w:color="000000" w:fill="DDEBF7"/>
            <w:noWrap/>
            <w:vAlign w:val="bottom"/>
            <w:hideMark/>
          </w:tcPr>
          <w:p w14:paraId="3FECB2E7" w14:textId="77777777" w:rsidR="00D117C6" w:rsidRPr="00D117C6" w:rsidRDefault="00D117C6" w:rsidP="00D117C6">
            <w:pPr>
              <w:spacing w:after="0" w:line="240" w:lineRule="auto"/>
              <w:rPr>
                <w:rFonts w:ascii="Calibri" w:eastAsia="Times New Roman" w:hAnsi="Calibri" w:cs="Calibri"/>
                <w:color w:val="000000"/>
                <w:lang w:eastAsia="en-GB"/>
              </w:rPr>
            </w:pPr>
            <w:r w:rsidRPr="00D117C6">
              <w:rPr>
                <w:rFonts w:ascii="Calibri" w:eastAsia="Times New Roman" w:hAnsi="Calibri" w:cs="Calibri"/>
                <w:color w:val="000000"/>
                <w:lang w:eastAsia="en-GB"/>
              </w:rPr>
              <w:t>Rural public</w:t>
            </w:r>
          </w:p>
        </w:tc>
        <w:tc>
          <w:tcPr>
            <w:tcW w:w="1182" w:type="dxa"/>
            <w:tcBorders>
              <w:top w:val="nil"/>
              <w:left w:val="nil"/>
              <w:bottom w:val="nil"/>
              <w:right w:val="nil"/>
            </w:tcBorders>
            <w:shd w:val="clear" w:color="000000" w:fill="DDEBF7"/>
            <w:noWrap/>
            <w:vAlign w:val="bottom"/>
            <w:hideMark/>
          </w:tcPr>
          <w:p w14:paraId="76982A4C"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9</w:t>
            </w:r>
          </w:p>
        </w:tc>
        <w:tc>
          <w:tcPr>
            <w:tcW w:w="1806" w:type="dxa"/>
            <w:tcBorders>
              <w:top w:val="nil"/>
              <w:left w:val="nil"/>
              <w:bottom w:val="nil"/>
              <w:right w:val="nil"/>
            </w:tcBorders>
            <w:shd w:val="clear" w:color="000000" w:fill="DDEBF7"/>
            <w:noWrap/>
            <w:vAlign w:val="bottom"/>
            <w:hideMark/>
          </w:tcPr>
          <w:p w14:paraId="469B9268"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8</w:t>
            </w:r>
          </w:p>
        </w:tc>
        <w:tc>
          <w:tcPr>
            <w:tcW w:w="734" w:type="dxa"/>
            <w:tcBorders>
              <w:top w:val="nil"/>
              <w:left w:val="nil"/>
              <w:bottom w:val="nil"/>
              <w:right w:val="nil"/>
            </w:tcBorders>
            <w:shd w:val="clear" w:color="000000" w:fill="DDEBF7"/>
            <w:noWrap/>
            <w:vAlign w:val="bottom"/>
            <w:hideMark/>
          </w:tcPr>
          <w:p w14:paraId="594C6FBB"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4</w:t>
            </w:r>
          </w:p>
        </w:tc>
        <w:tc>
          <w:tcPr>
            <w:tcW w:w="1491" w:type="dxa"/>
            <w:tcBorders>
              <w:top w:val="nil"/>
              <w:left w:val="nil"/>
              <w:bottom w:val="nil"/>
              <w:right w:val="single" w:sz="8" w:space="0" w:color="auto"/>
            </w:tcBorders>
            <w:shd w:val="clear" w:color="000000" w:fill="DDEBF7"/>
            <w:noWrap/>
            <w:vAlign w:val="bottom"/>
            <w:hideMark/>
          </w:tcPr>
          <w:p w14:paraId="64672B81"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20</w:t>
            </w:r>
          </w:p>
        </w:tc>
        <w:tc>
          <w:tcPr>
            <w:tcW w:w="222" w:type="dxa"/>
            <w:tcBorders>
              <w:top w:val="nil"/>
              <w:left w:val="nil"/>
              <w:bottom w:val="nil"/>
              <w:right w:val="nil"/>
            </w:tcBorders>
            <w:shd w:val="clear" w:color="auto" w:fill="auto"/>
            <w:noWrap/>
            <w:vAlign w:val="bottom"/>
            <w:hideMark/>
          </w:tcPr>
          <w:p w14:paraId="64FCD425" w14:textId="77777777" w:rsidR="00D117C6" w:rsidRPr="00D117C6" w:rsidRDefault="00D117C6" w:rsidP="00D117C6">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26378F1"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r>
      <w:tr w:rsidR="00D117C6" w:rsidRPr="00D117C6" w14:paraId="39B56C32" w14:textId="77777777" w:rsidTr="00640FD0">
        <w:trPr>
          <w:trHeight w:val="300"/>
        </w:trPr>
        <w:tc>
          <w:tcPr>
            <w:tcW w:w="2225" w:type="dxa"/>
            <w:tcBorders>
              <w:top w:val="nil"/>
              <w:left w:val="single" w:sz="8" w:space="0" w:color="auto"/>
              <w:bottom w:val="single" w:sz="8" w:space="0" w:color="auto"/>
              <w:right w:val="nil"/>
            </w:tcBorders>
            <w:shd w:val="clear" w:color="000000" w:fill="DDEBF7"/>
            <w:noWrap/>
            <w:vAlign w:val="bottom"/>
            <w:hideMark/>
          </w:tcPr>
          <w:p w14:paraId="66D0D18D" w14:textId="77777777" w:rsidR="00D117C6" w:rsidRPr="00D117C6" w:rsidRDefault="00D117C6" w:rsidP="00D117C6">
            <w:pPr>
              <w:spacing w:after="0" w:line="240" w:lineRule="auto"/>
              <w:rPr>
                <w:rFonts w:ascii="Calibri" w:eastAsia="Times New Roman" w:hAnsi="Calibri" w:cs="Calibri"/>
                <w:color w:val="000000"/>
                <w:lang w:eastAsia="en-GB"/>
              </w:rPr>
            </w:pPr>
            <w:r w:rsidRPr="00D117C6">
              <w:rPr>
                <w:rFonts w:ascii="Calibri" w:eastAsia="Times New Roman" w:hAnsi="Calibri" w:cs="Calibri"/>
                <w:color w:val="000000"/>
                <w:lang w:eastAsia="en-GB"/>
              </w:rPr>
              <w:t>Rural private</w:t>
            </w:r>
          </w:p>
        </w:tc>
        <w:tc>
          <w:tcPr>
            <w:tcW w:w="1182" w:type="dxa"/>
            <w:tcBorders>
              <w:top w:val="nil"/>
              <w:left w:val="nil"/>
              <w:bottom w:val="single" w:sz="8" w:space="0" w:color="auto"/>
              <w:right w:val="nil"/>
            </w:tcBorders>
            <w:shd w:val="clear" w:color="000000" w:fill="DDEBF7"/>
            <w:noWrap/>
            <w:vAlign w:val="bottom"/>
            <w:hideMark/>
          </w:tcPr>
          <w:p w14:paraId="74040462"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15</w:t>
            </w:r>
          </w:p>
        </w:tc>
        <w:tc>
          <w:tcPr>
            <w:tcW w:w="1806" w:type="dxa"/>
            <w:tcBorders>
              <w:top w:val="nil"/>
              <w:left w:val="nil"/>
              <w:bottom w:val="single" w:sz="8" w:space="0" w:color="auto"/>
              <w:right w:val="nil"/>
            </w:tcBorders>
            <w:shd w:val="clear" w:color="000000" w:fill="DDEBF7"/>
            <w:noWrap/>
            <w:vAlign w:val="bottom"/>
            <w:hideMark/>
          </w:tcPr>
          <w:p w14:paraId="59290E99"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6</w:t>
            </w:r>
          </w:p>
        </w:tc>
        <w:tc>
          <w:tcPr>
            <w:tcW w:w="734" w:type="dxa"/>
            <w:tcBorders>
              <w:top w:val="nil"/>
              <w:left w:val="nil"/>
              <w:bottom w:val="single" w:sz="8" w:space="0" w:color="auto"/>
              <w:right w:val="nil"/>
            </w:tcBorders>
            <w:shd w:val="clear" w:color="000000" w:fill="DDEBF7"/>
            <w:noWrap/>
            <w:vAlign w:val="bottom"/>
            <w:hideMark/>
          </w:tcPr>
          <w:p w14:paraId="1721EC1C"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6</w:t>
            </w:r>
          </w:p>
        </w:tc>
        <w:tc>
          <w:tcPr>
            <w:tcW w:w="1491" w:type="dxa"/>
            <w:tcBorders>
              <w:top w:val="nil"/>
              <w:left w:val="nil"/>
              <w:bottom w:val="single" w:sz="8" w:space="0" w:color="auto"/>
              <w:right w:val="single" w:sz="8" w:space="0" w:color="auto"/>
            </w:tcBorders>
            <w:shd w:val="clear" w:color="000000" w:fill="DDEBF7"/>
            <w:noWrap/>
            <w:vAlign w:val="bottom"/>
            <w:hideMark/>
          </w:tcPr>
          <w:p w14:paraId="0B6BB090" w14:textId="77777777" w:rsidR="00D117C6" w:rsidRPr="00D117C6" w:rsidRDefault="00D117C6" w:rsidP="00D117C6">
            <w:pPr>
              <w:spacing w:after="0" w:line="240" w:lineRule="auto"/>
              <w:jc w:val="center"/>
              <w:rPr>
                <w:rFonts w:ascii="Calibri" w:eastAsia="Times New Roman" w:hAnsi="Calibri" w:cs="Calibri"/>
                <w:color w:val="000000"/>
                <w:lang w:eastAsia="en-GB"/>
              </w:rPr>
            </w:pPr>
            <w:r w:rsidRPr="00D117C6">
              <w:rPr>
                <w:rFonts w:ascii="Calibri" w:eastAsia="Times New Roman" w:hAnsi="Calibri" w:cs="Calibri"/>
                <w:color w:val="000000"/>
                <w:lang w:eastAsia="en-GB"/>
              </w:rPr>
              <w:t>32</w:t>
            </w:r>
          </w:p>
        </w:tc>
        <w:tc>
          <w:tcPr>
            <w:tcW w:w="222" w:type="dxa"/>
            <w:tcBorders>
              <w:top w:val="nil"/>
              <w:left w:val="nil"/>
              <w:bottom w:val="nil"/>
              <w:right w:val="nil"/>
            </w:tcBorders>
            <w:shd w:val="clear" w:color="auto" w:fill="auto"/>
            <w:noWrap/>
            <w:vAlign w:val="bottom"/>
            <w:hideMark/>
          </w:tcPr>
          <w:p w14:paraId="3D61353E" w14:textId="77777777" w:rsidR="00D117C6" w:rsidRPr="00D117C6" w:rsidRDefault="00D117C6" w:rsidP="00D117C6">
            <w:pPr>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55445673"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r>
      <w:tr w:rsidR="00D117C6" w:rsidRPr="00D117C6" w14:paraId="6CD1BBBE" w14:textId="77777777" w:rsidTr="00640FD0">
        <w:trPr>
          <w:trHeight w:val="288"/>
        </w:trPr>
        <w:tc>
          <w:tcPr>
            <w:tcW w:w="2225" w:type="dxa"/>
            <w:tcBorders>
              <w:top w:val="nil"/>
              <w:left w:val="nil"/>
              <w:bottom w:val="nil"/>
              <w:right w:val="nil"/>
            </w:tcBorders>
            <w:shd w:val="clear" w:color="auto" w:fill="auto"/>
            <w:noWrap/>
            <w:vAlign w:val="bottom"/>
            <w:hideMark/>
          </w:tcPr>
          <w:p w14:paraId="00047BA8" w14:textId="77777777" w:rsidR="00D117C6" w:rsidRPr="00D117C6" w:rsidRDefault="00D117C6" w:rsidP="00D117C6">
            <w:pPr>
              <w:spacing w:after="0" w:line="240" w:lineRule="auto"/>
              <w:rPr>
                <w:rFonts w:ascii="Calibri" w:eastAsia="Times New Roman" w:hAnsi="Calibri" w:cs="Calibri"/>
                <w:color w:val="000000"/>
                <w:lang w:eastAsia="en-GB"/>
              </w:rPr>
            </w:pPr>
            <w:r w:rsidRPr="00D117C6">
              <w:rPr>
                <w:rFonts w:ascii="Calibri" w:eastAsia="Times New Roman" w:hAnsi="Calibri" w:cs="Calibri"/>
                <w:color w:val="000000"/>
                <w:lang w:eastAsia="en-GB"/>
              </w:rPr>
              <w:t>Source: PASEC</w:t>
            </w:r>
          </w:p>
        </w:tc>
        <w:tc>
          <w:tcPr>
            <w:tcW w:w="1182" w:type="dxa"/>
            <w:tcBorders>
              <w:top w:val="nil"/>
              <w:left w:val="nil"/>
              <w:bottom w:val="nil"/>
              <w:right w:val="nil"/>
            </w:tcBorders>
            <w:shd w:val="clear" w:color="auto" w:fill="auto"/>
            <w:noWrap/>
            <w:vAlign w:val="bottom"/>
            <w:hideMark/>
          </w:tcPr>
          <w:p w14:paraId="47088611" w14:textId="77777777" w:rsidR="00D117C6" w:rsidRPr="00D117C6" w:rsidRDefault="00D117C6" w:rsidP="00D117C6">
            <w:pPr>
              <w:spacing w:after="0" w:line="240" w:lineRule="auto"/>
              <w:rPr>
                <w:rFonts w:ascii="Calibri" w:eastAsia="Times New Roman" w:hAnsi="Calibri" w:cs="Calibri"/>
                <w:color w:val="000000"/>
                <w:lang w:eastAsia="en-GB"/>
              </w:rPr>
            </w:pPr>
          </w:p>
        </w:tc>
        <w:tc>
          <w:tcPr>
            <w:tcW w:w="1806" w:type="dxa"/>
            <w:tcBorders>
              <w:top w:val="nil"/>
              <w:left w:val="nil"/>
              <w:bottom w:val="nil"/>
              <w:right w:val="nil"/>
            </w:tcBorders>
            <w:shd w:val="clear" w:color="auto" w:fill="auto"/>
            <w:noWrap/>
            <w:vAlign w:val="bottom"/>
            <w:hideMark/>
          </w:tcPr>
          <w:p w14:paraId="2D0C1032"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c>
          <w:tcPr>
            <w:tcW w:w="734" w:type="dxa"/>
            <w:tcBorders>
              <w:top w:val="nil"/>
              <w:left w:val="nil"/>
              <w:bottom w:val="nil"/>
              <w:right w:val="nil"/>
            </w:tcBorders>
            <w:shd w:val="clear" w:color="auto" w:fill="auto"/>
            <w:noWrap/>
            <w:vAlign w:val="bottom"/>
            <w:hideMark/>
          </w:tcPr>
          <w:p w14:paraId="42D62395"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c>
          <w:tcPr>
            <w:tcW w:w="1491" w:type="dxa"/>
            <w:tcBorders>
              <w:top w:val="nil"/>
              <w:left w:val="nil"/>
              <w:bottom w:val="nil"/>
              <w:right w:val="nil"/>
            </w:tcBorders>
            <w:shd w:val="clear" w:color="auto" w:fill="auto"/>
            <w:noWrap/>
            <w:vAlign w:val="bottom"/>
            <w:hideMark/>
          </w:tcPr>
          <w:p w14:paraId="2C1FE7AB"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F074B1C"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5D94FA8" w14:textId="77777777" w:rsidR="00D117C6" w:rsidRPr="00D117C6" w:rsidRDefault="00D117C6" w:rsidP="00D117C6">
            <w:pPr>
              <w:spacing w:after="0" w:line="240" w:lineRule="auto"/>
              <w:rPr>
                <w:rFonts w:ascii="Times New Roman" w:eastAsia="Times New Roman" w:hAnsi="Times New Roman" w:cs="Times New Roman"/>
                <w:sz w:val="20"/>
                <w:szCs w:val="20"/>
                <w:lang w:eastAsia="en-GB"/>
              </w:rPr>
            </w:pPr>
          </w:p>
        </w:tc>
      </w:tr>
    </w:tbl>
    <w:p w14:paraId="6DFE8E0F" w14:textId="6E16D7EF" w:rsidR="00FC3916" w:rsidRDefault="00FC3916"/>
    <w:tbl>
      <w:tblPr>
        <w:tblW w:w="15646" w:type="dxa"/>
        <w:tblLook w:val="04A0" w:firstRow="1" w:lastRow="0" w:firstColumn="1" w:lastColumn="0" w:noHBand="0" w:noVBand="1"/>
      </w:tblPr>
      <w:tblGrid>
        <w:gridCol w:w="15646"/>
      </w:tblGrid>
      <w:tr w:rsidR="005833B8" w:rsidRPr="00256868" w14:paraId="4B718F83" w14:textId="77777777" w:rsidTr="00FC3916">
        <w:trPr>
          <w:trHeight w:val="288"/>
        </w:trPr>
        <w:tc>
          <w:tcPr>
            <w:tcW w:w="15646" w:type="dxa"/>
            <w:tcBorders>
              <w:top w:val="nil"/>
              <w:left w:val="nil"/>
              <w:bottom w:val="nil"/>
              <w:right w:val="nil"/>
            </w:tcBorders>
            <w:shd w:val="clear" w:color="auto" w:fill="auto"/>
            <w:noWrap/>
            <w:vAlign w:val="bottom"/>
            <w:hideMark/>
          </w:tcPr>
          <w:tbl>
            <w:tblPr>
              <w:tblW w:w="9253" w:type="dxa"/>
              <w:tblLook w:val="04A0" w:firstRow="1" w:lastRow="0" w:firstColumn="1" w:lastColumn="0" w:noHBand="0" w:noVBand="1"/>
            </w:tblPr>
            <w:tblGrid>
              <w:gridCol w:w="2225"/>
              <w:gridCol w:w="1315"/>
              <w:gridCol w:w="1168"/>
              <w:gridCol w:w="1149"/>
              <w:gridCol w:w="1021"/>
              <w:gridCol w:w="1258"/>
              <w:gridCol w:w="1117"/>
            </w:tblGrid>
            <w:tr w:rsidR="00640FD0" w:rsidRPr="00640FD0" w14:paraId="48BFC9E5" w14:textId="77777777" w:rsidTr="00640FD0">
              <w:trPr>
                <w:trHeight w:val="288"/>
              </w:trPr>
              <w:tc>
                <w:tcPr>
                  <w:tcW w:w="9253" w:type="dxa"/>
                  <w:gridSpan w:val="7"/>
                  <w:tcBorders>
                    <w:top w:val="nil"/>
                    <w:left w:val="nil"/>
                    <w:bottom w:val="nil"/>
                    <w:right w:val="nil"/>
                  </w:tcBorders>
                  <w:shd w:val="clear" w:color="auto" w:fill="auto"/>
                  <w:noWrap/>
                  <w:vAlign w:val="bottom"/>
                  <w:hideMark/>
                </w:tcPr>
                <w:p w14:paraId="69FA774E" w14:textId="793128FE" w:rsidR="00640FD0" w:rsidRPr="00640FD0" w:rsidRDefault="00640FD0" w:rsidP="00640FD0">
                  <w:pPr>
                    <w:spacing w:after="0" w:line="240" w:lineRule="auto"/>
                    <w:rPr>
                      <w:rFonts w:ascii="Calibri" w:eastAsia="Times New Roman" w:hAnsi="Calibri" w:cs="Calibri"/>
                      <w:color w:val="000000"/>
                      <w:lang w:eastAsia="en-GB"/>
                    </w:rPr>
                  </w:pPr>
                  <w:r>
                    <w:br w:type="page"/>
                  </w:r>
                  <w:r>
                    <w:rPr>
                      <w:rFonts w:ascii="Calibri" w:eastAsia="Times New Roman" w:hAnsi="Calibri" w:cs="Calibri"/>
                      <w:color w:val="000000"/>
                      <w:lang w:eastAsia="en-GB"/>
                    </w:rPr>
                    <w:t>Table 6</w:t>
                  </w:r>
                  <w:r w:rsidRPr="00640FD0">
                    <w:rPr>
                      <w:rFonts w:ascii="Calibri" w:eastAsia="Times New Roman" w:hAnsi="Calibri" w:cs="Calibri"/>
                      <w:color w:val="000000"/>
                      <w:lang w:eastAsia="en-GB"/>
                    </w:rPr>
                    <w:t xml:space="preserve">: Incidence of grade 2 and grade 6 teachers undertaking private tuition  </w:t>
                  </w:r>
                </w:p>
              </w:tc>
            </w:tr>
            <w:tr w:rsidR="00640FD0" w:rsidRPr="00640FD0" w14:paraId="29DFA552" w14:textId="77777777" w:rsidTr="00640FD0">
              <w:trPr>
                <w:trHeight w:val="300"/>
              </w:trPr>
              <w:tc>
                <w:tcPr>
                  <w:tcW w:w="9253" w:type="dxa"/>
                  <w:gridSpan w:val="7"/>
                  <w:tcBorders>
                    <w:top w:val="nil"/>
                    <w:left w:val="nil"/>
                    <w:bottom w:val="nil"/>
                    <w:right w:val="nil"/>
                  </w:tcBorders>
                  <w:shd w:val="clear" w:color="auto" w:fill="auto"/>
                  <w:noWrap/>
                  <w:vAlign w:val="bottom"/>
                  <w:hideMark/>
                </w:tcPr>
                <w:p w14:paraId="00B138E0" w14:textId="77777777" w:rsidR="00640FD0" w:rsidRPr="00640FD0" w:rsidRDefault="00640FD0" w:rsidP="00640FD0">
                  <w:pPr>
                    <w:spacing w:after="0" w:line="240" w:lineRule="auto"/>
                    <w:rPr>
                      <w:rFonts w:ascii="Calibri" w:eastAsia="Times New Roman" w:hAnsi="Calibri" w:cs="Calibri"/>
                      <w:color w:val="000000"/>
                      <w:lang w:eastAsia="en-GB"/>
                    </w:rPr>
                  </w:pPr>
                  <w:proofErr w:type="gramStart"/>
                  <w:r w:rsidRPr="00640FD0">
                    <w:rPr>
                      <w:rFonts w:ascii="Calibri" w:eastAsia="Times New Roman" w:hAnsi="Calibri" w:cs="Calibri"/>
                      <w:color w:val="000000"/>
                      <w:lang w:eastAsia="en-GB"/>
                    </w:rPr>
                    <w:t>by</w:t>
                  </w:r>
                  <w:proofErr w:type="gramEnd"/>
                  <w:r w:rsidRPr="00640FD0">
                    <w:rPr>
                      <w:rFonts w:ascii="Calibri" w:eastAsia="Times New Roman" w:hAnsi="Calibri" w:cs="Calibri"/>
                      <w:color w:val="000000"/>
                      <w:lang w:eastAsia="en-GB"/>
                    </w:rPr>
                    <w:t xml:space="preserve"> rural and urban location in Francophone West Africa, 2014 (rounded %)</w:t>
                  </w:r>
                </w:p>
              </w:tc>
            </w:tr>
            <w:tr w:rsidR="00640FD0" w:rsidRPr="00640FD0" w14:paraId="7E23524F" w14:textId="77777777" w:rsidTr="00640FD0">
              <w:trPr>
                <w:trHeight w:val="288"/>
              </w:trPr>
              <w:tc>
                <w:tcPr>
                  <w:tcW w:w="2225" w:type="dxa"/>
                  <w:tcBorders>
                    <w:top w:val="single" w:sz="8" w:space="0" w:color="auto"/>
                    <w:left w:val="single" w:sz="8" w:space="0" w:color="auto"/>
                    <w:bottom w:val="nil"/>
                    <w:right w:val="nil"/>
                  </w:tcBorders>
                  <w:shd w:val="clear" w:color="000000" w:fill="EDEDED"/>
                  <w:noWrap/>
                  <w:vAlign w:val="bottom"/>
                  <w:hideMark/>
                </w:tcPr>
                <w:p w14:paraId="03D5FA42"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 </w:t>
                  </w:r>
                </w:p>
              </w:tc>
              <w:tc>
                <w:tcPr>
                  <w:tcW w:w="2483" w:type="dxa"/>
                  <w:gridSpan w:val="2"/>
                  <w:tcBorders>
                    <w:top w:val="single" w:sz="8" w:space="0" w:color="auto"/>
                    <w:left w:val="nil"/>
                    <w:bottom w:val="nil"/>
                    <w:right w:val="nil"/>
                  </w:tcBorders>
                  <w:shd w:val="clear" w:color="000000" w:fill="EDEDED"/>
                  <w:noWrap/>
                  <w:vAlign w:val="bottom"/>
                  <w:hideMark/>
                </w:tcPr>
                <w:p w14:paraId="42EE6F2F" w14:textId="77777777" w:rsidR="00640FD0" w:rsidRPr="00640FD0" w:rsidRDefault="00640FD0" w:rsidP="00640FD0">
                  <w:pPr>
                    <w:spacing w:after="0" w:line="240" w:lineRule="auto"/>
                    <w:ind w:firstLineChars="500" w:firstLine="1100"/>
                    <w:rPr>
                      <w:rFonts w:ascii="Calibri" w:eastAsia="Times New Roman" w:hAnsi="Calibri" w:cs="Calibri"/>
                      <w:color w:val="000000"/>
                      <w:lang w:eastAsia="en-GB"/>
                    </w:rPr>
                  </w:pPr>
                  <w:r w:rsidRPr="00640FD0">
                    <w:rPr>
                      <w:rFonts w:ascii="Calibri" w:eastAsia="Times New Roman" w:hAnsi="Calibri" w:cs="Calibri"/>
                      <w:color w:val="000000"/>
                      <w:lang w:eastAsia="en-GB"/>
                    </w:rPr>
                    <w:t>Rural</w:t>
                  </w:r>
                </w:p>
              </w:tc>
              <w:tc>
                <w:tcPr>
                  <w:tcW w:w="2170" w:type="dxa"/>
                  <w:gridSpan w:val="2"/>
                  <w:tcBorders>
                    <w:top w:val="single" w:sz="8" w:space="0" w:color="auto"/>
                    <w:left w:val="single" w:sz="4" w:space="0" w:color="auto"/>
                    <w:bottom w:val="nil"/>
                    <w:right w:val="single" w:sz="4" w:space="0" w:color="000000"/>
                  </w:tcBorders>
                  <w:shd w:val="clear" w:color="000000" w:fill="EDEDED"/>
                  <w:noWrap/>
                  <w:vAlign w:val="bottom"/>
                  <w:hideMark/>
                </w:tcPr>
                <w:p w14:paraId="502C3EEB" w14:textId="77777777" w:rsidR="00640FD0" w:rsidRPr="00640FD0" w:rsidRDefault="00640FD0" w:rsidP="00640FD0">
                  <w:pPr>
                    <w:spacing w:after="0" w:line="240" w:lineRule="auto"/>
                    <w:ind w:firstLineChars="400" w:firstLine="880"/>
                    <w:rPr>
                      <w:rFonts w:ascii="Calibri" w:eastAsia="Times New Roman" w:hAnsi="Calibri" w:cs="Calibri"/>
                      <w:color w:val="000000"/>
                      <w:lang w:eastAsia="en-GB"/>
                    </w:rPr>
                  </w:pPr>
                  <w:r w:rsidRPr="00640FD0">
                    <w:rPr>
                      <w:rFonts w:ascii="Calibri" w:eastAsia="Times New Roman" w:hAnsi="Calibri" w:cs="Calibri"/>
                      <w:color w:val="000000"/>
                      <w:lang w:eastAsia="en-GB"/>
                    </w:rPr>
                    <w:t>Urban</w:t>
                  </w:r>
                </w:p>
              </w:tc>
              <w:tc>
                <w:tcPr>
                  <w:tcW w:w="2375" w:type="dxa"/>
                  <w:gridSpan w:val="2"/>
                  <w:tcBorders>
                    <w:top w:val="single" w:sz="8" w:space="0" w:color="auto"/>
                    <w:left w:val="nil"/>
                    <w:bottom w:val="nil"/>
                    <w:right w:val="single" w:sz="8" w:space="0" w:color="000000"/>
                  </w:tcBorders>
                  <w:shd w:val="clear" w:color="000000" w:fill="EDEDED"/>
                  <w:noWrap/>
                  <w:vAlign w:val="bottom"/>
                  <w:hideMark/>
                </w:tcPr>
                <w:p w14:paraId="4C76A1A0" w14:textId="77777777" w:rsidR="00640FD0" w:rsidRPr="00640FD0" w:rsidRDefault="00640FD0" w:rsidP="00640FD0">
                  <w:pPr>
                    <w:spacing w:after="0" w:line="240" w:lineRule="auto"/>
                    <w:ind w:firstLineChars="400" w:firstLine="880"/>
                    <w:rPr>
                      <w:rFonts w:ascii="Calibri" w:eastAsia="Times New Roman" w:hAnsi="Calibri" w:cs="Calibri"/>
                      <w:color w:val="000000"/>
                      <w:lang w:eastAsia="en-GB"/>
                    </w:rPr>
                  </w:pPr>
                  <w:r w:rsidRPr="00640FD0">
                    <w:rPr>
                      <w:rFonts w:ascii="Calibri" w:eastAsia="Times New Roman" w:hAnsi="Calibri" w:cs="Calibri"/>
                      <w:color w:val="000000"/>
                      <w:lang w:eastAsia="en-GB"/>
                    </w:rPr>
                    <w:t>National</w:t>
                  </w:r>
                </w:p>
              </w:tc>
            </w:tr>
            <w:tr w:rsidR="00640FD0" w:rsidRPr="00640FD0" w14:paraId="64863F10" w14:textId="77777777" w:rsidTr="00640FD0">
              <w:trPr>
                <w:trHeight w:val="288"/>
              </w:trPr>
              <w:tc>
                <w:tcPr>
                  <w:tcW w:w="2225" w:type="dxa"/>
                  <w:tcBorders>
                    <w:top w:val="nil"/>
                    <w:left w:val="single" w:sz="8" w:space="0" w:color="auto"/>
                    <w:bottom w:val="nil"/>
                    <w:right w:val="nil"/>
                  </w:tcBorders>
                  <w:shd w:val="clear" w:color="000000" w:fill="EDEDED"/>
                  <w:noWrap/>
                  <w:vAlign w:val="bottom"/>
                  <w:hideMark/>
                </w:tcPr>
                <w:p w14:paraId="2C19A313"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Country</w:t>
                  </w:r>
                </w:p>
              </w:tc>
              <w:tc>
                <w:tcPr>
                  <w:tcW w:w="1315" w:type="dxa"/>
                  <w:tcBorders>
                    <w:top w:val="nil"/>
                    <w:left w:val="nil"/>
                    <w:bottom w:val="nil"/>
                    <w:right w:val="nil"/>
                  </w:tcBorders>
                  <w:shd w:val="clear" w:color="000000" w:fill="EDEDED"/>
                  <w:noWrap/>
                  <w:vAlign w:val="bottom"/>
                  <w:hideMark/>
                </w:tcPr>
                <w:p w14:paraId="6E91EBD6" w14:textId="77777777" w:rsidR="00640FD0" w:rsidRPr="00640FD0" w:rsidRDefault="00640FD0" w:rsidP="00640FD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Gd</w:t>
                  </w:r>
                  <w:r w:rsidRPr="00640FD0">
                    <w:rPr>
                      <w:rFonts w:ascii="Calibri" w:eastAsia="Times New Roman" w:hAnsi="Calibri" w:cs="Calibri"/>
                      <w:color w:val="000000"/>
                      <w:lang w:eastAsia="en-GB"/>
                    </w:rPr>
                    <w:t>2</w:t>
                  </w:r>
                </w:p>
              </w:tc>
              <w:tc>
                <w:tcPr>
                  <w:tcW w:w="1168" w:type="dxa"/>
                  <w:tcBorders>
                    <w:top w:val="nil"/>
                    <w:left w:val="nil"/>
                    <w:bottom w:val="nil"/>
                    <w:right w:val="nil"/>
                  </w:tcBorders>
                  <w:shd w:val="clear" w:color="000000" w:fill="EDEDED"/>
                  <w:noWrap/>
                  <w:vAlign w:val="bottom"/>
                  <w:hideMark/>
                </w:tcPr>
                <w:p w14:paraId="6F116C12"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Gd6</w:t>
                  </w:r>
                </w:p>
              </w:tc>
              <w:tc>
                <w:tcPr>
                  <w:tcW w:w="1149" w:type="dxa"/>
                  <w:tcBorders>
                    <w:top w:val="nil"/>
                    <w:left w:val="single" w:sz="4" w:space="0" w:color="auto"/>
                    <w:bottom w:val="nil"/>
                    <w:right w:val="nil"/>
                  </w:tcBorders>
                  <w:shd w:val="clear" w:color="000000" w:fill="EDEDED"/>
                  <w:noWrap/>
                  <w:vAlign w:val="bottom"/>
                  <w:hideMark/>
                </w:tcPr>
                <w:p w14:paraId="0A6BEE25" w14:textId="77777777" w:rsidR="00640FD0" w:rsidRPr="00640FD0" w:rsidRDefault="00640FD0" w:rsidP="00640FD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Gd</w:t>
                  </w:r>
                  <w:r w:rsidRPr="00640FD0">
                    <w:rPr>
                      <w:rFonts w:ascii="Calibri" w:eastAsia="Times New Roman" w:hAnsi="Calibri" w:cs="Calibri"/>
                      <w:color w:val="000000"/>
                      <w:lang w:eastAsia="en-GB"/>
                    </w:rPr>
                    <w:t>2</w:t>
                  </w:r>
                </w:p>
              </w:tc>
              <w:tc>
                <w:tcPr>
                  <w:tcW w:w="1021" w:type="dxa"/>
                  <w:tcBorders>
                    <w:top w:val="nil"/>
                    <w:left w:val="nil"/>
                    <w:bottom w:val="nil"/>
                    <w:right w:val="single" w:sz="4" w:space="0" w:color="auto"/>
                  </w:tcBorders>
                  <w:shd w:val="clear" w:color="000000" w:fill="EDEDED"/>
                  <w:noWrap/>
                  <w:vAlign w:val="bottom"/>
                  <w:hideMark/>
                </w:tcPr>
                <w:p w14:paraId="699BC1CD"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Gd6</w:t>
                  </w:r>
                </w:p>
              </w:tc>
              <w:tc>
                <w:tcPr>
                  <w:tcW w:w="1258" w:type="dxa"/>
                  <w:tcBorders>
                    <w:top w:val="nil"/>
                    <w:left w:val="nil"/>
                    <w:bottom w:val="nil"/>
                    <w:right w:val="nil"/>
                  </w:tcBorders>
                  <w:shd w:val="clear" w:color="000000" w:fill="EDEDED"/>
                  <w:noWrap/>
                  <w:vAlign w:val="bottom"/>
                  <w:hideMark/>
                </w:tcPr>
                <w:p w14:paraId="1766D6CD" w14:textId="77777777" w:rsidR="00640FD0" w:rsidRPr="00640FD0" w:rsidRDefault="00640FD0" w:rsidP="00640FD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Gd</w:t>
                  </w:r>
                  <w:r w:rsidRPr="00640FD0">
                    <w:rPr>
                      <w:rFonts w:ascii="Calibri" w:eastAsia="Times New Roman" w:hAnsi="Calibri" w:cs="Calibri"/>
                      <w:color w:val="000000"/>
                      <w:lang w:eastAsia="en-GB"/>
                    </w:rPr>
                    <w:t>2</w:t>
                  </w:r>
                </w:p>
              </w:tc>
              <w:tc>
                <w:tcPr>
                  <w:tcW w:w="1117" w:type="dxa"/>
                  <w:tcBorders>
                    <w:top w:val="nil"/>
                    <w:left w:val="nil"/>
                    <w:bottom w:val="nil"/>
                    <w:right w:val="single" w:sz="8" w:space="0" w:color="auto"/>
                  </w:tcBorders>
                  <w:shd w:val="clear" w:color="000000" w:fill="EDEDED"/>
                  <w:noWrap/>
                  <w:vAlign w:val="bottom"/>
                  <w:hideMark/>
                </w:tcPr>
                <w:p w14:paraId="5F4B3D94"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Gd6</w:t>
                  </w:r>
                </w:p>
              </w:tc>
            </w:tr>
            <w:tr w:rsidR="00640FD0" w:rsidRPr="00640FD0" w14:paraId="68641CA0" w14:textId="77777777" w:rsidTr="00640FD0">
              <w:trPr>
                <w:trHeight w:val="288"/>
              </w:trPr>
              <w:tc>
                <w:tcPr>
                  <w:tcW w:w="2225" w:type="dxa"/>
                  <w:tcBorders>
                    <w:top w:val="single" w:sz="4" w:space="0" w:color="auto"/>
                    <w:left w:val="single" w:sz="8" w:space="0" w:color="auto"/>
                    <w:bottom w:val="nil"/>
                    <w:right w:val="nil"/>
                  </w:tcBorders>
                  <w:shd w:val="clear" w:color="000000" w:fill="DDEBF7"/>
                  <w:noWrap/>
                  <w:vAlign w:val="bottom"/>
                  <w:hideMark/>
                </w:tcPr>
                <w:p w14:paraId="0D2E4306"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Benin</w:t>
                  </w:r>
                </w:p>
              </w:tc>
              <w:tc>
                <w:tcPr>
                  <w:tcW w:w="1315" w:type="dxa"/>
                  <w:tcBorders>
                    <w:top w:val="single" w:sz="4" w:space="0" w:color="auto"/>
                    <w:left w:val="nil"/>
                    <w:bottom w:val="nil"/>
                    <w:right w:val="nil"/>
                  </w:tcBorders>
                  <w:shd w:val="clear" w:color="000000" w:fill="DDEBF7"/>
                  <w:noWrap/>
                  <w:vAlign w:val="bottom"/>
                  <w:hideMark/>
                </w:tcPr>
                <w:p w14:paraId="42CDFA79"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6</w:t>
                  </w:r>
                </w:p>
              </w:tc>
              <w:tc>
                <w:tcPr>
                  <w:tcW w:w="1168" w:type="dxa"/>
                  <w:tcBorders>
                    <w:top w:val="single" w:sz="4" w:space="0" w:color="auto"/>
                    <w:left w:val="nil"/>
                    <w:bottom w:val="nil"/>
                    <w:right w:val="nil"/>
                  </w:tcBorders>
                  <w:shd w:val="clear" w:color="000000" w:fill="DDEBF7"/>
                  <w:noWrap/>
                  <w:vAlign w:val="bottom"/>
                  <w:hideMark/>
                </w:tcPr>
                <w:p w14:paraId="730EBDC2"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5</w:t>
                  </w:r>
                </w:p>
              </w:tc>
              <w:tc>
                <w:tcPr>
                  <w:tcW w:w="1149" w:type="dxa"/>
                  <w:tcBorders>
                    <w:top w:val="single" w:sz="4" w:space="0" w:color="auto"/>
                    <w:left w:val="single" w:sz="4" w:space="0" w:color="auto"/>
                    <w:bottom w:val="nil"/>
                    <w:right w:val="nil"/>
                  </w:tcBorders>
                  <w:shd w:val="clear" w:color="000000" w:fill="DDEBF7"/>
                  <w:noWrap/>
                  <w:vAlign w:val="bottom"/>
                  <w:hideMark/>
                </w:tcPr>
                <w:p w14:paraId="1792B876"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23</w:t>
                  </w:r>
                </w:p>
              </w:tc>
              <w:tc>
                <w:tcPr>
                  <w:tcW w:w="1021" w:type="dxa"/>
                  <w:tcBorders>
                    <w:top w:val="single" w:sz="4" w:space="0" w:color="auto"/>
                    <w:left w:val="nil"/>
                    <w:bottom w:val="nil"/>
                    <w:right w:val="single" w:sz="4" w:space="0" w:color="auto"/>
                  </w:tcBorders>
                  <w:shd w:val="clear" w:color="000000" w:fill="DDEBF7"/>
                  <w:noWrap/>
                  <w:vAlign w:val="bottom"/>
                  <w:hideMark/>
                </w:tcPr>
                <w:p w14:paraId="72BB3971"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19</w:t>
                  </w:r>
                </w:p>
              </w:tc>
              <w:tc>
                <w:tcPr>
                  <w:tcW w:w="1258" w:type="dxa"/>
                  <w:tcBorders>
                    <w:top w:val="single" w:sz="4" w:space="0" w:color="auto"/>
                    <w:left w:val="nil"/>
                    <w:bottom w:val="nil"/>
                    <w:right w:val="nil"/>
                  </w:tcBorders>
                  <w:shd w:val="clear" w:color="000000" w:fill="DDEBF7"/>
                  <w:noWrap/>
                  <w:vAlign w:val="bottom"/>
                  <w:hideMark/>
                </w:tcPr>
                <w:p w14:paraId="13979532"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17</w:t>
                  </w:r>
                </w:p>
              </w:tc>
              <w:tc>
                <w:tcPr>
                  <w:tcW w:w="1117" w:type="dxa"/>
                  <w:tcBorders>
                    <w:top w:val="single" w:sz="4" w:space="0" w:color="auto"/>
                    <w:left w:val="nil"/>
                    <w:bottom w:val="nil"/>
                    <w:right w:val="single" w:sz="8" w:space="0" w:color="auto"/>
                  </w:tcBorders>
                  <w:shd w:val="clear" w:color="000000" w:fill="DDEBF7"/>
                  <w:noWrap/>
                  <w:vAlign w:val="bottom"/>
                  <w:hideMark/>
                </w:tcPr>
                <w:p w14:paraId="39435D6E"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10</w:t>
                  </w:r>
                </w:p>
              </w:tc>
            </w:tr>
            <w:tr w:rsidR="00640FD0" w:rsidRPr="00640FD0" w14:paraId="54BE1336" w14:textId="77777777" w:rsidTr="00640FD0">
              <w:trPr>
                <w:trHeight w:val="288"/>
              </w:trPr>
              <w:tc>
                <w:tcPr>
                  <w:tcW w:w="2225" w:type="dxa"/>
                  <w:tcBorders>
                    <w:top w:val="nil"/>
                    <w:left w:val="single" w:sz="8" w:space="0" w:color="auto"/>
                    <w:bottom w:val="nil"/>
                    <w:right w:val="nil"/>
                  </w:tcBorders>
                  <w:shd w:val="clear" w:color="000000" w:fill="DDEBF7"/>
                  <w:noWrap/>
                  <w:vAlign w:val="bottom"/>
                  <w:hideMark/>
                </w:tcPr>
                <w:p w14:paraId="63AB13E5"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Burkina Faso</w:t>
                  </w:r>
                </w:p>
              </w:tc>
              <w:tc>
                <w:tcPr>
                  <w:tcW w:w="1315" w:type="dxa"/>
                  <w:tcBorders>
                    <w:top w:val="nil"/>
                    <w:left w:val="nil"/>
                    <w:bottom w:val="nil"/>
                    <w:right w:val="nil"/>
                  </w:tcBorders>
                  <w:shd w:val="clear" w:color="000000" w:fill="DDEBF7"/>
                  <w:noWrap/>
                  <w:vAlign w:val="bottom"/>
                  <w:hideMark/>
                </w:tcPr>
                <w:p w14:paraId="35271601"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0</w:t>
                  </w:r>
                </w:p>
              </w:tc>
              <w:tc>
                <w:tcPr>
                  <w:tcW w:w="1168" w:type="dxa"/>
                  <w:tcBorders>
                    <w:top w:val="nil"/>
                    <w:left w:val="nil"/>
                    <w:bottom w:val="nil"/>
                    <w:right w:val="nil"/>
                  </w:tcBorders>
                  <w:shd w:val="clear" w:color="000000" w:fill="DDEBF7"/>
                  <w:noWrap/>
                  <w:vAlign w:val="bottom"/>
                  <w:hideMark/>
                </w:tcPr>
                <w:p w14:paraId="3783E7BA"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3</w:t>
                  </w:r>
                </w:p>
              </w:tc>
              <w:tc>
                <w:tcPr>
                  <w:tcW w:w="1149" w:type="dxa"/>
                  <w:tcBorders>
                    <w:top w:val="nil"/>
                    <w:left w:val="single" w:sz="4" w:space="0" w:color="auto"/>
                    <w:bottom w:val="nil"/>
                    <w:right w:val="nil"/>
                  </w:tcBorders>
                  <w:shd w:val="clear" w:color="000000" w:fill="DDEBF7"/>
                  <w:noWrap/>
                  <w:vAlign w:val="bottom"/>
                  <w:hideMark/>
                </w:tcPr>
                <w:p w14:paraId="5A5D895C"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20</w:t>
                  </w:r>
                </w:p>
              </w:tc>
              <w:tc>
                <w:tcPr>
                  <w:tcW w:w="1021" w:type="dxa"/>
                  <w:tcBorders>
                    <w:top w:val="nil"/>
                    <w:left w:val="nil"/>
                    <w:bottom w:val="nil"/>
                    <w:right w:val="single" w:sz="4" w:space="0" w:color="auto"/>
                  </w:tcBorders>
                  <w:shd w:val="clear" w:color="000000" w:fill="DDEBF7"/>
                  <w:noWrap/>
                  <w:vAlign w:val="bottom"/>
                  <w:hideMark/>
                </w:tcPr>
                <w:p w14:paraId="516B7081"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20</w:t>
                  </w:r>
                </w:p>
              </w:tc>
              <w:tc>
                <w:tcPr>
                  <w:tcW w:w="1258" w:type="dxa"/>
                  <w:tcBorders>
                    <w:top w:val="nil"/>
                    <w:left w:val="nil"/>
                    <w:bottom w:val="nil"/>
                    <w:right w:val="nil"/>
                  </w:tcBorders>
                  <w:shd w:val="clear" w:color="000000" w:fill="DDEBF7"/>
                  <w:noWrap/>
                  <w:vAlign w:val="bottom"/>
                  <w:hideMark/>
                </w:tcPr>
                <w:p w14:paraId="21C7D5CA"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9</w:t>
                  </w:r>
                </w:p>
              </w:tc>
              <w:tc>
                <w:tcPr>
                  <w:tcW w:w="1117" w:type="dxa"/>
                  <w:tcBorders>
                    <w:top w:val="nil"/>
                    <w:left w:val="nil"/>
                    <w:bottom w:val="nil"/>
                    <w:right w:val="single" w:sz="8" w:space="0" w:color="auto"/>
                  </w:tcBorders>
                  <w:shd w:val="clear" w:color="000000" w:fill="DDEBF7"/>
                  <w:noWrap/>
                  <w:vAlign w:val="bottom"/>
                  <w:hideMark/>
                </w:tcPr>
                <w:p w14:paraId="0A616075"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12</w:t>
                  </w:r>
                </w:p>
              </w:tc>
            </w:tr>
            <w:tr w:rsidR="00640FD0" w:rsidRPr="00640FD0" w14:paraId="1E041EF0" w14:textId="77777777" w:rsidTr="00640FD0">
              <w:trPr>
                <w:trHeight w:val="288"/>
              </w:trPr>
              <w:tc>
                <w:tcPr>
                  <w:tcW w:w="2225" w:type="dxa"/>
                  <w:tcBorders>
                    <w:top w:val="nil"/>
                    <w:left w:val="single" w:sz="8" w:space="0" w:color="auto"/>
                    <w:bottom w:val="nil"/>
                    <w:right w:val="nil"/>
                  </w:tcBorders>
                  <w:shd w:val="clear" w:color="000000" w:fill="DDEBF7"/>
                  <w:noWrap/>
                  <w:vAlign w:val="bottom"/>
                  <w:hideMark/>
                </w:tcPr>
                <w:p w14:paraId="1AF3ECFD"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Cameroon</w:t>
                  </w:r>
                </w:p>
              </w:tc>
              <w:tc>
                <w:tcPr>
                  <w:tcW w:w="1315" w:type="dxa"/>
                  <w:tcBorders>
                    <w:top w:val="nil"/>
                    <w:left w:val="nil"/>
                    <w:bottom w:val="nil"/>
                    <w:right w:val="nil"/>
                  </w:tcBorders>
                  <w:shd w:val="clear" w:color="000000" w:fill="DDEBF7"/>
                  <w:noWrap/>
                  <w:vAlign w:val="bottom"/>
                  <w:hideMark/>
                </w:tcPr>
                <w:p w14:paraId="1AD76EBE"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5</w:t>
                  </w:r>
                </w:p>
              </w:tc>
              <w:tc>
                <w:tcPr>
                  <w:tcW w:w="1168" w:type="dxa"/>
                  <w:tcBorders>
                    <w:top w:val="nil"/>
                    <w:left w:val="nil"/>
                    <w:bottom w:val="nil"/>
                    <w:right w:val="nil"/>
                  </w:tcBorders>
                  <w:shd w:val="clear" w:color="000000" w:fill="DDEBF7"/>
                  <w:noWrap/>
                  <w:vAlign w:val="bottom"/>
                  <w:hideMark/>
                </w:tcPr>
                <w:p w14:paraId="55C037C7"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5</w:t>
                  </w:r>
                </w:p>
              </w:tc>
              <w:tc>
                <w:tcPr>
                  <w:tcW w:w="1149" w:type="dxa"/>
                  <w:tcBorders>
                    <w:top w:val="nil"/>
                    <w:left w:val="single" w:sz="4" w:space="0" w:color="auto"/>
                    <w:bottom w:val="nil"/>
                    <w:right w:val="nil"/>
                  </w:tcBorders>
                  <w:shd w:val="clear" w:color="000000" w:fill="DDEBF7"/>
                  <w:noWrap/>
                  <w:vAlign w:val="bottom"/>
                  <w:hideMark/>
                </w:tcPr>
                <w:p w14:paraId="4A28B571"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24</w:t>
                  </w:r>
                </w:p>
              </w:tc>
              <w:tc>
                <w:tcPr>
                  <w:tcW w:w="1021" w:type="dxa"/>
                  <w:tcBorders>
                    <w:top w:val="nil"/>
                    <w:left w:val="nil"/>
                    <w:bottom w:val="nil"/>
                    <w:right w:val="single" w:sz="4" w:space="0" w:color="auto"/>
                  </w:tcBorders>
                  <w:shd w:val="clear" w:color="000000" w:fill="DDEBF7"/>
                  <w:noWrap/>
                  <w:vAlign w:val="bottom"/>
                  <w:hideMark/>
                </w:tcPr>
                <w:p w14:paraId="16C59C53"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31</w:t>
                  </w:r>
                </w:p>
              </w:tc>
              <w:tc>
                <w:tcPr>
                  <w:tcW w:w="1258" w:type="dxa"/>
                  <w:tcBorders>
                    <w:top w:val="nil"/>
                    <w:left w:val="nil"/>
                    <w:bottom w:val="nil"/>
                    <w:right w:val="nil"/>
                  </w:tcBorders>
                  <w:shd w:val="clear" w:color="000000" w:fill="DDEBF7"/>
                  <w:noWrap/>
                  <w:vAlign w:val="bottom"/>
                  <w:hideMark/>
                </w:tcPr>
                <w:p w14:paraId="360AE1B0"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11</w:t>
                  </w:r>
                </w:p>
              </w:tc>
              <w:tc>
                <w:tcPr>
                  <w:tcW w:w="1117" w:type="dxa"/>
                  <w:tcBorders>
                    <w:top w:val="nil"/>
                    <w:left w:val="nil"/>
                    <w:bottom w:val="nil"/>
                    <w:right w:val="single" w:sz="8" w:space="0" w:color="auto"/>
                  </w:tcBorders>
                  <w:shd w:val="clear" w:color="000000" w:fill="DDEBF7"/>
                  <w:noWrap/>
                  <w:vAlign w:val="bottom"/>
                  <w:hideMark/>
                </w:tcPr>
                <w:p w14:paraId="5A80E5FE"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11</w:t>
                  </w:r>
                </w:p>
              </w:tc>
            </w:tr>
            <w:tr w:rsidR="00640FD0" w:rsidRPr="00640FD0" w14:paraId="16AFB1C3" w14:textId="77777777" w:rsidTr="00640FD0">
              <w:trPr>
                <w:trHeight w:val="288"/>
              </w:trPr>
              <w:tc>
                <w:tcPr>
                  <w:tcW w:w="2225" w:type="dxa"/>
                  <w:tcBorders>
                    <w:top w:val="nil"/>
                    <w:left w:val="single" w:sz="8" w:space="0" w:color="auto"/>
                    <w:bottom w:val="nil"/>
                    <w:right w:val="nil"/>
                  </w:tcBorders>
                  <w:shd w:val="clear" w:color="000000" w:fill="DDEBF7"/>
                  <w:noWrap/>
                  <w:vAlign w:val="bottom"/>
                  <w:hideMark/>
                </w:tcPr>
                <w:p w14:paraId="1F23929D"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Congo</w:t>
                  </w:r>
                </w:p>
              </w:tc>
              <w:tc>
                <w:tcPr>
                  <w:tcW w:w="1315" w:type="dxa"/>
                  <w:tcBorders>
                    <w:top w:val="nil"/>
                    <w:left w:val="nil"/>
                    <w:bottom w:val="nil"/>
                    <w:right w:val="nil"/>
                  </w:tcBorders>
                  <w:shd w:val="clear" w:color="000000" w:fill="DDEBF7"/>
                  <w:noWrap/>
                  <w:vAlign w:val="bottom"/>
                  <w:hideMark/>
                </w:tcPr>
                <w:p w14:paraId="32BC5811"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3</w:t>
                  </w:r>
                </w:p>
              </w:tc>
              <w:tc>
                <w:tcPr>
                  <w:tcW w:w="1168" w:type="dxa"/>
                  <w:tcBorders>
                    <w:top w:val="nil"/>
                    <w:left w:val="nil"/>
                    <w:bottom w:val="nil"/>
                    <w:right w:val="nil"/>
                  </w:tcBorders>
                  <w:shd w:val="clear" w:color="000000" w:fill="DDEBF7"/>
                  <w:noWrap/>
                  <w:vAlign w:val="bottom"/>
                  <w:hideMark/>
                </w:tcPr>
                <w:p w14:paraId="7E8B6581"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3</w:t>
                  </w:r>
                </w:p>
              </w:tc>
              <w:tc>
                <w:tcPr>
                  <w:tcW w:w="1149" w:type="dxa"/>
                  <w:tcBorders>
                    <w:top w:val="nil"/>
                    <w:left w:val="single" w:sz="4" w:space="0" w:color="auto"/>
                    <w:bottom w:val="nil"/>
                    <w:right w:val="nil"/>
                  </w:tcBorders>
                  <w:shd w:val="clear" w:color="000000" w:fill="DDEBF7"/>
                  <w:noWrap/>
                  <w:vAlign w:val="bottom"/>
                  <w:hideMark/>
                </w:tcPr>
                <w:p w14:paraId="44C20431"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4</w:t>
                  </w:r>
                </w:p>
              </w:tc>
              <w:tc>
                <w:tcPr>
                  <w:tcW w:w="1021" w:type="dxa"/>
                  <w:tcBorders>
                    <w:top w:val="nil"/>
                    <w:left w:val="nil"/>
                    <w:bottom w:val="nil"/>
                    <w:right w:val="single" w:sz="4" w:space="0" w:color="auto"/>
                  </w:tcBorders>
                  <w:shd w:val="clear" w:color="000000" w:fill="DDEBF7"/>
                  <w:noWrap/>
                  <w:vAlign w:val="bottom"/>
                  <w:hideMark/>
                </w:tcPr>
                <w:p w14:paraId="6227AF3B"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25</w:t>
                  </w:r>
                </w:p>
              </w:tc>
              <w:tc>
                <w:tcPr>
                  <w:tcW w:w="1258" w:type="dxa"/>
                  <w:tcBorders>
                    <w:top w:val="nil"/>
                    <w:left w:val="nil"/>
                    <w:bottom w:val="nil"/>
                    <w:right w:val="nil"/>
                  </w:tcBorders>
                  <w:shd w:val="clear" w:color="000000" w:fill="DDEBF7"/>
                  <w:noWrap/>
                  <w:vAlign w:val="bottom"/>
                  <w:hideMark/>
                </w:tcPr>
                <w:p w14:paraId="277A45B3"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5</w:t>
                  </w:r>
                </w:p>
              </w:tc>
              <w:tc>
                <w:tcPr>
                  <w:tcW w:w="1117" w:type="dxa"/>
                  <w:tcBorders>
                    <w:top w:val="nil"/>
                    <w:left w:val="nil"/>
                    <w:bottom w:val="nil"/>
                    <w:right w:val="single" w:sz="8" w:space="0" w:color="auto"/>
                  </w:tcBorders>
                  <w:shd w:val="clear" w:color="000000" w:fill="DDEBF7"/>
                  <w:noWrap/>
                  <w:vAlign w:val="bottom"/>
                  <w:hideMark/>
                </w:tcPr>
                <w:p w14:paraId="18D0A0A6"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13</w:t>
                  </w:r>
                </w:p>
              </w:tc>
            </w:tr>
            <w:tr w:rsidR="00640FD0" w:rsidRPr="00640FD0" w14:paraId="29C3DE8E" w14:textId="77777777" w:rsidTr="00640FD0">
              <w:trPr>
                <w:trHeight w:val="288"/>
              </w:trPr>
              <w:tc>
                <w:tcPr>
                  <w:tcW w:w="2225" w:type="dxa"/>
                  <w:tcBorders>
                    <w:top w:val="nil"/>
                    <w:left w:val="single" w:sz="8" w:space="0" w:color="auto"/>
                    <w:bottom w:val="nil"/>
                    <w:right w:val="nil"/>
                  </w:tcBorders>
                  <w:shd w:val="clear" w:color="000000" w:fill="DDEBF7"/>
                  <w:noWrap/>
                  <w:vAlign w:val="bottom"/>
                  <w:hideMark/>
                </w:tcPr>
                <w:p w14:paraId="6D4334D1"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Cote d'Ivoire</w:t>
                  </w:r>
                </w:p>
              </w:tc>
              <w:tc>
                <w:tcPr>
                  <w:tcW w:w="1315" w:type="dxa"/>
                  <w:tcBorders>
                    <w:top w:val="nil"/>
                    <w:left w:val="nil"/>
                    <w:bottom w:val="nil"/>
                    <w:right w:val="nil"/>
                  </w:tcBorders>
                  <w:shd w:val="clear" w:color="000000" w:fill="DDEBF7"/>
                  <w:noWrap/>
                  <w:vAlign w:val="bottom"/>
                  <w:hideMark/>
                </w:tcPr>
                <w:p w14:paraId="464E31DB"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4</w:t>
                  </w:r>
                </w:p>
              </w:tc>
              <w:tc>
                <w:tcPr>
                  <w:tcW w:w="1168" w:type="dxa"/>
                  <w:tcBorders>
                    <w:top w:val="nil"/>
                    <w:left w:val="nil"/>
                    <w:bottom w:val="nil"/>
                    <w:right w:val="nil"/>
                  </w:tcBorders>
                  <w:shd w:val="clear" w:color="000000" w:fill="DDEBF7"/>
                  <w:noWrap/>
                  <w:vAlign w:val="bottom"/>
                  <w:hideMark/>
                </w:tcPr>
                <w:p w14:paraId="40DB892F" w14:textId="77777777" w:rsidR="00640FD0" w:rsidRPr="00640FD0" w:rsidRDefault="00640FD0" w:rsidP="00640FD0">
                  <w:pPr>
                    <w:spacing w:after="0" w:line="240" w:lineRule="auto"/>
                    <w:jc w:val="center"/>
                    <w:rPr>
                      <w:rFonts w:ascii="Calibri" w:eastAsia="Times New Roman" w:hAnsi="Calibri" w:cs="Calibri"/>
                      <w:color w:val="000000"/>
                      <w:lang w:eastAsia="en-GB"/>
                    </w:rPr>
                  </w:pPr>
                  <w:proofErr w:type="spellStart"/>
                  <w:r w:rsidRPr="00640FD0">
                    <w:rPr>
                      <w:rFonts w:ascii="Calibri" w:eastAsia="Times New Roman" w:hAnsi="Calibri" w:cs="Calibri"/>
                      <w:color w:val="000000"/>
                      <w:lang w:eastAsia="en-GB"/>
                    </w:rPr>
                    <w:t>na</w:t>
                  </w:r>
                  <w:proofErr w:type="spellEnd"/>
                </w:p>
              </w:tc>
              <w:tc>
                <w:tcPr>
                  <w:tcW w:w="1149" w:type="dxa"/>
                  <w:tcBorders>
                    <w:top w:val="nil"/>
                    <w:left w:val="single" w:sz="4" w:space="0" w:color="auto"/>
                    <w:bottom w:val="nil"/>
                    <w:right w:val="nil"/>
                  </w:tcBorders>
                  <w:shd w:val="clear" w:color="000000" w:fill="DDEBF7"/>
                  <w:noWrap/>
                  <w:vAlign w:val="bottom"/>
                  <w:hideMark/>
                </w:tcPr>
                <w:p w14:paraId="412A95C2"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13</w:t>
                  </w:r>
                </w:p>
              </w:tc>
              <w:tc>
                <w:tcPr>
                  <w:tcW w:w="1021" w:type="dxa"/>
                  <w:tcBorders>
                    <w:top w:val="nil"/>
                    <w:left w:val="nil"/>
                    <w:bottom w:val="nil"/>
                    <w:right w:val="single" w:sz="4" w:space="0" w:color="auto"/>
                  </w:tcBorders>
                  <w:shd w:val="clear" w:color="000000" w:fill="DDEBF7"/>
                  <w:noWrap/>
                  <w:vAlign w:val="bottom"/>
                  <w:hideMark/>
                </w:tcPr>
                <w:p w14:paraId="19C00A79"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14</w:t>
                  </w:r>
                </w:p>
              </w:tc>
              <w:tc>
                <w:tcPr>
                  <w:tcW w:w="1258" w:type="dxa"/>
                  <w:tcBorders>
                    <w:top w:val="nil"/>
                    <w:left w:val="nil"/>
                    <w:bottom w:val="nil"/>
                    <w:right w:val="nil"/>
                  </w:tcBorders>
                  <w:shd w:val="clear" w:color="000000" w:fill="DDEBF7"/>
                  <w:noWrap/>
                  <w:vAlign w:val="bottom"/>
                  <w:hideMark/>
                </w:tcPr>
                <w:p w14:paraId="775E7302"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10</w:t>
                  </w:r>
                </w:p>
              </w:tc>
              <w:tc>
                <w:tcPr>
                  <w:tcW w:w="1117" w:type="dxa"/>
                  <w:tcBorders>
                    <w:top w:val="nil"/>
                    <w:left w:val="nil"/>
                    <w:bottom w:val="nil"/>
                    <w:right w:val="single" w:sz="8" w:space="0" w:color="auto"/>
                  </w:tcBorders>
                  <w:shd w:val="clear" w:color="000000" w:fill="DDEBF7"/>
                  <w:noWrap/>
                  <w:vAlign w:val="bottom"/>
                  <w:hideMark/>
                </w:tcPr>
                <w:p w14:paraId="7D6F169F" w14:textId="77777777" w:rsidR="00640FD0" w:rsidRPr="00640FD0" w:rsidRDefault="00640FD0" w:rsidP="00640FD0">
                  <w:pPr>
                    <w:spacing w:after="0" w:line="240" w:lineRule="auto"/>
                    <w:jc w:val="center"/>
                    <w:rPr>
                      <w:rFonts w:ascii="Calibri" w:eastAsia="Times New Roman" w:hAnsi="Calibri" w:cs="Calibri"/>
                      <w:color w:val="000000"/>
                      <w:lang w:eastAsia="en-GB"/>
                    </w:rPr>
                  </w:pPr>
                  <w:proofErr w:type="spellStart"/>
                  <w:r w:rsidRPr="00640FD0">
                    <w:rPr>
                      <w:rFonts w:ascii="Calibri" w:eastAsia="Times New Roman" w:hAnsi="Calibri" w:cs="Calibri"/>
                      <w:color w:val="000000"/>
                      <w:lang w:eastAsia="en-GB"/>
                    </w:rPr>
                    <w:t>na</w:t>
                  </w:r>
                  <w:proofErr w:type="spellEnd"/>
                </w:p>
              </w:tc>
            </w:tr>
            <w:tr w:rsidR="00640FD0" w:rsidRPr="00640FD0" w14:paraId="1B3FB3BA" w14:textId="77777777" w:rsidTr="00640FD0">
              <w:trPr>
                <w:trHeight w:val="288"/>
              </w:trPr>
              <w:tc>
                <w:tcPr>
                  <w:tcW w:w="2225" w:type="dxa"/>
                  <w:tcBorders>
                    <w:top w:val="nil"/>
                    <w:left w:val="single" w:sz="8" w:space="0" w:color="auto"/>
                    <w:bottom w:val="nil"/>
                    <w:right w:val="nil"/>
                  </w:tcBorders>
                  <w:shd w:val="clear" w:color="000000" w:fill="DDEBF7"/>
                  <w:noWrap/>
                  <w:vAlign w:val="bottom"/>
                  <w:hideMark/>
                </w:tcPr>
                <w:p w14:paraId="5A3DACC0"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Niger</w:t>
                  </w:r>
                </w:p>
              </w:tc>
              <w:tc>
                <w:tcPr>
                  <w:tcW w:w="1315" w:type="dxa"/>
                  <w:tcBorders>
                    <w:top w:val="nil"/>
                    <w:left w:val="nil"/>
                    <w:bottom w:val="nil"/>
                    <w:right w:val="nil"/>
                  </w:tcBorders>
                  <w:shd w:val="clear" w:color="000000" w:fill="DDEBF7"/>
                  <w:noWrap/>
                  <w:vAlign w:val="bottom"/>
                  <w:hideMark/>
                </w:tcPr>
                <w:p w14:paraId="0B192050"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0</w:t>
                  </w:r>
                </w:p>
              </w:tc>
              <w:tc>
                <w:tcPr>
                  <w:tcW w:w="1168" w:type="dxa"/>
                  <w:tcBorders>
                    <w:top w:val="nil"/>
                    <w:left w:val="nil"/>
                    <w:bottom w:val="nil"/>
                    <w:right w:val="nil"/>
                  </w:tcBorders>
                  <w:shd w:val="clear" w:color="000000" w:fill="DDEBF7"/>
                  <w:noWrap/>
                  <w:vAlign w:val="bottom"/>
                  <w:hideMark/>
                </w:tcPr>
                <w:p w14:paraId="5DF95961"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5</w:t>
                  </w:r>
                </w:p>
              </w:tc>
              <w:tc>
                <w:tcPr>
                  <w:tcW w:w="1149" w:type="dxa"/>
                  <w:tcBorders>
                    <w:top w:val="nil"/>
                    <w:left w:val="single" w:sz="4" w:space="0" w:color="auto"/>
                    <w:bottom w:val="nil"/>
                    <w:right w:val="nil"/>
                  </w:tcBorders>
                  <w:shd w:val="clear" w:color="000000" w:fill="DDEBF7"/>
                  <w:noWrap/>
                  <w:vAlign w:val="bottom"/>
                  <w:hideMark/>
                </w:tcPr>
                <w:p w14:paraId="41E6C08B"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7</w:t>
                  </w:r>
                </w:p>
              </w:tc>
              <w:tc>
                <w:tcPr>
                  <w:tcW w:w="1021" w:type="dxa"/>
                  <w:tcBorders>
                    <w:top w:val="nil"/>
                    <w:left w:val="nil"/>
                    <w:bottom w:val="nil"/>
                    <w:right w:val="single" w:sz="4" w:space="0" w:color="auto"/>
                  </w:tcBorders>
                  <w:shd w:val="clear" w:color="000000" w:fill="DDEBF7"/>
                  <w:noWrap/>
                  <w:vAlign w:val="bottom"/>
                  <w:hideMark/>
                </w:tcPr>
                <w:p w14:paraId="4C757A53"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21</w:t>
                  </w:r>
                </w:p>
              </w:tc>
              <w:tc>
                <w:tcPr>
                  <w:tcW w:w="1258" w:type="dxa"/>
                  <w:tcBorders>
                    <w:top w:val="nil"/>
                    <w:left w:val="nil"/>
                    <w:bottom w:val="nil"/>
                    <w:right w:val="nil"/>
                  </w:tcBorders>
                  <w:shd w:val="clear" w:color="000000" w:fill="DDEBF7"/>
                  <w:noWrap/>
                  <w:vAlign w:val="bottom"/>
                  <w:hideMark/>
                </w:tcPr>
                <w:p w14:paraId="51E29639"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w:t>
                  </w:r>
                </w:p>
              </w:tc>
              <w:tc>
                <w:tcPr>
                  <w:tcW w:w="1117" w:type="dxa"/>
                  <w:tcBorders>
                    <w:top w:val="nil"/>
                    <w:left w:val="nil"/>
                    <w:bottom w:val="nil"/>
                    <w:right w:val="single" w:sz="8" w:space="0" w:color="auto"/>
                  </w:tcBorders>
                  <w:shd w:val="clear" w:color="000000" w:fill="DDEBF7"/>
                  <w:noWrap/>
                  <w:vAlign w:val="bottom"/>
                  <w:hideMark/>
                </w:tcPr>
                <w:p w14:paraId="7CA9DAE6"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7</w:t>
                  </w:r>
                </w:p>
              </w:tc>
            </w:tr>
            <w:tr w:rsidR="00640FD0" w:rsidRPr="00640FD0" w14:paraId="0A75D799" w14:textId="77777777" w:rsidTr="00640FD0">
              <w:trPr>
                <w:trHeight w:val="288"/>
              </w:trPr>
              <w:tc>
                <w:tcPr>
                  <w:tcW w:w="2225" w:type="dxa"/>
                  <w:tcBorders>
                    <w:top w:val="nil"/>
                    <w:left w:val="single" w:sz="8" w:space="0" w:color="auto"/>
                    <w:bottom w:val="nil"/>
                    <w:right w:val="nil"/>
                  </w:tcBorders>
                  <w:shd w:val="clear" w:color="000000" w:fill="DDEBF7"/>
                  <w:noWrap/>
                  <w:vAlign w:val="bottom"/>
                  <w:hideMark/>
                </w:tcPr>
                <w:p w14:paraId="75DE97F2"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Senegal</w:t>
                  </w:r>
                </w:p>
              </w:tc>
              <w:tc>
                <w:tcPr>
                  <w:tcW w:w="1315" w:type="dxa"/>
                  <w:tcBorders>
                    <w:top w:val="nil"/>
                    <w:left w:val="nil"/>
                    <w:bottom w:val="nil"/>
                    <w:right w:val="nil"/>
                  </w:tcBorders>
                  <w:shd w:val="clear" w:color="000000" w:fill="DDEBF7"/>
                  <w:noWrap/>
                  <w:vAlign w:val="bottom"/>
                  <w:hideMark/>
                </w:tcPr>
                <w:p w14:paraId="777813A6"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0</w:t>
                  </w:r>
                </w:p>
              </w:tc>
              <w:tc>
                <w:tcPr>
                  <w:tcW w:w="1168" w:type="dxa"/>
                  <w:tcBorders>
                    <w:top w:val="nil"/>
                    <w:left w:val="nil"/>
                    <w:bottom w:val="nil"/>
                    <w:right w:val="nil"/>
                  </w:tcBorders>
                  <w:shd w:val="clear" w:color="000000" w:fill="DDEBF7"/>
                  <w:noWrap/>
                  <w:vAlign w:val="bottom"/>
                  <w:hideMark/>
                </w:tcPr>
                <w:p w14:paraId="5496C782"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5</w:t>
                  </w:r>
                </w:p>
              </w:tc>
              <w:tc>
                <w:tcPr>
                  <w:tcW w:w="1149" w:type="dxa"/>
                  <w:tcBorders>
                    <w:top w:val="nil"/>
                    <w:left w:val="single" w:sz="4" w:space="0" w:color="auto"/>
                    <w:bottom w:val="nil"/>
                    <w:right w:val="nil"/>
                  </w:tcBorders>
                  <w:shd w:val="clear" w:color="000000" w:fill="DDEBF7"/>
                  <w:noWrap/>
                  <w:vAlign w:val="bottom"/>
                  <w:hideMark/>
                </w:tcPr>
                <w:p w14:paraId="377097F9"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5</w:t>
                  </w:r>
                </w:p>
              </w:tc>
              <w:tc>
                <w:tcPr>
                  <w:tcW w:w="1021" w:type="dxa"/>
                  <w:tcBorders>
                    <w:top w:val="nil"/>
                    <w:left w:val="nil"/>
                    <w:bottom w:val="nil"/>
                    <w:right w:val="single" w:sz="4" w:space="0" w:color="auto"/>
                  </w:tcBorders>
                  <w:shd w:val="clear" w:color="000000" w:fill="DDEBF7"/>
                  <w:noWrap/>
                  <w:vAlign w:val="bottom"/>
                  <w:hideMark/>
                </w:tcPr>
                <w:p w14:paraId="75830BD0"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26</w:t>
                  </w:r>
                </w:p>
              </w:tc>
              <w:tc>
                <w:tcPr>
                  <w:tcW w:w="1258" w:type="dxa"/>
                  <w:tcBorders>
                    <w:top w:val="nil"/>
                    <w:left w:val="nil"/>
                    <w:bottom w:val="nil"/>
                    <w:right w:val="nil"/>
                  </w:tcBorders>
                  <w:shd w:val="clear" w:color="000000" w:fill="DDEBF7"/>
                  <w:noWrap/>
                  <w:vAlign w:val="bottom"/>
                  <w:hideMark/>
                </w:tcPr>
                <w:p w14:paraId="3F691B08"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w:t>
                  </w:r>
                </w:p>
              </w:tc>
              <w:tc>
                <w:tcPr>
                  <w:tcW w:w="1117" w:type="dxa"/>
                  <w:tcBorders>
                    <w:top w:val="nil"/>
                    <w:left w:val="nil"/>
                    <w:bottom w:val="nil"/>
                    <w:right w:val="single" w:sz="8" w:space="0" w:color="auto"/>
                  </w:tcBorders>
                  <w:shd w:val="clear" w:color="000000" w:fill="DDEBF7"/>
                  <w:noWrap/>
                  <w:vAlign w:val="bottom"/>
                  <w:hideMark/>
                </w:tcPr>
                <w:p w14:paraId="3E3ECE1C"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14</w:t>
                  </w:r>
                </w:p>
              </w:tc>
            </w:tr>
            <w:tr w:rsidR="00640FD0" w:rsidRPr="00640FD0" w14:paraId="2E7AAA7D" w14:textId="77777777" w:rsidTr="00640FD0">
              <w:trPr>
                <w:trHeight w:val="288"/>
              </w:trPr>
              <w:tc>
                <w:tcPr>
                  <w:tcW w:w="2225" w:type="dxa"/>
                  <w:tcBorders>
                    <w:top w:val="nil"/>
                    <w:left w:val="single" w:sz="8" w:space="0" w:color="auto"/>
                    <w:bottom w:val="nil"/>
                    <w:right w:val="nil"/>
                  </w:tcBorders>
                  <w:shd w:val="clear" w:color="000000" w:fill="DDEBF7"/>
                  <w:noWrap/>
                  <w:vAlign w:val="bottom"/>
                  <w:hideMark/>
                </w:tcPr>
                <w:p w14:paraId="65DCD0BC"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Tchad</w:t>
                  </w:r>
                </w:p>
              </w:tc>
              <w:tc>
                <w:tcPr>
                  <w:tcW w:w="1315" w:type="dxa"/>
                  <w:tcBorders>
                    <w:top w:val="nil"/>
                    <w:left w:val="nil"/>
                    <w:bottom w:val="nil"/>
                    <w:right w:val="nil"/>
                  </w:tcBorders>
                  <w:shd w:val="clear" w:color="000000" w:fill="DDEBF7"/>
                  <w:noWrap/>
                  <w:vAlign w:val="bottom"/>
                  <w:hideMark/>
                </w:tcPr>
                <w:p w14:paraId="6340B96D"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w:t>
                  </w:r>
                </w:p>
              </w:tc>
              <w:tc>
                <w:tcPr>
                  <w:tcW w:w="1168" w:type="dxa"/>
                  <w:tcBorders>
                    <w:top w:val="nil"/>
                    <w:left w:val="nil"/>
                    <w:bottom w:val="nil"/>
                    <w:right w:val="nil"/>
                  </w:tcBorders>
                  <w:shd w:val="clear" w:color="000000" w:fill="DDEBF7"/>
                  <w:noWrap/>
                  <w:vAlign w:val="bottom"/>
                  <w:hideMark/>
                </w:tcPr>
                <w:p w14:paraId="45167179"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6</w:t>
                  </w:r>
                </w:p>
              </w:tc>
              <w:tc>
                <w:tcPr>
                  <w:tcW w:w="1149" w:type="dxa"/>
                  <w:tcBorders>
                    <w:top w:val="nil"/>
                    <w:left w:val="single" w:sz="4" w:space="0" w:color="auto"/>
                    <w:bottom w:val="nil"/>
                    <w:right w:val="nil"/>
                  </w:tcBorders>
                  <w:shd w:val="clear" w:color="000000" w:fill="DDEBF7"/>
                  <w:noWrap/>
                  <w:vAlign w:val="bottom"/>
                  <w:hideMark/>
                </w:tcPr>
                <w:p w14:paraId="090C17DC"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w:t>
                  </w:r>
                </w:p>
              </w:tc>
              <w:tc>
                <w:tcPr>
                  <w:tcW w:w="1021" w:type="dxa"/>
                  <w:tcBorders>
                    <w:top w:val="nil"/>
                    <w:left w:val="nil"/>
                    <w:bottom w:val="nil"/>
                    <w:right w:val="single" w:sz="4" w:space="0" w:color="auto"/>
                  </w:tcBorders>
                  <w:shd w:val="clear" w:color="000000" w:fill="DDEBF7"/>
                  <w:noWrap/>
                  <w:vAlign w:val="bottom"/>
                  <w:hideMark/>
                </w:tcPr>
                <w:p w14:paraId="2FFC11CA"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12</w:t>
                  </w:r>
                </w:p>
              </w:tc>
              <w:tc>
                <w:tcPr>
                  <w:tcW w:w="1258" w:type="dxa"/>
                  <w:tcBorders>
                    <w:top w:val="nil"/>
                    <w:left w:val="nil"/>
                    <w:bottom w:val="nil"/>
                    <w:right w:val="nil"/>
                  </w:tcBorders>
                  <w:shd w:val="clear" w:color="000000" w:fill="DDEBF7"/>
                  <w:noWrap/>
                  <w:vAlign w:val="bottom"/>
                  <w:hideMark/>
                </w:tcPr>
                <w:p w14:paraId="74433511"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3</w:t>
                  </w:r>
                </w:p>
              </w:tc>
              <w:tc>
                <w:tcPr>
                  <w:tcW w:w="1117" w:type="dxa"/>
                  <w:tcBorders>
                    <w:top w:val="nil"/>
                    <w:left w:val="nil"/>
                    <w:bottom w:val="nil"/>
                    <w:right w:val="single" w:sz="8" w:space="0" w:color="auto"/>
                  </w:tcBorders>
                  <w:shd w:val="clear" w:color="000000" w:fill="DDEBF7"/>
                  <w:noWrap/>
                  <w:vAlign w:val="bottom"/>
                  <w:hideMark/>
                </w:tcPr>
                <w:p w14:paraId="5157C057"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7</w:t>
                  </w:r>
                </w:p>
              </w:tc>
            </w:tr>
            <w:tr w:rsidR="00640FD0" w:rsidRPr="00640FD0" w14:paraId="35D2201E" w14:textId="77777777" w:rsidTr="00640FD0">
              <w:trPr>
                <w:trHeight w:val="300"/>
              </w:trPr>
              <w:tc>
                <w:tcPr>
                  <w:tcW w:w="2225" w:type="dxa"/>
                  <w:tcBorders>
                    <w:top w:val="nil"/>
                    <w:left w:val="single" w:sz="8" w:space="0" w:color="auto"/>
                    <w:bottom w:val="single" w:sz="8" w:space="0" w:color="auto"/>
                    <w:right w:val="nil"/>
                  </w:tcBorders>
                  <w:shd w:val="clear" w:color="000000" w:fill="DDEBF7"/>
                  <w:noWrap/>
                  <w:vAlign w:val="bottom"/>
                  <w:hideMark/>
                </w:tcPr>
                <w:p w14:paraId="32EB51EE"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Togo</w:t>
                  </w:r>
                </w:p>
              </w:tc>
              <w:tc>
                <w:tcPr>
                  <w:tcW w:w="1315" w:type="dxa"/>
                  <w:tcBorders>
                    <w:top w:val="nil"/>
                    <w:left w:val="nil"/>
                    <w:bottom w:val="single" w:sz="8" w:space="0" w:color="auto"/>
                    <w:right w:val="nil"/>
                  </w:tcBorders>
                  <w:shd w:val="clear" w:color="000000" w:fill="DDEBF7"/>
                  <w:noWrap/>
                  <w:vAlign w:val="bottom"/>
                  <w:hideMark/>
                </w:tcPr>
                <w:p w14:paraId="08B2ED1C"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w:t>
                  </w:r>
                </w:p>
              </w:tc>
              <w:tc>
                <w:tcPr>
                  <w:tcW w:w="1168" w:type="dxa"/>
                  <w:tcBorders>
                    <w:top w:val="nil"/>
                    <w:left w:val="nil"/>
                    <w:bottom w:val="single" w:sz="8" w:space="0" w:color="auto"/>
                    <w:right w:val="nil"/>
                  </w:tcBorders>
                  <w:shd w:val="clear" w:color="000000" w:fill="DDEBF7"/>
                  <w:noWrap/>
                  <w:vAlign w:val="bottom"/>
                  <w:hideMark/>
                </w:tcPr>
                <w:p w14:paraId="533EEFE3"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3</w:t>
                  </w:r>
                </w:p>
              </w:tc>
              <w:tc>
                <w:tcPr>
                  <w:tcW w:w="1149" w:type="dxa"/>
                  <w:tcBorders>
                    <w:top w:val="nil"/>
                    <w:left w:val="single" w:sz="4" w:space="0" w:color="auto"/>
                    <w:bottom w:val="single" w:sz="8" w:space="0" w:color="auto"/>
                    <w:right w:val="nil"/>
                  </w:tcBorders>
                  <w:shd w:val="clear" w:color="000000" w:fill="DDEBF7"/>
                  <w:noWrap/>
                  <w:vAlign w:val="bottom"/>
                  <w:hideMark/>
                </w:tcPr>
                <w:p w14:paraId="3085B174"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22</w:t>
                  </w:r>
                </w:p>
              </w:tc>
              <w:tc>
                <w:tcPr>
                  <w:tcW w:w="1021" w:type="dxa"/>
                  <w:tcBorders>
                    <w:top w:val="nil"/>
                    <w:left w:val="nil"/>
                    <w:bottom w:val="single" w:sz="8" w:space="0" w:color="auto"/>
                    <w:right w:val="single" w:sz="4" w:space="0" w:color="auto"/>
                  </w:tcBorders>
                  <w:shd w:val="clear" w:color="000000" w:fill="DDEBF7"/>
                  <w:noWrap/>
                  <w:vAlign w:val="bottom"/>
                  <w:hideMark/>
                </w:tcPr>
                <w:p w14:paraId="13F58EC1"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15</w:t>
                  </w:r>
                </w:p>
              </w:tc>
              <w:tc>
                <w:tcPr>
                  <w:tcW w:w="1258" w:type="dxa"/>
                  <w:tcBorders>
                    <w:top w:val="nil"/>
                    <w:left w:val="nil"/>
                    <w:bottom w:val="single" w:sz="8" w:space="0" w:color="auto"/>
                    <w:right w:val="nil"/>
                  </w:tcBorders>
                  <w:shd w:val="clear" w:color="000000" w:fill="DDEBF7"/>
                  <w:noWrap/>
                  <w:vAlign w:val="bottom"/>
                  <w:hideMark/>
                </w:tcPr>
                <w:p w14:paraId="4E722CE6"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5</w:t>
                  </w:r>
                </w:p>
              </w:tc>
              <w:tc>
                <w:tcPr>
                  <w:tcW w:w="1117" w:type="dxa"/>
                  <w:tcBorders>
                    <w:top w:val="nil"/>
                    <w:left w:val="nil"/>
                    <w:bottom w:val="single" w:sz="8" w:space="0" w:color="auto"/>
                    <w:right w:val="single" w:sz="8" w:space="0" w:color="auto"/>
                  </w:tcBorders>
                  <w:shd w:val="clear" w:color="000000" w:fill="DDEBF7"/>
                  <w:noWrap/>
                  <w:vAlign w:val="bottom"/>
                  <w:hideMark/>
                </w:tcPr>
                <w:p w14:paraId="0D314288" w14:textId="77777777" w:rsidR="00640FD0" w:rsidRPr="00640FD0" w:rsidRDefault="00640FD0" w:rsidP="00640FD0">
                  <w:pPr>
                    <w:spacing w:after="0" w:line="240" w:lineRule="auto"/>
                    <w:jc w:val="center"/>
                    <w:rPr>
                      <w:rFonts w:ascii="Calibri" w:eastAsia="Times New Roman" w:hAnsi="Calibri" w:cs="Calibri"/>
                      <w:color w:val="000000"/>
                      <w:lang w:eastAsia="en-GB"/>
                    </w:rPr>
                  </w:pPr>
                  <w:r w:rsidRPr="00640FD0">
                    <w:rPr>
                      <w:rFonts w:ascii="Calibri" w:eastAsia="Times New Roman" w:hAnsi="Calibri" w:cs="Calibri"/>
                      <w:color w:val="000000"/>
                      <w:lang w:eastAsia="en-GB"/>
                    </w:rPr>
                    <w:t>5</w:t>
                  </w:r>
                </w:p>
              </w:tc>
            </w:tr>
            <w:tr w:rsidR="00640FD0" w:rsidRPr="00640FD0" w14:paraId="29D88056" w14:textId="77777777" w:rsidTr="00640FD0">
              <w:trPr>
                <w:trHeight w:val="288"/>
              </w:trPr>
              <w:tc>
                <w:tcPr>
                  <w:tcW w:w="3540" w:type="dxa"/>
                  <w:gridSpan w:val="2"/>
                  <w:tcBorders>
                    <w:top w:val="nil"/>
                    <w:left w:val="nil"/>
                    <w:bottom w:val="nil"/>
                    <w:right w:val="nil"/>
                  </w:tcBorders>
                  <w:shd w:val="clear" w:color="auto" w:fill="auto"/>
                  <w:noWrap/>
                  <w:vAlign w:val="bottom"/>
                  <w:hideMark/>
                </w:tcPr>
                <w:p w14:paraId="5926E807" w14:textId="77777777" w:rsidR="00640FD0" w:rsidRPr="00640FD0" w:rsidRDefault="00640FD0" w:rsidP="00640FD0">
                  <w:pPr>
                    <w:spacing w:after="0" w:line="240" w:lineRule="auto"/>
                    <w:rPr>
                      <w:rFonts w:ascii="Calibri" w:eastAsia="Times New Roman" w:hAnsi="Calibri" w:cs="Calibri"/>
                      <w:color w:val="000000"/>
                      <w:lang w:eastAsia="en-GB"/>
                    </w:rPr>
                  </w:pPr>
                  <w:r w:rsidRPr="00640FD0">
                    <w:rPr>
                      <w:rFonts w:ascii="Calibri" w:eastAsia="Times New Roman" w:hAnsi="Calibri" w:cs="Calibri"/>
                      <w:color w:val="000000"/>
                      <w:lang w:eastAsia="en-GB"/>
                    </w:rPr>
                    <w:t>Source: PASEC</w:t>
                  </w:r>
                </w:p>
              </w:tc>
              <w:tc>
                <w:tcPr>
                  <w:tcW w:w="1168" w:type="dxa"/>
                  <w:tcBorders>
                    <w:top w:val="nil"/>
                    <w:left w:val="nil"/>
                    <w:bottom w:val="nil"/>
                    <w:right w:val="nil"/>
                  </w:tcBorders>
                  <w:shd w:val="clear" w:color="auto" w:fill="auto"/>
                  <w:noWrap/>
                  <w:vAlign w:val="bottom"/>
                  <w:hideMark/>
                </w:tcPr>
                <w:p w14:paraId="44A0392C" w14:textId="77777777" w:rsidR="00640FD0" w:rsidRPr="00640FD0" w:rsidRDefault="00640FD0" w:rsidP="00640FD0">
                  <w:pPr>
                    <w:spacing w:after="0" w:line="240" w:lineRule="auto"/>
                    <w:rPr>
                      <w:rFonts w:ascii="Calibri" w:eastAsia="Times New Roman" w:hAnsi="Calibri" w:cs="Calibri"/>
                      <w:color w:val="000000"/>
                      <w:lang w:eastAsia="en-GB"/>
                    </w:rPr>
                  </w:pPr>
                </w:p>
              </w:tc>
              <w:tc>
                <w:tcPr>
                  <w:tcW w:w="1149" w:type="dxa"/>
                  <w:tcBorders>
                    <w:top w:val="nil"/>
                    <w:left w:val="nil"/>
                    <w:bottom w:val="nil"/>
                    <w:right w:val="nil"/>
                  </w:tcBorders>
                  <w:shd w:val="clear" w:color="auto" w:fill="auto"/>
                  <w:noWrap/>
                  <w:vAlign w:val="bottom"/>
                  <w:hideMark/>
                </w:tcPr>
                <w:p w14:paraId="51BE24A6" w14:textId="77777777" w:rsidR="00640FD0" w:rsidRPr="00640FD0" w:rsidRDefault="00640FD0" w:rsidP="00640FD0">
                  <w:pPr>
                    <w:spacing w:after="0" w:line="240" w:lineRule="auto"/>
                    <w:rPr>
                      <w:rFonts w:ascii="Times New Roman" w:eastAsia="Times New Roman" w:hAnsi="Times New Roman" w:cs="Times New Roman"/>
                      <w:sz w:val="20"/>
                      <w:szCs w:val="20"/>
                      <w:lang w:eastAsia="en-GB"/>
                    </w:rPr>
                  </w:pPr>
                </w:p>
              </w:tc>
              <w:tc>
                <w:tcPr>
                  <w:tcW w:w="1021" w:type="dxa"/>
                  <w:tcBorders>
                    <w:top w:val="nil"/>
                    <w:left w:val="nil"/>
                    <w:bottom w:val="nil"/>
                    <w:right w:val="nil"/>
                  </w:tcBorders>
                  <w:shd w:val="clear" w:color="auto" w:fill="auto"/>
                  <w:noWrap/>
                  <w:vAlign w:val="bottom"/>
                  <w:hideMark/>
                </w:tcPr>
                <w:p w14:paraId="0690E214" w14:textId="77777777" w:rsidR="00640FD0" w:rsidRPr="00640FD0" w:rsidRDefault="00640FD0" w:rsidP="00640FD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7F3DD0B6" w14:textId="77777777" w:rsidR="00640FD0" w:rsidRPr="00640FD0" w:rsidRDefault="00640FD0" w:rsidP="00640FD0">
                  <w:pPr>
                    <w:spacing w:after="0" w:line="240" w:lineRule="auto"/>
                    <w:rPr>
                      <w:rFonts w:ascii="Times New Roman" w:eastAsia="Times New Roman" w:hAnsi="Times New Roman" w:cs="Times New Roman"/>
                      <w:sz w:val="20"/>
                      <w:szCs w:val="20"/>
                      <w:lang w:eastAsia="en-GB"/>
                    </w:rPr>
                  </w:pPr>
                </w:p>
              </w:tc>
              <w:tc>
                <w:tcPr>
                  <w:tcW w:w="1117" w:type="dxa"/>
                  <w:tcBorders>
                    <w:top w:val="nil"/>
                    <w:left w:val="nil"/>
                    <w:bottom w:val="nil"/>
                    <w:right w:val="nil"/>
                  </w:tcBorders>
                  <w:shd w:val="clear" w:color="auto" w:fill="auto"/>
                  <w:noWrap/>
                  <w:vAlign w:val="bottom"/>
                  <w:hideMark/>
                </w:tcPr>
                <w:p w14:paraId="017CBFD8" w14:textId="77777777" w:rsidR="00640FD0" w:rsidRPr="00640FD0" w:rsidRDefault="00640FD0" w:rsidP="00640FD0">
                  <w:pPr>
                    <w:spacing w:after="0" w:line="240" w:lineRule="auto"/>
                    <w:rPr>
                      <w:rFonts w:ascii="Times New Roman" w:eastAsia="Times New Roman" w:hAnsi="Times New Roman" w:cs="Times New Roman"/>
                      <w:sz w:val="20"/>
                      <w:szCs w:val="20"/>
                      <w:lang w:eastAsia="en-GB"/>
                    </w:rPr>
                  </w:pPr>
                </w:p>
              </w:tc>
            </w:tr>
          </w:tbl>
          <w:p w14:paraId="71C025ED" w14:textId="77777777" w:rsidR="00640FD0" w:rsidRDefault="00640FD0" w:rsidP="00E86245">
            <w:pPr>
              <w:spacing w:after="0" w:line="240" w:lineRule="auto"/>
              <w:rPr>
                <w:rFonts w:ascii="Calibri" w:eastAsia="Times New Roman" w:hAnsi="Calibri" w:cs="Calibri"/>
                <w:color w:val="000000"/>
                <w:lang w:eastAsia="en-GB"/>
              </w:rPr>
            </w:pPr>
          </w:p>
          <w:tbl>
            <w:tblPr>
              <w:tblW w:w="15401" w:type="dxa"/>
              <w:tblLook w:val="04A0" w:firstRow="1" w:lastRow="0" w:firstColumn="1" w:lastColumn="0" w:noHBand="0" w:noVBand="1"/>
            </w:tblPr>
            <w:tblGrid>
              <w:gridCol w:w="9688"/>
              <w:gridCol w:w="1168"/>
              <w:gridCol w:w="1149"/>
              <w:gridCol w:w="1021"/>
              <w:gridCol w:w="1258"/>
              <w:gridCol w:w="1117"/>
            </w:tblGrid>
            <w:tr w:rsidR="00640FD0" w:rsidRPr="00070BDC" w14:paraId="540EEF9F" w14:textId="77777777" w:rsidTr="00E86245">
              <w:trPr>
                <w:trHeight w:val="288"/>
              </w:trPr>
              <w:tc>
                <w:tcPr>
                  <w:tcW w:w="9688" w:type="dxa"/>
                  <w:tcBorders>
                    <w:top w:val="nil"/>
                    <w:left w:val="nil"/>
                    <w:bottom w:val="nil"/>
                    <w:right w:val="nil"/>
                  </w:tcBorders>
                  <w:shd w:val="clear" w:color="auto" w:fill="auto"/>
                  <w:noWrap/>
                  <w:vAlign w:val="bottom"/>
                  <w:hideMark/>
                </w:tcPr>
                <w:p w14:paraId="737BF3C3" w14:textId="77777777" w:rsidR="00AE1E15" w:rsidRDefault="00AE1E15"/>
                <w:p w14:paraId="75436F68" w14:textId="77777777" w:rsidR="00AE1E15" w:rsidRDefault="00AE1E15"/>
                <w:p w14:paraId="3715D474" w14:textId="77777777" w:rsidR="00AE1E15" w:rsidRDefault="00AE1E15"/>
                <w:p w14:paraId="5B8440BA" w14:textId="77777777" w:rsidR="00AE1E15" w:rsidRDefault="00AE1E15"/>
                <w:p w14:paraId="7BB4108F" w14:textId="77777777" w:rsidR="00AE1E15" w:rsidRDefault="00AE1E15"/>
                <w:tbl>
                  <w:tblPr>
                    <w:tblW w:w="9472" w:type="dxa"/>
                    <w:tblLook w:val="04A0" w:firstRow="1" w:lastRow="0" w:firstColumn="1" w:lastColumn="0" w:noHBand="0" w:noVBand="1"/>
                  </w:tblPr>
                  <w:tblGrid>
                    <w:gridCol w:w="2011"/>
                    <w:gridCol w:w="1311"/>
                    <w:gridCol w:w="1092"/>
                    <w:gridCol w:w="1137"/>
                    <w:gridCol w:w="967"/>
                    <w:gridCol w:w="1057"/>
                    <w:gridCol w:w="1024"/>
                    <w:gridCol w:w="873"/>
                  </w:tblGrid>
                  <w:tr w:rsidR="00640FD0" w:rsidRPr="008925D4" w14:paraId="5435D12D" w14:textId="77777777" w:rsidTr="00E86245">
                    <w:trPr>
                      <w:trHeight w:val="288"/>
                    </w:trPr>
                    <w:tc>
                      <w:tcPr>
                        <w:tcW w:w="8599" w:type="dxa"/>
                        <w:gridSpan w:val="7"/>
                        <w:tcBorders>
                          <w:top w:val="nil"/>
                          <w:left w:val="nil"/>
                          <w:bottom w:val="nil"/>
                          <w:right w:val="nil"/>
                        </w:tcBorders>
                        <w:shd w:val="clear" w:color="auto" w:fill="auto"/>
                        <w:noWrap/>
                        <w:vAlign w:val="bottom"/>
                        <w:hideMark/>
                      </w:tcPr>
                      <w:p w14:paraId="45EC3ADB"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 xml:space="preserve">Table </w:t>
                        </w:r>
                        <w:r>
                          <w:rPr>
                            <w:rFonts w:ascii="Calibri" w:eastAsia="Times New Roman" w:hAnsi="Calibri" w:cs="Calibri"/>
                            <w:color w:val="000000"/>
                            <w:lang w:eastAsia="en-GB"/>
                          </w:rPr>
                          <w:t>7</w:t>
                        </w:r>
                        <w:r w:rsidRPr="008925D4">
                          <w:rPr>
                            <w:rFonts w:ascii="Calibri" w:eastAsia="Times New Roman" w:hAnsi="Calibri" w:cs="Calibri"/>
                            <w:color w:val="000000"/>
                            <w:lang w:eastAsia="en-GB"/>
                          </w:rPr>
                          <w:t xml:space="preserve">: Incidence of grade 2 and grade 6 teachers undertaking private tuition </w:t>
                        </w:r>
                      </w:p>
                    </w:tc>
                    <w:tc>
                      <w:tcPr>
                        <w:tcW w:w="873" w:type="dxa"/>
                        <w:tcBorders>
                          <w:top w:val="nil"/>
                          <w:left w:val="nil"/>
                          <w:bottom w:val="nil"/>
                          <w:right w:val="nil"/>
                        </w:tcBorders>
                        <w:shd w:val="clear" w:color="auto" w:fill="auto"/>
                        <w:noWrap/>
                        <w:vAlign w:val="bottom"/>
                        <w:hideMark/>
                      </w:tcPr>
                      <w:p w14:paraId="129AB59C" w14:textId="77777777" w:rsidR="00640FD0" w:rsidRPr="008925D4" w:rsidRDefault="00640FD0" w:rsidP="00640FD0">
                        <w:pPr>
                          <w:spacing w:after="0" w:line="240" w:lineRule="auto"/>
                          <w:rPr>
                            <w:rFonts w:ascii="Calibri" w:eastAsia="Times New Roman" w:hAnsi="Calibri" w:cs="Calibri"/>
                            <w:color w:val="000000"/>
                            <w:lang w:eastAsia="en-GB"/>
                          </w:rPr>
                        </w:pPr>
                      </w:p>
                    </w:tc>
                  </w:tr>
                  <w:tr w:rsidR="00640FD0" w:rsidRPr="008925D4" w14:paraId="233C0982" w14:textId="77777777" w:rsidTr="00E86245">
                    <w:trPr>
                      <w:trHeight w:val="300"/>
                    </w:trPr>
                    <w:tc>
                      <w:tcPr>
                        <w:tcW w:w="9472" w:type="dxa"/>
                        <w:gridSpan w:val="8"/>
                        <w:tcBorders>
                          <w:top w:val="nil"/>
                          <w:left w:val="nil"/>
                          <w:bottom w:val="nil"/>
                          <w:right w:val="nil"/>
                        </w:tcBorders>
                        <w:shd w:val="clear" w:color="auto" w:fill="auto"/>
                        <w:noWrap/>
                        <w:vAlign w:val="bottom"/>
                        <w:hideMark/>
                      </w:tcPr>
                      <w:p w14:paraId="2FA68B55"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w:t>
                        </w:r>
                        <w:proofErr w:type="gramStart"/>
                        <w:r w:rsidRPr="008925D4">
                          <w:rPr>
                            <w:rFonts w:ascii="Calibri" w:eastAsia="Times New Roman" w:hAnsi="Calibri" w:cs="Calibri"/>
                            <w:color w:val="000000"/>
                            <w:lang w:eastAsia="en-GB"/>
                          </w:rPr>
                          <w:t>cours</w:t>
                        </w:r>
                        <w:proofErr w:type="gramEnd"/>
                        <w:r w:rsidRPr="008925D4">
                          <w:rPr>
                            <w:rFonts w:ascii="Calibri" w:eastAsia="Times New Roman" w:hAnsi="Calibri" w:cs="Calibri"/>
                            <w:color w:val="000000"/>
                            <w:lang w:eastAsia="en-GB"/>
                          </w:rPr>
                          <w:t xml:space="preserve"> particulieres) by school ownership in Francophone West Africa, 2014 (rounded %)</w:t>
                        </w:r>
                      </w:p>
                    </w:tc>
                  </w:tr>
                  <w:tr w:rsidR="00640FD0" w:rsidRPr="008925D4" w14:paraId="66FEB7ED" w14:textId="77777777" w:rsidTr="00E86245">
                    <w:trPr>
                      <w:trHeight w:val="288"/>
                    </w:trPr>
                    <w:tc>
                      <w:tcPr>
                        <w:tcW w:w="2011" w:type="dxa"/>
                        <w:tcBorders>
                          <w:top w:val="single" w:sz="8" w:space="0" w:color="auto"/>
                          <w:left w:val="single" w:sz="8" w:space="0" w:color="auto"/>
                          <w:bottom w:val="nil"/>
                          <w:right w:val="nil"/>
                        </w:tcBorders>
                        <w:shd w:val="clear" w:color="000000" w:fill="EDEDED"/>
                        <w:noWrap/>
                        <w:vAlign w:val="bottom"/>
                        <w:hideMark/>
                      </w:tcPr>
                      <w:p w14:paraId="51457A98"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 </w:t>
                        </w:r>
                      </w:p>
                    </w:tc>
                    <w:tc>
                      <w:tcPr>
                        <w:tcW w:w="2403" w:type="dxa"/>
                        <w:gridSpan w:val="2"/>
                        <w:tcBorders>
                          <w:top w:val="single" w:sz="8" w:space="0" w:color="auto"/>
                          <w:left w:val="nil"/>
                          <w:bottom w:val="nil"/>
                          <w:right w:val="nil"/>
                        </w:tcBorders>
                        <w:shd w:val="clear" w:color="000000" w:fill="EDEDED"/>
                        <w:noWrap/>
                        <w:vAlign w:val="bottom"/>
                        <w:hideMark/>
                      </w:tcPr>
                      <w:p w14:paraId="717D0629" w14:textId="77777777" w:rsidR="00640FD0" w:rsidRPr="008925D4" w:rsidRDefault="00640FD0" w:rsidP="00640FD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8925D4">
                          <w:rPr>
                            <w:rFonts w:ascii="Calibri" w:eastAsia="Times New Roman" w:hAnsi="Calibri" w:cs="Calibri"/>
                            <w:color w:val="000000"/>
                            <w:lang w:eastAsia="en-GB"/>
                          </w:rPr>
                          <w:t>Public</w:t>
                        </w:r>
                      </w:p>
                    </w:tc>
                    <w:tc>
                      <w:tcPr>
                        <w:tcW w:w="2104" w:type="dxa"/>
                        <w:gridSpan w:val="2"/>
                        <w:tcBorders>
                          <w:top w:val="single" w:sz="8" w:space="0" w:color="auto"/>
                          <w:left w:val="single" w:sz="4" w:space="0" w:color="auto"/>
                          <w:bottom w:val="nil"/>
                          <w:right w:val="single" w:sz="4" w:space="0" w:color="000000"/>
                        </w:tcBorders>
                        <w:shd w:val="clear" w:color="000000" w:fill="EDEDED"/>
                        <w:noWrap/>
                        <w:vAlign w:val="bottom"/>
                        <w:hideMark/>
                      </w:tcPr>
                      <w:p w14:paraId="64625724" w14:textId="77777777" w:rsidR="00640FD0" w:rsidRPr="008925D4" w:rsidRDefault="00640FD0" w:rsidP="00640FD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8925D4">
                          <w:rPr>
                            <w:rFonts w:ascii="Calibri" w:eastAsia="Times New Roman" w:hAnsi="Calibri" w:cs="Calibri"/>
                            <w:color w:val="000000"/>
                            <w:lang w:eastAsia="en-GB"/>
                          </w:rPr>
                          <w:t>Faith-based</w:t>
                        </w:r>
                      </w:p>
                    </w:tc>
                    <w:tc>
                      <w:tcPr>
                        <w:tcW w:w="2081" w:type="dxa"/>
                        <w:gridSpan w:val="2"/>
                        <w:tcBorders>
                          <w:top w:val="single" w:sz="8" w:space="0" w:color="auto"/>
                          <w:left w:val="nil"/>
                          <w:bottom w:val="nil"/>
                          <w:right w:val="single" w:sz="8" w:space="0" w:color="000000"/>
                        </w:tcBorders>
                        <w:shd w:val="clear" w:color="000000" w:fill="EDEDED"/>
                        <w:noWrap/>
                        <w:vAlign w:val="bottom"/>
                        <w:hideMark/>
                      </w:tcPr>
                      <w:p w14:paraId="2BB5F0D9" w14:textId="77777777" w:rsidR="00640FD0" w:rsidRPr="008925D4" w:rsidRDefault="00640FD0" w:rsidP="00640FD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8925D4">
                          <w:rPr>
                            <w:rFonts w:ascii="Calibri" w:eastAsia="Times New Roman" w:hAnsi="Calibri" w:cs="Calibri"/>
                            <w:color w:val="000000"/>
                            <w:lang w:eastAsia="en-GB"/>
                          </w:rPr>
                          <w:t>Private secular</w:t>
                        </w:r>
                      </w:p>
                    </w:tc>
                    <w:tc>
                      <w:tcPr>
                        <w:tcW w:w="873" w:type="dxa"/>
                        <w:tcBorders>
                          <w:top w:val="nil"/>
                          <w:left w:val="nil"/>
                          <w:bottom w:val="nil"/>
                          <w:right w:val="nil"/>
                        </w:tcBorders>
                        <w:shd w:val="clear" w:color="auto" w:fill="auto"/>
                        <w:noWrap/>
                        <w:vAlign w:val="bottom"/>
                        <w:hideMark/>
                      </w:tcPr>
                      <w:p w14:paraId="7DE57677" w14:textId="77777777" w:rsidR="00640FD0" w:rsidRPr="008925D4" w:rsidRDefault="00640FD0" w:rsidP="00640FD0">
                        <w:pPr>
                          <w:spacing w:after="0" w:line="240" w:lineRule="auto"/>
                          <w:ind w:firstLineChars="200" w:firstLine="440"/>
                          <w:rPr>
                            <w:rFonts w:ascii="Calibri" w:eastAsia="Times New Roman" w:hAnsi="Calibri" w:cs="Calibri"/>
                            <w:color w:val="000000"/>
                            <w:lang w:eastAsia="en-GB"/>
                          </w:rPr>
                        </w:pPr>
                      </w:p>
                    </w:tc>
                  </w:tr>
                  <w:tr w:rsidR="00640FD0" w:rsidRPr="008925D4" w14:paraId="32EE8C25" w14:textId="77777777" w:rsidTr="00E86245">
                    <w:trPr>
                      <w:trHeight w:val="288"/>
                    </w:trPr>
                    <w:tc>
                      <w:tcPr>
                        <w:tcW w:w="2011" w:type="dxa"/>
                        <w:tcBorders>
                          <w:top w:val="nil"/>
                          <w:left w:val="single" w:sz="8" w:space="0" w:color="auto"/>
                          <w:bottom w:val="nil"/>
                          <w:right w:val="nil"/>
                        </w:tcBorders>
                        <w:shd w:val="clear" w:color="000000" w:fill="EDEDED"/>
                        <w:noWrap/>
                        <w:vAlign w:val="bottom"/>
                        <w:hideMark/>
                      </w:tcPr>
                      <w:p w14:paraId="54E2F34F"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Country</w:t>
                        </w:r>
                      </w:p>
                    </w:tc>
                    <w:tc>
                      <w:tcPr>
                        <w:tcW w:w="1311" w:type="dxa"/>
                        <w:tcBorders>
                          <w:top w:val="nil"/>
                          <w:left w:val="nil"/>
                          <w:bottom w:val="nil"/>
                          <w:right w:val="nil"/>
                        </w:tcBorders>
                        <w:shd w:val="clear" w:color="000000" w:fill="EDEDED"/>
                        <w:noWrap/>
                        <w:vAlign w:val="bottom"/>
                        <w:hideMark/>
                      </w:tcPr>
                      <w:p w14:paraId="219D1357" w14:textId="77777777" w:rsidR="00640FD0" w:rsidRPr="008925D4" w:rsidRDefault="00640FD0" w:rsidP="00640FD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Gd</w:t>
                        </w:r>
                        <w:r w:rsidRPr="008925D4">
                          <w:rPr>
                            <w:rFonts w:ascii="Calibri" w:eastAsia="Times New Roman" w:hAnsi="Calibri" w:cs="Calibri"/>
                            <w:color w:val="000000"/>
                            <w:lang w:eastAsia="en-GB"/>
                          </w:rPr>
                          <w:t>2</w:t>
                        </w:r>
                      </w:p>
                    </w:tc>
                    <w:tc>
                      <w:tcPr>
                        <w:tcW w:w="1092" w:type="dxa"/>
                        <w:tcBorders>
                          <w:top w:val="nil"/>
                          <w:left w:val="nil"/>
                          <w:bottom w:val="nil"/>
                          <w:right w:val="nil"/>
                        </w:tcBorders>
                        <w:shd w:val="clear" w:color="000000" w:fill="EDEDED"/>
                        <w:noWrap/>
                        <w:vAlign w:val="bottom"/>
                        <w:hideMark/>
                      </w:tcPr>
                      <w:p w14:paraId="21FBAAD4"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Gd6</w:t>
                        </w:r>
                      </w:p>
                    </w:tc>
                    <w:tc>
                      <w:tcPr>
                        <w:tcW w:w="1137" w:type="dxa"/>
                        <w:tcBorders>
                          <w:top w:val="nil"/>
                          <w:left w:val="single" w:sz="4" w:space="0" w:color="auto"/>
                          <w:bottom w:val="nil"/>
                          <w:right w:val="nil"/>
                        </w:tcBorders>
                        <w:shd w:val="clear" w:color="000000" w:fill="EDEDED"/>
                        <w:noWrap/>
                        <w:vAlign w:val="bottom"/>
                        <w:hideMark/>
                      </w:tcPr>
                      <w:p w14:paraId="4ED53FA9" w14:textId="77777777" w:rsidR="00640FD0" w:rsidRPr="008925D4" w:rsidRDefault="00640FD0" w:rsidP="00640FD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Gd</w:t>
                        </w:r>
                        <w:r w:rsidRPr="008925D4">
                          <w:rPr>
                            <w:rFonts w:ascii="Calibri" w:eastAsia="Times New Roman" w:hAnsi="Calibri" w:cs="Calibri"/>
                            <w:color w:val="000000"/>
                            <w:lang w:eastAsia="en-GB"/>
                          </w:rPr>
                          <w:t>2</w:t>
                        </w:r>
                      </w:p>
                    </w:tc>
                    <w:tc>
                      <w:tcPr>
                        <w:tcW w:w="967" w:type="dxa"/>
                        <w:tcBorders>
                          <w:top w:val="nil"/>
                          <w:left w:val="nil"/>
                          <w:bottom w:val="nil"/>
                          <w:right w:val="single" w:sz="4" w:space="0" w:color="auto"/>
                        </w:tcBorders>
                        <w:shd w:val="clear" w:color="000000" w:fill="EDEDED"/>
                        <w:noWrap/>
                        <w:vAlign w:val="bottom"/>
                        <w:hideMark/>
                      </w:tcPr>
                      <w:p w14:paraId="65F81C85"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Gd6</w:t>
                        </w:r>
                      </w:p>
                    </w:tc>
                    <w:tc>
                      <w:tcPr>
                        <w:tcW w:w="1057" w:type="dxa"/>
                        <w:tcBorders>
                          <w:top w:val="nil"/>
                          <w:left w:val="nil"/>
                          <w:bottom w:val="nil"/>
                          <w:right w:val="nil"/>
                        </w:tcBorders>
                        <w:shd w:val="clear" w:color="000000" w:fill="EDEDED"/>
                        <w:noWrap/>
                        <w:vAlign w:val="bottom"/>
                        <w:hideMark/>
                      </w:tcPr>
                      <w:p w14:paraId="7A6B0A42" w14:textId="77777777" w:rsidR="00640FD0" w:rsidRPr="008925D4" w:rsidRDefault="00640FD0" w:rsidP="00640FD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Gd</w:t>
                        </w:r>
                        <w:r w:rsidRPr="008925D4">
                          <w:rPr>
                            <w:rFonts w:ascii="Calibri" w:eastAsia="Times New Roman" w:hAnsi="Calibri" w:cs="Calibri"/>
                            <w:color w:val="000000"/>
                            <w:lang w:eastAsia="en-GB"/>
                          </w:rPr>
                          <w:t>2</w:t>
                        </w:r>
                      </w:p>
                    </w:tc>
                    <w:tc>
                      <w:tcPr>
                        <w:tcW w:w="1024" w:type="dxa"/>
                        <w:tcBorders>
                          <w:top w:val="nil"/>
                          <w:left w:val="nil"/>
                          <w:bottom w:val="nil"/>
                          <w:right w:val="single" w:sz="8" w:space="0" w:color="auto"/>
                        </w:tcBorders>
                        <w:shd w:val="clear" w:color="000000" w:fill="EDEDED"/>
                        <w:noWrap/>
                        <w:vAlign w:val="bottom"/>
                        <w:hideMark/>
                      </w:tcPr>
                      <w:p w14:paraId="77756E0D"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Gd6</w:t>
                        </w:r>
                      </w:p>
                    </w:tc>
                    <w:tc>
                      <w:tcPr>
                        <w:tcW w:w="873" w:type="dxa"/>
                        <w:tcBorders>
                          <w:top w:val="nil"/>
                          <w:left w:val="nil"/>
                          <w:bottom w:val="nil"/>
                          <w:right w:val="nil"/>
                        </w:tcBorders>
                        <w:shd w:val="clear" w:color="auto" w:fill="auto"/>
                        <w:noWrap/>
                        <w:vAlign w:val="bottom"/>
                        <w:hideMark/>
                      </w:tcPr>
                      <w:p w14:paraId="6F0BCE19" w14:textId="77777777" w:rsidR="00640FD0" w:rsidRPr="008925D4" w:rsidRDefault="00640FD0" w:rsidP="00640FD0">
                        <w:pPr>
                          <w:spacing w:after="0" w:line="240" w:lineRule="auto"/>
                          <w:jc w:val="center"/>
                          <w:rPr>
                            <w:rFonts w:ascii="Calibri" w:eastAsia="Times New Roman" w:hAnsi="Calibri" w:cs="Calibri"/>
                            <w:color w:val="000000"/>
                            <w:lang w:eastAsia="en-GB"/>
                          </w:rPr>
                        </w:pPr>
                      </w:p>
                    </w:tc>
                  </w:tr>
                  <w:tr w:rsidR="00640FD0" w:rsidRPr="008925D4" w14:paraId="58C1051E" w14:textId="77777777" w:rsidTr="00E86245">
                    <w:trPr>
                      <w:trHeight w:val="288"/>
                    </w:trPr>
                    <w:tc>
                      <w:tcPr>
                        <w:tcW w:w="2011" w:type="dxa"/>
                        <w:tcBorders>
                          <w:top w:val="single" w:sz="4" w:space="0" w:color="auto"/>
                          <w:left w:val="single" w:sz="8" w:space="0" w:color="auto"/>
                          <w:bottom w:val="nil"/>
                          <w:right w:val="nil"/>
                        </w:tcBorders>
                        <w:shd w:val="clear" w:color="000000" w:fill="DDEBF7"/>
                        <w:noWrap/>
                        <w:vAlign w:val="bottom"/>
                        <w:hideMark/>
                      </w:tcPr>
                      <w:p w14:paraId="0483330C"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Benin</w:t>
                        </w:r>
                      </w:p>
                    </w:tc>
                    <w:tc>
                      <w:tcPr>
                        <w:tcW w:w="1311" w:type="dxa"/>
                        <w:tcBorders>
                          <w:top w:val="single" w:sz="4" w:space="0" w:color="auto"/>
                          <w:left w:val="nil"/>
                          <w:bottom w:val="nil"/>
                          <w:right w:val="nil"/>
                        </w:tcBorders>
                        <w:shd w:val="clear" w:color="000000" w:fill="DDEBF7"/>
                        <w:noWrap/>
                        <w:vAlign w:val="bottom"/>
                        <w:hideMark/>
                      </w:tcPr>
                      <w:p w14:paraId="384A1167"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8</w:t>
                        </w:r>
                      </w:p>
                    </w:tc>
                    <w:tc>
                      <w:tcPr>
                        <w:tcW w:w="1092" w:type="dxa"/>
                        <w:tcBorders>
                          <w:top w:val="single" w:sz="4" w:space="0" w:color="auto"/>
                          <w:left w:val="nil"/>
                          <w:bottom w:val="nil"/>
                          <w:right w:val="nil"/>
                        </w:tcBorders>
                        <w:shd w:val="clear" w:color="000000" w:fill="DDEBF7"/>
                        <w:noWrap/>
                        <w:vAlign w:val="bottom"/>
                        <w:hideMark/>
                      </w:tcPr>
                      <w:p w14:paraId="0C8A5F2F"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14</w:t>
                        </w:r>
                      </w:p>
                    </w:tc>
                    <w:tc>
                      <w:tcPr>
                        <w:tcW w:w="1137" w:type="dxa"/>
                        <w:tcBorders>
                          <w:top w:val="single" w:sz="4" w:space="0" w:color="auto"/>
                          <w:left w:val="single" w:sz="4" w:space="0" w:color="auto"/>
                          <w:bottom w:val="nil"/>
                          <w:right w:val="nil"/>
                        </w:tcBorders>
                        <w:shd w:val="clear" w:color="000000" w:fill="DDEBF7"/>
                        <w:noWrap/>
                        <w:vAlign w:val="bottom"/>
                        <w:hideMark/>
                      </w:tcPr>
                      <w:p w14:paraId="33723B7B"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39</w:t>
                        </w:r>
                      </w:p>
                    </w:tc>
                    <w:tc>
                      <w:tcPr>
                        <w:tcW w:w="967" w:type="dxa"/>
                        <w:tcBorders>
                          <w:top w:val="single" w:sz="4" w:space="0" w:color="auto"/>
                          <w:left w:val="nil"/>
                          <w:bottom w:val="nil"/>
                          <w:right w:val="single" w:sz="4" w:space="0" w:color="auto"/>
                        </w:tcBorders>
                        <w:shd w:val="clear" w:color="000000" w:fill="DDEBF7"/>
                        <w:noWrap/>
                        <w:vAlign w:val="bottom"/>
                        <w:hideMark/>
                      </w:tcPr>
                      <w:p w14:paraId="4060BA5F"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43</w:t>
                        </w:r>
                      </w:p>
                    </w:tc>
                    <w:tc>
                      <w:tcPr>
                        <w:tcW w:w="1057" w:type="dxa"/>
                        <w:tcBorders>
                          <w:top w:val="single" w:sz="4" w:space="0" w:color="auto"/>
                          <w:left w:val="nil"/>
                          <w:bottom w:val="nil"/>
                          <w:right w:val="nil"/>
                        </w:tcBorders>
                        <w:shd w:val="clear" w:color="000000" w:fill="DDEBF7"/>
                        <w:noWrap/>
                        <w:vAlign w:val="bottom"/>
                        <w:hideMark/>
                      </w:tcPr>
                      <w:p w14:paraId="59DA9C70"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50</w:t>
                        </w:r>
                      </w:p>
                    </w:tc>
                    <w:tc>
                      <w:tcPr>
                        <w:tcW w:w="1024" w:type="dxa"/>
                        <w:tcBorders>
                          <w:top w:val="single" w:sz="4" w:space="0" w:color="auto"/>
                          <w:left w:val="nil"/>
                          <w:bottom w:val="nil"/>
                          <w:right w:val="single" w:sz="8" w:space="0" w:color="auto"/>
                        </w:tcBorders>
                        <w:shd w:val="clear" w:color="000000" w:fill="DDEBF7"/>
                        <w:noWrap/>
                        <w:vAlign w:val="bottom"/>
                        <w:hideMark/>
                      </w:tcPr>
                      <w:p w14:paraId="32B04AEE"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47</w:t>
                        </w:r>
                      </w:p>
                    </w:tc>
                    <w:tc>
                      <w:tcPr>
                        <w:tcW w:w="873" w:type="dxa"/>
                        <w:tcBorders>
                          <w:top w:val="nil"/>
                          <w:left w:val="nil"/>
                          <w:bottom w:val="nil"/>
                          <w:right w:val="nil"/>
                        </w:tcBorders>
                        <w:shd w:val="clear" w:color="auto" w:fill="auto"/>
                        <w:noWrap/>
                        <w:vAlign w:val="bottom"/>
                        <w:hideMark/>
                      </w:tcPr>
                      <w:p w14:paraId="303768EC" w14:textId="77777777" w:rsidR="00640FD0" w:rsidRPr="008925D4" w:rsidRDefault="00640FD0" w:rsidP="00640FD0">
                        <w:pPr>
                          <w:spacing w:after="0" w:line="240" w:lineRule="auto"/>
                          <w:jc w:val="center"/>
                          <w:rPr>
                            <w:rFonts w:ascii="Calibri" w:eastAsia="Times New Roman" w:hAnsi="Calibri" w:cs="Calibri"/>
                            <w:color w:val="000000"/>
                            <w:lang w:eastAsia="en-GB"/>
                          </w:rPr>
                        </w:pPr>
                      </w:p>
                    </w:tc>
                  </w:tr>
                  <w:tr w:rsidR="00640FD0" w:rsidRPr="008925D4" w14:paraId="21AF85B2" w14:textId="77777777" w:rsidTr="00E86245">
                    <w:trPr>
                      <w:trHeight w:val="288"/>
                    </w:trPr>
                    <w:tc>
                      <w:tcPr>
                        <w:tcW w:w="2011" w:type="dxa"/>
                        <w:tcBorders>
                          <w:top w:val="nil"/>
                          <w:left w:val="single" w:sz="8" w:space="0" w:color="auto"/>
                          <w:bottom w:val="nil"/>
                          <w:right w:val="nil"/>
                        </w:tcBorders>
                        <w:shd w:val="clear" w:color="000000" w:fill="DDEBF7"/>
                        <w:noWrap/>
                        <w:vAlign w:val="bottom"/>
                        <w:hideMark/>
                      </w:tcPr>
                      <w:p w14:paraId="7FEE3280"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Burkina Faso</w:t>
                        </w:r>
                      </w:p>
                    </w:tc>
                    <w:tc>
                      <w:tcPr>
                        <w:tcW w:w="1311" w:type="dxa"/>
                        <w:tcBorders>
                          <w:top w:val="nil"/>
                          <w:left w:val="nil"/>
                          <w:bottom w:val="nil"/>
                          <w:right w:val="nil"/>
                        </w:tcBorders>
                        <w:shd w:val="clear" w:color="000000" w:fill="DDEBF7"/>
                        <w:noWrap/>
                        <w:vAlign w:val="bottom"/>
                        <w:hideMark/>
                      </w:tcPr>
                      <w:p w14:paraId="70145A33"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1</w:t>
                        </w:r>
                      </w:p>
                    </w:tc>
                    <w:tc>
                      <w:tcPr>
                        <w:tcW w:w="1092" w:type="dxa"/>
                        <w:tcBorders>
                          <w:top w:val="nil"/>
                          <w:left w:val="nil"/>
                          <w:bottom w:val="nil"/>
                          <w:right w:val="nil"/>
                        </w:tcBorders>
                        <w:shd w:val="clear" w:color="000000" w:fill="DDEBF7"/>
                        <w:noWrap/>
                        <w:vAlign w:val="bottom"/>
                        <w:hideMark/>
                      </w:tcPr>
                      <w:p w14:paraId="57D5408D"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13</w:t>
                        </w:r>
                      </w:p>
                    </w:tc>
                    <w:tc>
                      <w:tcPr>
                        <w:tcW w:w="1137" w:type="dxa"/>
                        <w:tcBorders>
                          <w:top w:val="nil"/>
                          <w:left w:val="single" w:sz="4" w:space="0" w:color="auto"/>
                          <w:bottom w:val="nil"/>
                          <w:right w:val="nil"/>
                        </w:tcBorders>
                        <w:shd w:val="clear" w:color="000000" w:fill="DDEBF7"/>
                        <w:noWrap/>
                        <w:vAlign w:val="bottom"/>
                        <w:hideMark/>
                      </w:tcPr>
                      <w:p w14:paraId="2B1A3BF6"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8</w:t>
                        </w:r>
                      </w:p>
                    </w:tc>
                    <w:tc>
                      <w:tcPr>
                        <w:tcW w:w="967" w:type="dxa"/>
                        <w:tcBorders>
                          <w:top w:val="nil"/>
                          <w:left w:val="nil"/>
                          <w:bottom w:val="nil"/>
                          <w:right w:val="single" w:sz="4" w:space="0" w:color="auto"/>
                        </w:tcBorders>
                        <w:shd w:val="clear" w:color="000000" w:fill="DDEBF7"/>
                        <w:noWrap/>
                        <w:vAlign w:val="bottom"/>
                        <w:hideMark/>
                      </w:tcPr>
                      <w:p w14:paraId="287B24EF"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40</w:t>
                        </w:r>
                      </w:p>
                    </w:tc>
                    <w:tc>
                      <w:tcPr>
                        <w:tcW w:w="1057" w:type="dxa"/>
                        <w:tcBorders>
                          <w:top w:val="nil"/>
                          <w:left w:val="nil"/>
                          <w:bottom w:val="nil"/>
                          <w:right w:val="nil"/>
                        </w:tcBorders>
                        <w:shd w:val="clear" w:color="000000" w:fill="DDEBF7"/>
                        <w:noWrap/>
                        <w:vAlign w:val="bottom"/>
                        <w:hideMark/>
                      </w:tcPr>
                      <w:p w14:paraId="1744B321"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43</w:t>
                        </w:r>
                      </w:p>
                    </w:tc>
                    <w:tc>
                      <w:tcPr>
                        <w:tcW w:w="1024" w:type="dxa"/>
                        <w:tcBorders>
                          <w:top w:val="nil"/>
                          <w:left w:val="nil"/>
                          <w:bottom w:val="nil"/>
                          <w:right w:val="single" w:sz="8" w:space="0" w:color="auto"/>
                        </w:tcBorders>
                        <w:shd w:val="clear" w:color="000000" w:fill="DDEBF7"/>
                        <w:noWrap/>
                        <w:vAlign w:val="bottom"/>
                        <w:hideMark/>
                      </w:tcPr>
                      <w:p w14:paraId="4198A559"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33</w:t>
                        </w:r>
                      </w:p>
                    </w:tc>
                    <w:tc>
                      <w:tcPr>
                        <w:tcW w:w="873" w:type="dxa"/>
                        <w:tcBorders>
                          <w:top w:val="nil"/>
                          <w:left w:val="nil"/>
                          <w:bottom w:val="nil"/>
                          <w:right w:val="nil"/>
                        </w:tcBorders>
                        <w:shd w:val="clear" w:color="auto" w:fill="auto"/>
                        <w:noWrap/>
                        <w:vAlign w:val="bottom"/>
                        <w:hideMark/>
                      </w:tcPr>
                      <w:p w14:paraId="180C0F31" w14:textId="77777777" w:rsidR="00640FD0" w:rsidRPr="008925D4" w:rsidRDefault="00640FD0" w:rsidP="00640FD0">
                        <w:pPr>
                          <w:spacing w:after="0" w:line="240" w:lineRule="auto"/>
                          <w:jc w:val="center"/>
                          <w:rPr>
                            <w:rFonts w:ascii="Calibri" w:eastAsia="Times New Roman" w:hAnsi="Calibri" w:cs="Calibri"/>
                            <w:color w:val="000000"/>
                            <w:lang w:eastAsia="en-GB"/>
                          </w:rPr>
                        </w:pPr>
                      </w:p>
                    </w:tc>
                  </w:tr>
                  <w:tr w:rsidR="00640FD0" w:rsidRPr="008925D4" w14:paraId="23163869" w14:textId="77777777" w:rsidTr="00E86245">
                    <w:trPr>
                      <w:trHeight w:val="288"/>
                    </w:trPr>
                    <w:tc>
                      <w:tcPr>
                        <w:tcW w:w="2011" w:type="dxa"/>
                        <w:tcBorders>
                          <w:top w:val="nil"/>
                          <w:left w:val="single" w:sz="8" w:space="0" w:color="auto"/>
                          <w:bottom w:val="nil"/>
                          <w:right w:val="nil"/>
                        </w:tcBorders>
                        <w:shd w:val="clear" w:color="000000" w:fill="DDEBF7"/>
                        <w:noWrap/>
                        <w:vAlign w:val="bottom"/>
                        <w:hideMark/>
                      </w:tcPr>
                      <w:p w14:paraId="65A8CEA9"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Cameroon</w:t>
                        </w:r>
                      </w:p>
                    </w:tc>
                    <w:tc>
                      <w:tcPr>
                        <w:tcW w:w="1311" w:type="dxa"/>
                        <w:tcBorders>
                          <w:top w:val="nil"/>
                          <w:left w:val="nil"/>
                          <w:bottom w:val="nil"/>
                          <w:right w:val="nil"/>
                        </w:tcBorders>
                        <w:shd w:val="clear" w:color="000000" w:fill="DDEBF7"/>
                        <w:noWrap/>
                        <w:vAlign w:val="bottom"/>
                        <w:hideMark/>
                      </w:tcPr>
                      <w:p w14:paraId="180D10CC"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7</w:t>
                        </w:r>
                      </w:p>
                    </w:tc>
                    <w:tc>
                      <w:tcPr>
                        <w:tcW w:w="1092" w:type="dxa"/>
                        <w:tcBorders>
                          <w:top w:val="nil"/>
                          <w:left w:val="nil"/>
                          <w:bottom w:val="nil"/>
                          <w:right w:val="nil"/>
                        </w:tcBorders>
                        <w:shd w:val="clear" w:color="000000" w:fill="DDEBF7"/>
                        <w:noWrap/>
                        <w:vAlign w:val="bottom"/>
                        <w:hideMark/>
                      </w:tcPr>
                      <w:p w14:paraId="484A2F10"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12</w:t>
                        </w:r>
                      </w:p>
                    </w:tc>
                    <w:tc>
                      <w:tcPr>
                        <w:tcW w:w="1137" w:type="dxa"/>
                        <w:tcBorders>
                          <w:top w:val="nil"/>
                          <w:left w:val="single" w:sz="4" w:space="0" w:color="auto"/>
                          <w:bottom w:val="nil"/>
                          <w:right w:val="nil"/>
                        </w:tcBorders>
                        <w:shd w:val="clear" w:color="000000" w:fill="DDEBF7"/>
                        <w:noWrap/>
                        <w:vAlign w:val="bottom"/>
                        <w:hideMark/>
                      </w:tcPr>
                      <w:p w14:paraId="60FC4131"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9</w:t>
                        </w:r>
                      </w:p>
                    </w:tc>
                    <w:tc>
                      <w:tcPr>
                        <w:tcW w:w="967" w:type="dxa"/>
                        <w:tcBorders>
                          <w:top w:val="nil"/>
                          <w:left w:val="nil"/>
                          <w:bottom w:val="nil"/>
                          <w:right w:val="single" w:sz="4" w:space="0" w:color="auto"/>
                        </w:tcBorders>
                        <w:shd w:val="clear" w:color="000000" w:fill="DDEBF7"/>
                        <w:noWrap/>
                        <w:vAlign w:val="bottom"/>
                        <w:hideMark/>
                      </w:tcPr>
                      <w:p w14:paraId="485DE079"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13</w:t>
                        </w:r>
                      </w:p>
                    </w:tc>
                    <w:tc>
                      <w:tcPr>
                        <w:tcW w:w="1057" w:type="dxa"/>
                        <w:tcBorders>
                          <w:top w:val="nil"/>
                          <w:left w:val="nil"/>
                          <w:bottom w:val="nil"/>
                          <w:right w:val="nil"/>
                        </w:tcBorders>
                        <w:shd w:val="clear" w:color="000000" w:fill="DDEBF7"/>
                        <w:noWrap/>
                        <w:vAlign w:val="bottom"/>
                        <w:hideMark/>
                      </w:tcPr>
                      <w:p w14:paraId="54795C78"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36</w:t>
                        </w:r>
                      </w:p>
                    </w:tc>
                    <w:tc>
                      <w:tcPr>
                        <w:tcW w:w="1024" w:type="dxa"/>
                        <w:tcBorders>
                          <w:top w:val="nil"/>
                          <w:left w:val="nil"/>
                          <w:bottom w:val="nil"/>
                          <w:right w:val="single" w:sz="8" w:space="0" w:color="auto"/>
                        </w:tcBorders>
                        <w:shd w:val="clear" w:color="000000" w:fill="DDEBF7"/>
                        <w:noWrap/>
                        <w:vAlign w:val="bottom"/>
                        <w:hideMark/>
                      </w:tcPr>
                      <w:p w14:paraId="4EDD519E"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61</w:t>
                        </w:r>
                      </w:p>
                    </w:tc>
                    <w:tc>
                      <w:tcPr>
                        <w:tcW w:w="873" w:type="dxa"/>
                        <w:tcBorders>
                          <w:top w:val="nil"/>
                          <w:left w:val="nil"/>
                          <w:bottom w:val="nil"/>
                          <w:right w:val="nil"/>
                        </w:tcBorders>
                        <w:shd w:val="clear" w:color="auto" w:fill="auto"/>
                        <w:noWrap/>
                        <w:vAlign w:val="bottom"/>
                        <w:hideMark/>
                      </w:tcPr>
                      <w:p w14:paraId="1B90F510" w14:textId="77777777" w:rsidR="00640FD0" w:rsidRPr="008925D4" w:rsidRDefault="00640FD0" w:rsidP="00640FD0">
                        <w:pPr>
                          <w:spacing w:after="0" w:line="240" w:lineRule="auto"/>
                          <w:jc w:val="center"/>
                          <w:rPr>
                            <w:rFonts w:ascii="Calibri" w:eastAsia="Times New Roman" w:hAnsi="Calibri" w:cs="Calibri"/>
                            <w:color w:val="000000"/>
                            <w:lang w:eastAsia="en-GB"/>
                          </w:rPr>
                        </w:pPr>
                      </w:p>
                    </w:tc>
                  </w:tr>
                  <w:tr w:rsidR="00640FD0" w:rsidRPr="008925D4" w14:paraId="1705C22F" w14:textId="77777777" w:rsidTr="00E86245">
                    <w:trPr>
                      <w:trHeight w:val="288"/>
                    </w:trPr>
                    <w:tc>
                      <w:tcPr>
                        <w:tcW w:w="2011" w:type="dxa"/>
                        <w:tcBorders>
                          <w:top w:val="nil"/>
                          <w:left w:val="single" w:sz="8" w:space="0" w:color="auto"/>
                          <w:bottom w:val="nil"/>
                          <w:right w:val="nil"/>
                        </w:tcBorders>
                        <w:shd w:val="clear" w:color="000000" w:fill="DDEBF7"/>
                        <w:noWrap/>
                        <w:vAlign w:val="bottom"/>
                        <w:hideMark/>
                      </w:tcPr>
                      <w:p w14:paraId="267EE691"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Congo</w:t>
                        </w:r>
                      </w:p>
                    </w:tc>
                    <w:tc>
                      <w:tcPr>
                        <w:tcW w:w="1311" w:type="dxa"/>
                        <w:tcBorders>
                          <w:top w:val="nil"/>
                          <w:left w:val="nil"/>
                          <w:bottom w:val="nil"/>
                          <w:right w:val="nil"/>
                        </w:tcBorders>
                        <w:shd w:val="clear" w:color="000000" w:fill="DDEBF7"/>
                        <w:noWrap/>
                        <w:vAlign w:val="bottom"/>
                        <w:hideMark/>
                      </w:tcPr>
                      <w:p w14:paraId="6D601B05"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4</w:t>
                        </w:r>
                      </w:p>
                    </w:tc>
                    <w:tc>
                      <w:tcPr>
                        <w:tcW w:w="1092" w:type="dxa"/>
                        <w:tcBorders>
                          <w:top w:val="nil"/>
                          <w:left w:val="nil"/>
                          <w:bottom w:val="nil"/>
                          <w:right w:val="nil"/>
                        </w:tcBorders>
                        <w:shd w:val="clear" w:color="000000" w:fill="DDEBF7"/>
                        <w:noWrap/>
                        <w:vAlign w:val="bottom"/>
                        <w:hideMark/>
                      </w:tcPr>
                      <w:p w14:paraId="1AF9808F"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7</w:t>
                        </w:r>
                      </w:p>
                    </w:tc>
                    <w:tc>
                      <w:tcPr>
                        <w:tcW w:w="1137" w:type="dxa"/>
                        <w:tcBorders>
                          <w:top w:val="nil"/>
                          <w:left w:val="single" w:sz="4" w:space="0" w:color="auto"/>
                          <w:bottom w:val="nil"/>
                          <w:right w:val="nil"/>
                        </w:tcBorders>
                        <w:shd w:val="clear" w:color="000000" w:fill="DDEBF7"/>
                        <w:noWrap/>
                        <w:vAlign w:val="bottom"/>
                        <w:hideMark/>
                      </w:tcPr>
                      <w:p w14:paraId="70C5BD98"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4</w:t>
                        </w:r>
                      </w:p>
                    </w:tc>
                    <w:tc>
                      <w:tcPr>
                        <w:tcW w:w="967" w:type="dxa"/>
                        <w:tcBorders>
                          <w:top w:val="nil"/>
                          <w:left w:val="nil"/>
                          <w:bottom w:val="nil"/>
                          <w:right w:val="single" w:sz="4" w:space="0" w:color="auto"/>
                        </w:tcBorders>
                        <w:shd w:val="clear" w:color="000000" w:fill="DDEBF7"/>
                        <w:noWrap/>
                        <w:vAlign w:val="bottom"/>
                        <w:hideMark/>
                      </w:tcPr>
                      <w:p w14:paraId="6D0773A4"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20</w:t>
                        </w:r>
                      </w:p>
                    </w:tc>
                    <w:tc>
                      <w:tcPr>
                        <w:tcW w:w="1057" w:type="dxa"/>
                        <w:tcBorders>
                          <w:top w:val="nil"/>
                          <w:left w:val="nil"/>
                          <w:bottom w:val="nil"/>
                          <w:right w:val="nil"/>
                        </w:tcBorders>
                        <w:shd w:val="clear" w:color="000000" w:fill="DDEBF7"/>
                        <w:noWrap/>
                        <w:vAlign w:val="bottom"/>
                        <w:hideMark/>
                      </w:tcPr>
                      <w:p w14:paraId="51EC4B7F"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0</w:t>
                        </w:r>
                      </w:p>
                    </w:tc>
                    <w:tc>
                      <w:tcPr>
                        <w:tcW w:w="1024" w:type="dxa"/>
                        <w:tcBorders>
                          <w:top w:val="nil"/>
                          <w:left w:val="nil"/>
                          <w:bottom w:val="nil"/>
                          <w:right w:val="single" w:sz="8" w:space="0" w:color="auto"/>
                        </w:tcBorders>
                        <w:shd w:val="clear" w:color="000000" w:fill="DDEBF7"/>
                        <w:noWrap/>
                        <w:vAlign w:val="bottom"/>
                        <w:hideMark/>
                      </w:tcPr>
                      <w:p w14:paraId="711916C8"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70</w:t>
                        </w:r>
                      </w:p>
                    </w:tc>
                    <w:tc>
                      <w:tcPr>
                        <w:tcW w:w="873" w:type="dxa"/>
                        <w:tcBorders>
                          <w:top w:val="nil"/>
                          <w:left w:val="nil"/>
                          <w:bottom w:val="nil"/>
                          <w:right w:val="nil"/>
                        </w:tcBorders>
                        <w:shd w:val="clear" w:color="auto" w:fill="auto"/>
                        <w:noWrap/>
                        <w:vAlign w:val="bottom"/>
                        <w:hideMark/>
                      </w:tcPr>
                      <w:p w14:paraId="6A8BFA14" w14:textId="77777777" w:rsidR="00640FD0" w:rsidRPr="008925D4" w:rsidRDefault="00640FD0" w:rsidP="00640FD0">
                        <w:pPr>
                          <w:spacing w:after="0" w:line="240" w:lineRule="auto"/>
                          <w:jc w:val="center"/>
                          <w:rPr>
                            <w:rFonts w:ascii="Calibri" w:eastAsia="Times New Roman" w:hAnsi="Calibri" w:cs="Calibri"/>
                            <w:color w:val="000000"/>
                            <w:lang w:eastAsia="en-GB"/>
                          </w:rPr>
                        </w:pPr>
                      </w:p>
                    </w:tc>
                  </w:tr>
                  <w:tr w:rsidR="00640FD0" w:rsidRPr="008925D4" w14:paraId="25F6C2A8" w14:textId="77777777" w:rsidTr="00E86245">
                    <w:trPr>
                      <w:trHeight w:val="288"/>
                    </w:trPr>
                    <w:tc>
                      <w:tcPr>
                        <w:tcW w:w="2011" w:type="dxa"/>
                        <w:tcBorders>
                          <w:top w:val="nil"/>
                          <w:left w:val="single" w:sz="8" w:space="0" w:color="auto"/>
                          <w:bottom w:val="nil"/>
                          <w:right w:val="nil"/>
                        </w:tcBorders>
                        <w:shd w:val="clear" w:color="000000" w:fill="DDEBF7"/>
                        <w:noWrap/>
                        <w:vAlign w:val="bottom"/>
                        <w:hideMark/>
                      </w:tcPr>
                      <w:p w14:paraId="52F754A6"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Cote d'Ivoire</w:t>
                        </w:r>
                      </w:p>
                    </w:tc>
                    <w:tc>
                      <w:tcPr>
                        <w:tcW w:w="1311" w:type="dxa"/>
                        <w:tcBorders>
                          <w:top w:val="nil"/>
                          <w:left w:val="nil"/>
                          <w:bottom w:val="nil"/>
                          <w:right w:val="nil"/>
                        </w:tcBorders>
                        <w:shd w:val="clear" w:color="000000" w:fill="DDEBF7"/>
                        <w:noWrap/>
                        <w:vAlign w:val="bottom"/>
                        <w:hideMark/>
                      </w:tcPr>
                      <w:p w14:paraId="75773A65"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2</w:t>
                        </w:r>
                      </w:p>
                    </w:tc>
                    <w:tc>
                      <w:tcPr>
                        <w:tcW w:w="1092" w:type="dxa"/>
                        <w:tcBorders>
                          <w:top w:val="nil"/>
                          <w:left w:val="nil"/>
                          <w:bottom w:val="nil"/>
                          <w:right w:val="nil"/>
                        </w:tcBorders>
                        <w:shd w:val="clear" w:color="000000" w:fill="DDEBF7"/>
                        <w:noWrap/>
                        <w:vAlign w:val="bottom"/>
                        <w:hideMark/>
                      </w:tcPr>
                      <w:p w14:paraId="7A082994"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4</w:t>
                        </w:r>
                      </w:p>
                    </w:tc>
                    <w:tc>
                      <w:tcPr>
                        <w:tcW w:w="1137" w:type="dxa"/>
                        <w:tcBorders>
                          <w:top w:val="nil"/>
                          <w:left w:val="single" w:sz="4" w:space="0" w:color="auto"/>
                          <w:bottom w:val="nil"/>
                          <w:right w:val="nil"/>
                        </w:tcBorders>
                        <w:shd w:val="clear" w:color="000000" w:fill="DDEBF7"/>
                        <w:noWrap/>
                        <w:vAlign w:val="bottom"/>
                        <w:hideMark/>
                      </w:tcPr>
                      <w:p w14:paraId="262FFA65"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31</w:t>
                        </w:r>
                      </w:p>
                    </w:tc>
                    <w:tc>
                      <w:tcPr>
                        <w:tcW w:w="967" w:type="dxa"/>
                        <w:tcBorders>
                          <w:top w:val="nil"/>
                          <w:left w:val="nil"/>
                          <w:bottom w:val="nil"/>
                          <w:right w:val="single" w:sz="4" w:space="0" w:color="auto"/>
                        </w:tcBorders>
                        <w:shd w:val="clear" w:color="000000" w:fill="DDEBF7"/>
                        <w:noWrap/>
                        <w:vAlign w:val="bottom"/>
                        <w:hideMark/>
                      </w:tcPr>
                      <w:p w14:paraId="19A5B043"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33</w:t>
                        </w:r>
                      </w:p>
                    </w:tc>
                    <w:tc>
                      <w:tcPr>
                        <w:tcW w:w="1057" w:type="dxa"/>
                        <w:tcBorders>
                          <w:top w:val="nil"/>
                          <w:left w:val="nil"/>
                          <w:bottom w:val="nil"/>
                          <w:right w:val="nil"/>
                        </w:tcBorders>
                        <w:shd w:val="clear" w:color="000000" w:fill="DDEBF7"/>
                        <w:noWrap/>
                        <w:vAlign w:val="bottom"/>
                        <w:hideMark/>
                      </w:tcPr>
                      <w:p w14:paraId="0467BD54"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32</w:t>
                        </w:r>
                      </w:p>
                    </w:tc>
                    <w:tc>
                      <w:tcPr>
                        <w:tcW w:w="1024" w:type="dxa"/>
                        <w:tcBorders>
                          <w:top w:val="nil"/>
                          <w:left w:val="nil"/>
                          <w:bottom w:val="nil"/>
                          <w:right w:val="single" w:sz="8" w:space="0" w:color="auto"/>
                        </w:tcBorders>
                        <w:shd w:val="clear" w:color="000000" w:fill="DDEBF7"/>
                        <w:noWrap/>
                        <w:vAlign w:val="bottom"/>
                        <w:hideMark/>
                      </w:tcPr>
                      <w:p w14:paraId="1AD701D4"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39</w:t>
                        </w:r>
                      </w:p>
                    </w:tc>
                    <w:tc>
                      <w:tcPr>
                        <w:tcW w:w="873" w:type="dxa"/>
                        <w:tcBorders>
                          <w:top w:val="nil"/>
                          <w:left w:val="nil"/>
                          <w:bottom w:val="nil"/>
                          <w:right w:val="nil"/>
                        </w:tcBorders>
                        <w:shd w:val="clear" w:color="auto" w:fill="auto"/>
                        <w:noWrap/>
                        <w:vAlign w:val="bottom"/>
                        <w:hideMark/>
                      </w:tcPr>
                      <w:p w14:paraId="456DF257" w14:textId="77777777" w:rsidR="00640FD0" w:rsidRPr="008925D4" w:rsidRDefault="00640FD0" w:rsidP="00640FD0">
                        <w:pPr>
                          <w:spacing w:after="0" w:line="240" w:lineRule="auto"/>
                          <w:jc w:val="center"/>
                          <w:rPr>
                            <w:rFonts w:ascii="Calibri" w:eastAsia="Times New Roman" w:hAnsi="Calibri" w:cs="Calibri"/>
                            <w:color w:val="000000"/>
                            <w:lang w:eastAsia="en-GB"/>
                          </w:rPr>
                        </w:pPr>
                      </w:p>
                    </w:tc>
                  </w:tr>
                  <w:tr w:rsidR="00640FD0" w:rsidRPr="008925D4" w14:paraId="615F50E1" w14:textId="77777777" w:rsidTr="00E86245">
                    <w:trPr>
                      <w:trHeight w:val="288"/>
                    </w:trPr>
                    <w:tc>
                      <w:tcPr>
                        <w:tcW w:w="2011" w:type="dxa"/>
                        <w:tcBorders>
                          <w:top w:val="nil"/>
                          <w:left w:val="single" w:sz="8" w:space="0" w:color="auto"/>
                          <w:bottom w:val="nil"/>
                          <w:right w:val="nil"/>
                        </w:tcBorders>
                        <w:shd w:val="clear" w:color="000000" w:fill="DDEBF7"/>
                        <w:noWrap/>
                        <w:vAlign w:val="bottom"/>
                        <w:hideMark/>
                      </w:tcPr>
                      <w:p w14:paraId="069672B6"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Niger</w:t>
                        </w:r>
                      </w:p>
                    </w:tc>
                    <w:tc>
                      <w:tcPr>
                        <w:tcW w:w="1311" w:type="dxa"/>
                        <w:tcBorders>
                          <w:top w:val="nil"/>
                          <w:left w:val="nil"/>
                          <w:bottom w:val="nil"/>
                          <w:right w:val="nil"/>
                        </w:tcBorders>
                        <w:shd w:val="clear" w:color="000000" w:fill="DDEBF7"/>
                        <w:noWrap/>
                        <w:vAlign w:val="bottom"/>
                        <w:hideMark/>
                      </w:tcPr>
                      <w:p w14:paraId="54BB7520"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0</w:t>
                        </w:r>
                      </w:p>
                    </w:tc>
                    <w:tc>
                      <w:tcPr>
                        <w:tcW w:w="1092" w:type="dxa"/>
                        <w:tcBorders>
                          <w:top w:val="nil"/>
                          <w:left w:val="nil"/>
                          <w:bottom w:val="nil"/>
                          <w:right w:val="nil"/>
                        </w:tcBorders>
                        <w:shd w:val="clear" w:color="000000" w:fill="DDEBF7"/>
                        <w:noWrap/>
                        <w:vAlign w:val="bottom"/>
                        <w:hideMark/>
                      </w:tcPr>
                      <w:p w14:paraId="368931A1"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22</w:t>
                        </w:r>
                      </w:p>
                    </w:tc>
                    <w:tc>
                      <w:tcPr>
                        <w:tcW w:w="1137" w:type="dxa"/>
                        <w:tcBorders>
                          <w:top w:val="nil"/>
                          <w:left w:val="single" w:sz="4" w:space="0" w:color="auto"/>
                          <w:bottom w:val="nil"/>
                          <w:right w:val="nil"/>
                        </w:tcBorders>
                        <w:shd w:val="clear" w:color="000000" w:fill="DDEBF7"/>
                        <w:noWrap/>
                        <w:vAlign w:val="bottom"/>
                        <w:hideMark/>
                      </w:tcPr>
                      <w:p w14:paraId="4841C1A2"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22</w:t>
                        </w:r>
                      </w:p>
                    </w:tc>
                    <w:tc>
                      <w:tcPr>
                        <w:tcW w:w="967" w:type="dxa"/>
                        <w:tcBorders>
                          <w:top w:val="nil"/>
                          <w:left w:val="nil"/>
                          <w:bottom w:val="nil"/>
                          <w:right w:val="single" w:sz="4" w:space="0" w:color="auto"/>
                        </w:tcBorders>
                        <w:shd w:val="clear" w:color="000000" w:fill="DDEBF7"/>
                        <w:noWrap/>
                        <w:vAlign w:val="bottom"/>
                        <w:hideMark/>
                      </w:tcPr>
                      <w:p w14:paraId="1DAE3D05"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21</w:t>
                        </w:r>
                      </w:p>
                    </w:tc>
                    <w:tc>
                      <w:tcPr>
                        <w:tcW w:w="1057" w:type="dxa"/>
                        <w:tcBorders>
                          <w:top w:val="nil"/>
                          <w:left w:val="nil"/>
                          <w:bottom w:val="nil"/>
                          <w:right w:val="nil"/>
                        </w:tcBorders>
                        <w:shd w:val="clear" w:color="000000" w:fill="DDEBF7"/>
                        <w:noWrap/>
                        <w:vAlign w:val="bottom"/>
                        <w:hideMark/>
                      </w:tcPr>
                      <w:p w14:paraId="4067A223"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0</w:t>
                        </w:r>
                      </w:p>
                    </w:tc>
                    <w:tc>
                      <w:tcPr>
                        <w:tcW w:w="1024" w:type="dxa"/>
                        <w:tcBorders>
                          <w:top w:val="nil"/>
                          <w:left w:val="nil"/>
                          <w:bottom w:val="nil"/>
                          <w:right w:val="single" w:sz="8" w:space="0" w:color="auto"/>
                        </w:tcBorders>
                        <w:shd w:val="clear" w:color="000000" w:fill="DDEBF7"/>
                        <w:noWrap/>
                        <w:vAlign w:val="bottom"/>
                        <w:hideMark/>
                      </w:tcPr>
                      <w:p w14:paraId="62C3F0D4"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82</w:t>
                        </w:r>
                      </w:p>
                    </w:tc>
                    <w:tc>
                      <w:tcPr>
                        <w:tcW w:w="873" w:type="dxa"/>
                        <w:tcBorders>
                          <w:top w:val="nil"/>
                          <w:left w:val="nil"/>
                          <w:bottom w:val="nil"/>
                          <w:right w:val="nil"/>
                        </w:tcBorders>
                        <w:shd w:val="clear" w:color="auto" w:fill="auto"/>
                        <w:noWrap/>
                        <w:vAlign w:val="bottom"/>
                        <w:hideMark/>
                      </w:tcPr>
                      <w:p w14:paraId="11FAE63C" w14:textId="77777777" w:rsidR="00640FD0" w:rsidRPr="008925D4" w:rsidRDefault="00640FD0" w:rsidP="00640FD0">
                        <w:pPr>
                          <w:spacing w:after="0" w:line="240" w:lineRule="auto"/>
                          <w:jc w:val="center"/>
                          <w:rPr>
                            <w:rFonts w:ascii="Calibri" w:eastAsia="Times New Roman" w:hAnsi="Calibri" w:cs="Calibri"/>
                            <w:color w:val="000000"/>
                            <w:lang w:eastAsia="en-GB"/>
                          </w:rPr>
                        </w:pPr>
                      </w:p>
                    </w:tc>
                  </w:tr>
                  <w:tr w:rsidR="00640FD0" w:rsidRPr="008925D4" w14:paraId="74787DB9" w14:textId="77777777" w:rsidTr="00E86245">
                    <w:trPr>
                      <w:trHeight w:val="300"/>
                    </w:trPr>
                    <w:tc>
                      <w:tcPr>
                        <w:tcW w:w="2011" w:type="dxa"/>
                        <w:tcBorders>
                          <w:top w:val="nil"/>
                          <w:left w:val="single" w:sz="8" w:space="0" w:color="auto"/>
                          <w:bottom w:val="nil"/>
                          <w:right w:val="nil"/>
                        </w:tcBorders>
                        <w:shd w:val="clear" w:color="000000" w:fill="DDEBF7"/>
                        <w:noWrap/>
                        <w:vAlign w:val="bottom"/>
                        <w:hideMark/>
                      </w:tcPr>
                      <w:p w14:paraId="20AEB3B6"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Senegal</w:t>
                        </w:r>
                      </w:p>
                    </w:tc>
                    <w:tc>
                      <w:tcPr>
                        <w:tcW w:w="1311" w:type="dxa"/>
                        <w:tcBorders>
                          <w:top w:val="nil"/>
                          <w:left w:val="nil"/>
                          <w:bottom w:val="nil"/>
                          <w:right w:val="nil"/>
                        </w:tcBorders>
                        <w:shd w:val="clear" w:color="000000" w:fill="DDEBF7"/>
                        <w:noWrap/>
                        <w:vAlign w:val="bottom"/>
                        <w:hideMark/>
                      </w:tcPr>
                      <w:p w14:paraId="69311D23"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0</w:t>
                        </w:r>
                      </w:p>
                    </w:tc>
                    <w:tc>
                      <w:tcPr>
                        <w:tcW w:w="1092" w:type="dxa"/>
                        <w:tcBorders>
                          <w:top w:val="nil"/>
                          <w:left w:val="nil"/>
                          <w:bottom w:val="nil"/>
                          <w:right w:val="nil"/>
                        </w:tcBorders>
                        <w:shd w:val="clear" w:color="000000" w:fill="DDEBF7"/>
                        <w:noWrap/>
                        <w:vAlign w:val="bottom"/>
                        <w:hideMark/>
                      </w:tcPr>
                      <w:p w14:paraId="1C37C79F"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14</w:t>
                        </w:r>
                      </w:p>
                    </w:tc>
                    <w:tc>
                      <w:tcPr>
                        <w:tcW w:w="1137" w:type="dxa"/>
                        <w:tcBorders>
                          <w:top w:val="nil"/>
                          <w:left w:val="single" w:sz="4" w:space="0" w:color="auto"/>
                          <w:bottom w:val="nil"/>
                          <w:right w:val="nil"/>
                        </w:tcBorders>
                        <w:shd w:val="clear" w:color="000000" w:fill="DDEBF7"/>
                        <w:noWrap/>
                        <w:vAlign w:val="bottom"/>
                        <w:hideMark/>
                      </w:tcPr>
                      <w:p w14:paraId="22F1D490"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0</w:t>
                        </w:r>
                      </w:p>
                    </w:tc>
                    <w:tc>
                      <w:tcPr>
                        <w:tcW w:w="967" w:type="dxa"/>
                        <w:tcBorders>
                          <w:top w:val="nil"/>
                          <w:left w:val="nil"/>
                          <w:bottom w:val="nil"/>
                          <w:right w:val="single" w:sz="4" w:space="0" w:color="auto"/>
                        </w:tcBorders>
                        <w:shd w:val="clear" w:color="000000" w:fill="DDEBF7"/>
                        <w:noWrap/>
                        <w:vAlign w:val="bottom"/>
                        <w:hideMark/>
                      </w:tcPr>
                      <w:p w14:paraId="32745BD3"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33</w:t>
                        </w:r>
                      </w:p>
                    </w:tc>
                    <w:tc>
                      <w:tcPr>
                        <w:tcW w:w="1057" w:type="dxa"/>
                        <w:tcBorders>
                          <w:top w:val="nil"/>
                          <w:left w:val="nil"/>
                          <w:bottom w:val="nil"/>
                          <w:right w:val="nil"/>
                        </w:tcBorders>
                        <w:shd w:val="clear" w:color="000000" w:fill="DDEBF7"/>
                        <w:noWrap/>
                        <w:vAlign w:val="bottom"/>
                        <w:hideMark/>
                      </w:tcPr>
                      <w:p w14:paraId="34F37A61"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13</w:t>
                        </w:r>
                      </w:p>
                    </w:tc>
                    <w:tc>
                      <w:tcPr>
                        <w:tcW w:w="1024" w:type="dxa"/>
                        <w:tcBorders>
                          <w:top w:val="nil"/>
                          <w:left w:val="nil"/>
                          <w:bottom w:val="nil"/>
                          <w:right w:val="single" w:sz="8" w:space="0" w:color="auto"/>
                        </w:tcBorders>
                        <w:shd w:val="clear" w:color="000000" w:fill="DDEBF7"/>
                        <w:noWrap/>
                        <w:vAlign w:val="bottom"/>
                        <w:hideMark/>
                      </w:tcPr>
                      <w:p w14:paraId="7BAAB513"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38</w:t>
                        </w:r>
                      </w:p>
                    </w:tc>
                    <w:tc>
                      <w:tcPr>
                        <w:tcW w:w="873" w:type="dxa"/>
                        <w:tcBorders>
                          <w:top w:val="nil"/>
                          <w:left w:val="nil"/>
                          <w:bottom w:val="nil"/>
                          <w:right w:val="nil"/>
                        </w:tcBorders>
                        <w:shd w:val="clear" w:color="auto" w:fill="auto"/>
                        <w:noWrap/>
                        <w:vAlign w:val="bottom"/>
                        <w:hideMark/>
                      </w:tcPr>
                      <w:p w14:paraId="5EF191F0" w14:textId="77777777" w:rsidR="00640FD0" w:rsidRPr="008925D4" w:rsidRDefault="00640FD0" w:rsidP="00640FD0">
                        <w:pPr>
                          <w:spacing w:after="0" w:line="240" w:lineRule="auto"/>
                          <w:jc w:val="center"/>
                          <w:rPr>
                            <w:rFonts w:ascii="Calibri" w:eastAsia="Times New Roman" w:hAnsi="Calibri" w:cs="Calibri"/>
                            <w:color w:val="000000"/>
                            <w:lang w:eastAsia="en-GB"/>
                          </w:rPr>
                        </w:pPr>
                      </w:p>
                    </w:tc>
                  </w:tr>
                  <w:tr w:rsidR="00640FD0" w:rsidRPr="008925D4" w14:paraId="2077A656" w14:textId="77777777" w:rsidTr="00E86245">
                    <w:trPr>
                      <w:trHeight w:val="288"/>
                    </w:trPr>
                    <w:tc>
                      <w:tcPr>
                        <w:tcW w:w="2011" w:type="dxa"/>
                        <w:tcBorders>
                          <w:top w:val="nil"/>
                          <w:left w:val="single" w:sz="8" w:space="0" w:color="auto"/>
                          <w:bottom w:val="nil"/>
                          <w:right w:val="nil"/>
                        </w:tcBorders>
                        <w:shd w:val="clear" w:color="000000" w:fill="DDEBF7"/>
                        <w:noWrap/>
                        <w:vAlign w:val="bottom"/>
                        <w:hideMark/>
                      </w:tcPr>
                      <w:p w14:paraId="4D7C24BB"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Tchad</w:t>
                        </w:r>
                      </w:p>
                    </w:tc>
                    <w:tc>
                      <w:tcPr>
                        <w:tcW w:w="1311" w:type="dxa"/>
                        <w:tcBorders>
                          <w:top w:val="nil"/>
                          <w:left w:val="nil"/>
                          <w:bottom w:val="nil"/>
                          <w:right w:val="nil"/>
                        </w:tcBorders>
                        <w:shd w:val="clear" w:color="000000" w:fill="DDEBF7"/>
                        <w:noWrap/>
                        <w:vAlign w:val="bottom"/>
                        <w:hideMark/>
                      </w:tcPr>
                      <w:p w14:paraId="2E9A03F5"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0</w:t>
                        </w:r>
                      </w:p>
                    </w:tc>
                    <w:tc>
                      <w:tcPr>
                        <w:tcW w:w="1092" w:type="dxa"/>
                        <w:tcBorders>
                          <w:top w:val="nil"/>
                          <w:left w:val="nil"/>
                          <w:bottom w:val="nil"/>
                          <w:right w:val="nil"/>
                        </w:tcBorders>
                        <w:shd w:val="clear" w:color="000000" w:fill="DDEBF7"/>
                        <w:noWrap/>
                        <w:vAlign w:val="bottom"/>
                        <w:hideMark/>
                      </w:tcPr>
                      <w:p w14:paraId="6596A8AA"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15</w:t>
                        </w:r>
                      </w:p>
                    </w:tc>
                    <w:tc>
                      <w:tcPr>
                        <w:tcW w:w="1137" w:type="dxa"/>
                        <w:tcBorders>
                          <w:top w:val="nil"/>
                          <w:left w:val="single" w:sz="4" w:space="0" w:color="auto"/>
                          <w:bottom w:val="nil"/>
                          <w:right w:val="nil"/>
                        </w:tcBorders>
                        <w:shd w:val="clear" w:color="000000" w:fill="DDEBF7"/>
                        <w:noWrap/>
                        <w:vAlign w:val="bottom"/>
                        <w:hideMark/>
                      </w:tcPr>
                      <w:p w14:paraId="5FD179B7"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4</w:t>
                        </w:r>
                      </w:p>
                    </w:tc>
                    <w:tc>
                      <w:tcPr>
                        <w:tcW w:w="967" w:type="dxa"/>
                        <w:tcBorders>
                          <w:top w:val="nil"/>
                          <w:left w:val="nil"/>
                          <w:bottom w:val="nil"/>
                          <w:right w:val="single" w:sz="4" w:space="0" w:color="auto"/>
                        </w:tcBorders>
                        <w:shd w:val="clear" w:color="000000" w:fill="DDEBF7"/>
                        <w:noWrap/>
                        <w:vAlign w:val="bottom"/>
                        <w:hideMark/>
                      </w:tcPr>
                      <w:p w14:paraId="02375A45"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14</w:t>
                        </w:r>
                      </w:p>
                    </w:tc>
                    <w:tc>
                      <w:tcPr>
                        <w:tcW w:w="1057" w:type="dxa"/>
                        <w:tcBorders>
                          <w:top w:val="nil"/>
                          <w:left w:val="nil"/>
                          <w:bottom w:val="nil"/>
                          <w:right w:val="nil"/>
                        </w:tcBorders>
                        <w:shd w:val="clear" w:color="000000" w:fill="DDEBF7"/>
                        <w:noWrap/>
                        <w:vAlign w:val="bottom"/>
                        <w:hideMark/>
                      </w:tcPr>
                      <w:p w14:paraId="208EB50D"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3</w:t>
                        </w:r>
                      </w:p>
                    </w:tc>
                    <w:tc>
                      <w:tcPr>
                        <w:tcW w:w="1024" w:type="dxa"/>
                        <w:tcBorders>
                          <w:top w:val="nil"/>
                          <w:left w:val="nil"/>
                          <w:bottom w:val="nil"/>
                          <w:right w:val="single" w:sz="8" w:space="0" w:color="auto"/>
                        </w:tcBorders>
                        <w:shd w:val="clear" w:color="000000" w:fill="DDEBF7"/>
                        <w:noWrap/>
                        <w:vAlign w:val="bottom"/>
                        <w:hideMark/>
                      </w:tcPr>
                      <w:p w14:paraId="1DC47F1B"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25</w:t>
                        </w:r>
                      </w:p>
                    </w:tc>
                    <w:tc>
                      <w:tcPr>
                        <w:tcW w:w="873" w:type="dxa"/>
                        <w:tcBorders>
                          <w:top w:val="nil"/>
                          <w:left w:val="nil"/>
                          <w:bottom w:val="nil"/>
                          <w:right w:val="nil"/>
                        </w:tcBorders>
                        <w:shd w:val="clear" w:color="auto" w:fill="auto"/>
                        <w:noWrap/>
                        <w:vAlign w:val="bottom"/>
                        <w:hideMark/>
                      </w:tcPr>
                      <w:p w14:paraId="164CEEF3" w14:textId="77777777" w:rsidR="00640FD0" w:rsidRPr="008925D4" w:rsidRDefault="00640FD0" w:rsidP="00640FD0">
                        <w:pPr>
                          <w:spacing w:after="0" w:line="240" w:lineRule="auto"/>
                          <w:jc w:val="center"/>
                          <w:rPr>
                            <w:rFonts w:ascii="Calibri" w:eastAsia="Times New Roman" w:hAnsi="Calibri" w:cs="Calibri"/>
                            <w:color w:val="000000"/>
                            <w:lang w:eastAsia="en-GB"/>
                          </w:rPr>
                        </w:pPr>
                      </w:p>
                    </w:tc>
                  </w:tr>
                  <w:tr w:rsidR="00640FD0" w:rsidRPr="008925D4" w14:paraId="683527E4" w14:textId="77777777" w:rsidTr="00E86245">
                    <w:trPr>
                      <w:trHeight w:val="300"/>
                    </w:trPr>
                    <w:tc>
                      <w:tcPr>
                        <w:tcW w:w="2011" w:type="dxa"/>
                        <w:tcBorders>
                          <w:top w:val="nil"/>
                          <w:left w:val="single" w:sz="8" w:space="0" w:color="auto"/>
                          <w:bottom w:val="single" w:sz="8" w:space="0" w:color="auto"/>
                          <w:right w:val="nil"/>
                        </w:tcBorders>
                        <w:shd w:val="clear" w:color="000000" w:fill="DDEBF7"/>
                        <w:noWrap/>
                        <w:vAlign w:val="bottom"/>
                        <w:hideMark/>
                      </w:tcPr>
                      <w:p w14:paraId="293504B7"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Togo</w:t>
                        </w:r>
                      </w:p>
                    </w:tc>
                    <w:tc>
                      <w:tcPr>
                        <w:tcW w:w="1311" w:type="dxa"/>
                        <w:tcBorders>
                          <w:top w:val="nil"/>
                          <w:left w:val="nil"/>
                          <w:bottom w:val="single" w:sz="8" w:space="0" w:color="auto"/>
                          <w:right w:val="nil"/>
                        </w:tcBorders>
                        <w:shd w:val="clear" w:color="000000" w:fill="DDEBF7"/>
                        <w:noWrap/>
                        <w:vAlign w:val="bottom"/>
                        <w:hideMark/>
                      </w:tcPr>
                      <w:p w14:paraId="7202A14A"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0</w:t>
                        </w:r>
                      </w:p>
                    </w:tc>
                    <w:tc>
                      <w:tcPr>
                        <w:tcW w:w="1092" w:type="dxa"/>
                        <w:tcBorders>
                          <w:top w:val="nil"/>
                          <w:left w:val="nil"/>
                          <w:bottom w:val="single" w:sz="8" w:space="0" w:color="auto"/>
                          <w:right w:val="nil"/>
                        </w:tcBorders>
                        <w:shd w:val="clear" w:color="000000" w:fill="DDEBF7"/>
                        <w:noWrap/>
                        <w:vAlign w:val="bottom"/>
                        <w:hideMark/>
                      </w:tcPr>
                      <w:p w14:paraId="69F298A7"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6</w:t>
                        </w:r>
                      </w:p>
                    </w:tc>
                    <w:tc>
                      <w:tcPr>
                        <w:tcW w:w="1137" w:type="dxa"/>
                        <w:tcBorders>
                          <w:top w:val="nil"/>
                          <w:left w:val="single" w:sz="4" w:space="0" w:color="auto"/>
                          <w:bottom w:val="single" w:sz="8" w:space="0" w:color="auto"/>
                          <w:right w:val="nil"/>
                        </w:tcBorders>
                        <w:shd w:val="clear" w:color="000000" w:fill="DDEBF7"/>
                        <w:noWrap/>
                        <w:vAlign w:val="bottom"/>
                        <w:hideMark/>
                      </w:tcPr>
                      <w:p w14:paraId="1AD739C7"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0</w:t>
                        </w:r>
                      </w:p>
                    </w:tc>
                    <w:tc>
                      <w:tcPr>
                        <w:tcW w:w="967" w:type="dxa"/>
                        <w:tcBorders>
                          <w:top w:val="nil"/>
                          <w:left w:val="nil"/>
                          <w:bottom w:val="single" w:sz="8" w:space="0" w:color="auto"/>
                          <w:right w:val="single" w:sz="4" w:space="0" w:color="auto"/>
                        </w:tcBorders>
                        <w:shd w:val="clear" w:color="000000" w:fill="DDEBF7"/>
                        <w:noWrap/>
                        <w:vAlign w:val="bottom"/>
                        <w:hideMark/>
                      </w:tcPr>
                      <w:p w14:paraId="4DD04B7A"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8</w:t>
                        </w:r>
                      </w:p>
                    </w:tc>
                    <w:tc>
                      <w:tcPr>
                        <w:tcW w:w="1057" w:type="dxa"/>
                        <w:tcBorders>
                          <w:top w:val="nil"/>
                          <w:left w:val="nil"/>
                          <w:bottom w:val="single" w:sz="8" w:space="0" w:color="auto"/>
                          <w:right w:val="nil"/>
                        </w:tcBorders>
                        <w:shd w:val="clear" w:color="000000" w:fill="DDEBF7"/>
                        <w:noWrap/>
                        <w:vAlign w:val="bottom"/>
                        <w:hideMark/>
                      </w:tcPr>
                      <w:p w14:paraId="4AEC6C66"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49</w:t>
                        </w:r>
                      </w:p>
                    </w:tc>
                    <w:tc>
                      <w:tcPr>
                        <w:tcW w:w="1024" w:type="dxa"/>
                        <w:tcBorders>
                          <w:top w:val="nil"/>
                          <w:left w:val="nil"/>
                          <w:bottom w:val="single" w:sz="8" w:space="0" w:color="auto"/>
                          <w:right w:val="single" w:sz="8" w:space="0" w:color="auto"/>
                        </w:tcBorders>
                        <w:shd w:val="clear" w:color="000000" w:fill="DDEBF7"/>
                        <w:noWrap/>
                        <w:vAlign w:val="bottom"/>
                        <w:hideMark/>
                      </w:tcPr>
                      <w:p w14:paraId="6B07602A" w14:textId="77777777" w:rsidR="00640FD0" w:rsidRPr="008925D4" w:rsidRDefault="00640FD0" w:rsidP="00640FD0">
                        <w:pPr>
                          <w:spacing w:after="0" w:line="240" w:lineRule="auto"/>
                          <w:jc w:val="center"/>
                          <w:rPr>
                            <w:rFonts w:ascii="Calibri" w:eastAsia="Times New Roman" w:hAnsi="Calibri" w:cs="Calibri"/>
                            <w:color w:val="000000"/>
                            <w:lang w:eastAsia="en-GB"/>
                          </w:rPr>
                        </w:pPr>
                        <w:r w:rsidRPr="008925D4">
                          <w:rPr>
                            <w:rFonts w:ascii="Calibri" w:eastAsia="Times New Roman" w:hAnsi="Calibri" w:cs="Calibri"/>
                            <w:color w:val="000000"/>
                            <w:lang w:eastAsia="en-GB"/>
                          </w:rPr>
                          <w:t>25</w:t>
                        </w:r>
                      </w:p>
                    </w:tc>
                    <w:tc>
                      <w:tcPr>
                        <w:tcW w:w="873" w:type="dxa"/>
                        <w:tcBorders>
                          <w:top w:val="nil"/>
                          <w:left w:val="nil"/>
                          <w:bottom w:val="nil"/>
                          <w:right w:val="nil"/>
                        </w:tcBorders>
                        <w:shd w:val="clear" w:color="auto" w:fill="auto"/>
                        <w:noWrap/>
                        <w:vAlign w:val="bottom"/>
                        <w:hideMark/>
                      </w:tcPr>
                      <w:p w14:paraId="150126AB" w14:textId="77777777" w:rsidR="00640FD0" w:rsidRPr="008925D4" w:rsidRDefault="00640FD0" w:rsidP="00640FD0">
                        <w:pPr>
                          <w:spacing w:after="0" w:line="240" w:lineRule="auto"/>
                          <w:jc w:val="center"/>
                          <w:rPr>
                            <w:rFonts w:ascii="Calibri" w:eastAsia="Times New Roman" w:hAnsi="Calibri" w:cs="Calibri"/>
                            <w:color w:val="000000"/>
                            <w:lang w:eastAsia="en-GB"/>
                          </w:rPr>
                        </w:pPr>
                      </w:p>
                    </w:tc>
                  </w:tr>
                  <w:tr w:rsidR="00640FD0" w:rsidRPr="008925D4" w14:paraId="7F7A64A9" w14:textId="77777777" w:rsidTr="00E86245">
                    <w:trPr>
                      <w:trHeight w:val="288"/>
                    </w:trPr>
                    <w:tc>
                      <w:tcPr>
                        <w:tcW w:w="3322" w:type="dxa"/>
                        <w:gridSpan w:val="2"/>
                        <w:tcBorders>
                          <w:top w:val="nil"/>
                          <w:left w:val="nil"/>
                          <w:bottom w:val="nil"/>
                          <w:right w:val="nil"/>
                        </w:tcBorders>
                        <w:shd w:val="clear" w:color="auto" w:fill="auto"/>
                        <w:noWrap/>
                        <w:vAlign w:val="bottom"/>
                        <w:hideMark/>
                      </w:tcPr>
                      <w:p w14:paraId="5A483164" w14:textId="77777777" w:rsidR="00640FD0" w:rsidRPr="008925D4" w:rsidRDefault="00640FD0" w:rsidP="00640FD0">
                        <w:pPr>
                          <w:spacing w:after="0" w:line="240" w:lineRule="auto"/>
                          <w:rPr>
                            <w:rFonts w:ascii="Calibri" w:eastAsia="Times New Roman" w:hAnsi="Calibri" w:cs="Calibri"/>
                            <w:color w:val="000000"/>
                            <w:lang w:eastAsia="en-GB"/>
                          </w:rPr>
                        </w:pPr>
                        <w:r w:rsidRPr="008925D4">
                          <w:rPr>
                            <w:rFonts w:ascii="Calibri" w:eastAsia="Times New Roman" w:hAnsi="Calibri" w:cs="Calibri"/>
                            <w:color w:val="000000"/>
                            <w:lang w:eastAsia="en-GB"/>
                          </w:rPr>
                          <w:t>Source: PASEC</w:t>
                        </w:r>
                      </w:p>
                    </w:tc>
                    <w:tc>
                      <w:tcPr>
                        <w:tcW w:w="1092" w:type="dxa"/>
                        <w:tcBorders>
                          <w:top w:val="nil"/>
                          <w:left w:val="nil"/>
                          <w:bottom w:val="nil"/>
                          <w:right w:val="nil"/>
                        </w:tcBorders>
                        <w:shd w:val="clear" w:color="auto" w:fill="auto"/>
                        <w:noWrap/>
                        <w:vAlign w:val="bottom"/>
                        <w:hideMark/>
                      </w:tcPr>
                      <w:p w14:paraId="1E9BA1D2" w14:textId="77777777" w:rsidR="00640FD0" w:rsidRPr="008925D4" w:rsidRDefault="00640FD0" w:rsidP="00640FD0">
                        <w:pPr>
                          <w:spacing w:after="0" w:line="240" w:lineRule="auto"/>
                          <w:rPr>
                            <w:rFonts w:ascii="Calibri" w:eastAsia="Times New Roman" w:hAnsi="Calibri" w:cs="Calibri"/>
                            <w:color w:val="000000"/>
                            <w:lang w:eastAsia="en-GB"/>
                          </w:rPr>
                        </w:pPr>
                      </w:p>
                    </w:tc>
                    <w:tc>
                      <w:tcPr>
                        <w:tcW w:w="1137" w:type="dxa"/>
                        <w:tcBorders>
                          <w:top w:val="nil"/>
                          <w:left w:val="nil"/>
                          <w:bottom w:val="nil"/>
                          <w:right w:val="nil"/>
                        </w:tcBorders>
                        <w:shd w:val="clear" w:color="auto" w:fill="auto"/>
                        <w:noWrap/>
                        <w:vAlign w:val="bottom"/>
                        <w:hideMark/>
                      </w:tcPr>
                      <w:p w14:paraId="539BBC9F" w14:textId="77777777" w:rsidR="00640FD0" w:rsidRPr="008925D4" w:rsidRDefault="00640FD0" w:rsidP="00640FD0">
                        <w:pPr>
                          <w:spacing w:after="0" w:line="240" w:lineRule="auto"/>
                          <w:rPr>
                            <w:rFonts w:ascii="Times New Roman" w:eastAsia="Times New Roman" w:hAnsi="Times New Roman" w:cs="Times New Roman"/>
                            <w:sz w:val="20"/>
                            <w:szCs w:val="20"/>
                            <w:lang w:eastAsia="en-GB"/>
                          </w:rPr>
                        </w:pPr>
                      </w:p>
                    </w:tc>
                    <w:tc>
                      <w:tcPr>
                        <w:tcW w:w="967" w:type="dxa"/>
                        <w:tcBorders>
                          <w:top w:val="nil"/>
                          <w:left w:val="nil"/>
                          <w:bottom w:val="nil"/>
                          <w:right w:val="nil"/>
                        </w:tcBorders>
                        <w:shd w:val="clear" w:color="auto" w:fill="auto"/>
                        <w:noWrap/>
                        <w:vAlign w:val="bottom"/>
                        <w:hideMark/>
                      </w:tcPr>
                      <w:p w14:paraId="189FF69B" w14:textId="77777777" w:rsidR="00640FD0" w:rsidRPr="008925D4" w:rsidRDefault="00640FD0" w:rsidP="00640FD0">
                        <w:pPr>
                          <w:spacing w:after="0" w:line="240" w:lineRule="auto"/>
                          <w:rPr>
                            <w:rFonts w:ascii="Times New Roman" w:eastAsia="Times New Roman" w:hAnsi="Times New Roman" w:cs="Times New Roman"/>
                            <w:sz w:val="20"/>
                            <w:szCs w:val="20"/>
                            <w:lang w:eastAsia="en-GB"/>
                          </w:rPr>
                        </w:pPr>
                      </w:p>
                    </w:tc>
                    <w:tc>
                      <w:tcPr>
                        <w:tcW w:w="1057" w:type="dxa"/>
                        <w:tcBorders>
                          <w:top w:val="nil"/>
                          <w:left w:val="nil"/>
                          <w:bottom w:val="nil"/>
                          <w:right w:val="nil"/>
                        </w:tcBorders>
                        <w:shd w:val="clear" w:color="auto" w:fill="auto"/>
                        <w:noWrap/>
                        <w:vAlign w:val="bottom"/>
                        <w:hideMark/>
                      </w:tcPr>
                      <w:p w14:paraId="4BC45FCA" w14:textId="77777777" w:rsidR="00640FD0" w:rsidRPr="008925D4" w:rsidRDefault="00640FD0" w:rsidP="00640FD0">
                        <w:pPr>
                          <w:spacing w:after="0" w:line="240" w:lineRule="auto"/>
                          <w:rPr>
                            <w:rFonts w:ascii="Times New Roman" w:eastAsia="Times New Roman" w:hAnsi="Times New Roman" w:cs="Times New Roman"/>
                            <w:sz w:val="20"/>
                            <w:szCs w:val="20"/>
                            <w:lang w:eastAsia="en-GB"/>
                          </w:rPr>
                        </w:pPr>
                      </w:p>
                    </w:tc>
                    <w:tc>
                      <w:tcPr>
                        <w:tcW w:w="1024" w:type="dxa"/>
                        <w:tcBorders>
                          <w:top w:val="nil"/>
                          <w:left w:val="nil"/>
                          <w:bottom w:val="nil"/>
                          <w:right w:val="nil"/>
                        </w:tcBorders>
                        <w:shd w:val="clear" w:color="auto" w:fill="auto"/>
                        <w:noWrap/>
                        <w:vAlign w:val="bottom"/>
                        <w:hideMark/>
                      </w:tcPr>
                      <w:p w14:paraId="479BAD29" w14:textId="77777777" w:rsidR="00640FD0" w:rsidRPr="008925D4" w:rsidRDefault="00640FD0" w:rsidP="00640FD0">
                        <w:pPr>
                          <w:spacing w:after="0" w:line="240" w:lineRule="auto"/>
                          <w:rPr>
                            <w:rFonts w:ascii="Times New Roman" w:eastAsia="Times New Roman" w:hAnsi="Times New Roman" w:cs="Times New Roman"/>
                            <w:sz w:val="20"/>
                            <w:szCs w:val="20"/>
                            <w:lang w:eastAsia="en-GB"/>
                          </w:rPr>
                        </w:pPr>
                      </w:p>
                    </w:tc>
                    <w:tc>
                      <w:tcPr>
                        <w:tcW w:w="873" w:type="dxa"/>
                        <w:tcBorders>
                          <w:top w:val="nil"/>
                          <w:left w:val="nil"/>
                          <w:bottom w:val="nil"/>
                          <w:right w:val="nil"/>
                        </w:tcBorders>
                        <w:shd w:val="clear" w:color="auto" w:fill="auto"/>
                        <w:noWrap/>
                        <w:vAlign w:val="bottom"/>
                        <w:hideMark/>
                      </w:tcPr>
                      <w:p w14:paraId="3A4EE37F" w14:textId="77777777" w:rsidR="00640FD0" w:rsidRPr="008925D4" w:rsidRDefault="00640FD0" w:rsidP="00640FD0">
                        <w:pPr>
                          <w:spacing w:after="0" w:line="240" w:lineRule="auto"/>
                          <w:rPr>
                            <w:rFonts w:ascii="Times New Roman" w:eastAsia="Times New Roman" w:hAnsi="Times New Roman" w:cs="Times New Roman"/>
                            <w:sz w:val="20"/>
                            <w:szCs w:val="20"/>
                            <w:lang w:eastAsia="en-GB"/>
                          </w:rPr>
                        </w:pPr>
                      </w:p>
                    </w:tc>
                  </w:tr>
                </w:tbl>
                <w:p w14:paraId="1574AC52" w14:textId="77777777" w:rsidR="00640FD0" w:rsidRPr="00070BDC" w:rsidRDefault="00640FD0" w:rsidP="00640FD0">
                  <w:pPr>
                    <w:spacing w:after="0" w:line="240" w:lineRule="auto"/>
                    <w:rPr>
                      <w:rFonts w:ascii="Calibri" w:eastAsia="Times New Roman" w:hAnsi="Calibri" w:cs="Calibri"/>
                      <w:color w:val="000000"/>
                      <w:lang w:eastAsia="en-GB"/>
                    </w:rPr>
                  </w:pPr>
                </w:p>
              </w:tc>
              <w:tc>
                <w:tcPr>
                  <w:tcW w:w="1168" w:type="dxa"/>
                  <w:tcBorders>
                    <w:top w:val="nil"/>
                    <w:left w:val="nil"/>
                    <w:bottom w:val="nil"/>
                    <w:right w:val="nil"/>
                  </w:tcBorders>
                  <w:shd w:val="clear" w:color="auto" w:fill="auto"/>
                  <w:noWrap/>
                  <w:vAlign w:val="bottom"/>
                  <w:hideMark/>
                </w:tcPr>
                <w:p w14:paraId="38038242" w14:textId="77777777" w:rsidR="00640FD0" w:rsidRPr="00070BDC" w:rsidRDefault="00640FD0" w:rsidP="00640FD0">
                  <w:pPr>
                    <w:spacing w:after="0" w:line="240" w:lineRule="auto"/>
                    <w:rPr>
                      <w:rFonts w:ascii="Calibri" w:eastAsia="Times New Roman" w:hAnsi="Calibri" w:cs="Calibri"/>
                      <w:color w:val="000000"/>
                      <w:lang w:eastAsia="en-GB"/>
                    </w:rPr>
                  </w:pPr>
                </w:p>
              </w:tc>
              <w:tc>
                <w:tcPr>
                  <w:tcW w:w="1149" w:type="dxa"/>
                  <w:tcBorders>
                    <w:top w:val="nil"/>
                    <w:left w:val="nil"/>
                    <w:bottom w:val="nil"/>
                    <w:right w:val="nil"/>
                  </w:tcBorders>
                  <w:shd w:val="clear" w:color="auto" w:fill="auto"/>
                  <w:noWrap/>
                  <w:vAlign w:val="bottom"/>
                  <w:hideMark/>
                </w:tcPr>
                <w:p w14:paraId="79A8E7DA" w14:textId="77777777" w:rsidR="00640FD0" w:rsidRPr="00070BDC" w:rsidRDefault="00640FD0" w:rsidP="00640FD0">
                  <w:pPr>
                    <w:spacing w:after="0" w:line="240" w:lineRule="auto"/>
                    <w:rPr>
                      <w:rFonts w:ascii="Times New Roman" w:eastAsia="Times New Roman" w:hAnsi="Times New Roman" w:cs="Times New Roman"/>
                      <w:sz w:val="20"/>
                      <w:szCs w:val="20"/>
                      <w:lang w:eastAsia="en-GB"/>
                    </w:rPr>
                  </w:pPr>
                </w:p>
              </w:tc>
              <w:tc>
                <w:tcPr>
                  <w:tcW w:w="1021" w:type="dxa"/>
                  <w:tcBorders>
                    <w:top w:val="nil"/>
                    <w:left w:val="nil"/>
                    <w:bottom w:val="nil"/>
                    <w:right w:val="nil"/>
                  </w:tcBorders>
                  <w:shd w:val="clear" w:color="auto" w:fill="auto"/>
                  <w:noWrap/>
                  <w:vAlign w:val="bottom"/>
                  <w:hideMark/>
                </w:tcPr>
                <w:p w14:paraId="5FD39A24" w14:textId="77777777" w:rsidR="00640FD0" w:rsidRPr="00070BDC" w:rsidRDefault="00640FD0" w:rsidP="00640FD0">
                  <w:pPr>
                    <w:spacing w:after="0" w:line="240" w:lineRule="auto"/>
                    <w:rPr>
                      <w:rFonts w:ascii="Times New Roman" w:eastAsia="Times New Roman" w:hAnsi="Times New Roman" w:cs="Times New Roman"/>
                      <w:sz w:val="20"/>
                      <w:szCs w:val="20"/>
                      <w:lang w:eastAsia="en-GB"/>
                    </w:rPr>
                  </w:pPr>
                </w:p>
              </w:tc>
              <w:tc>
                <w:tcPr>
                  <w:tcW w:w="1258" w:type="dxa"/>
                  <w:tcBorders>
                    <w:top w:val="nil"/>
                    <w:left w:val="nil"/>
                    <w:bottom w:val="nil"/>
                    <w:right w:val="nil"/>
                  </w:tcBorders>
                  <w:shd w:val="clear" w:color="auto" w:fill="auto"/>
                  <w:noWrap/>
                  <w:vAlign w:val="bottom"/>
                  <w:hideMark/>
                </w:tcPr>
                <w:p w14:paraId="53CD5256" w14:textId="77777777" w:rsidR="00640FD0" w:rsidRPr="00070BDC" w:rsidRDefault="00640FD0" w:rsidP="00640FD0">
                  <w:pPr>
                    <w:spacing w:after="0" w:line="240" w:lineRule="auto"/>
                    <w:rPr>
                      <w:rFonts w:ascii="Times New Roman" w:eastAsia="Times New Roman" w:hAnsi="Times New Roman" w:cs="Times New Roman"/>
                      <w:sz w:val="20"/>
                      <w:szCs w:val="20"/>
                      <w:lang w:eastAsia="en-GB"/>
                    </w:rPr>
                  </w:pPr>
                </w:p>
              </w:tc>
              <w:tc>
                <w:tcPr>
                  <w:tcW w:w="1117" w:type="dxa"/>
                  <w:tcBorders>
                    <w:top w:val="nil"/>
                    <w:left w:val="nil"/>
                    <w:bottom w:val="nil"/>
                    <w:right w:val="nil"/>
                  </w:tcBorders>
                  <w:shd w:val="clear" w:color="auto" w:fill="auto"/>
                  <w:noWrap/>
                  <w:vAlign w:val="bottom"/>
                  <w:hideMark/>
                </w:tcPr>
                <w:p w14:paraId="06DC7F5E" w14:textId="77777777" w:rsidR="00640FD0" w:rsidRPr="00070BDC" w:rsidRDefault="00640FD0" w:rsidP="00640FD0">
                  <w:pPr>
                    <w:spacing w:after="0" w:line="240" w:lineRule="auto"/>
                    <w:rPr>
                      <w:rFonts w:ascii="Times New Roman" w:eastAsia="Times New Roman" w:hAnsi="Times New Roman" w:cs="Times New Roman"/>
                      <w:sz w:val="20"/>
                      <w:szCs w:val="20"/>
                      <w:lang w:eastAsia="en-GB"/>
                    </w:rPr>
                  </w:pPr>
                </w:p>
              </w:tc>
            </w:tr>
          </w:tbl>
          <w:p w14:paraId="4819D1DD" w14:textId="3115D1E9" w:rsidR="00AE1E15" w:rsidRDefault="00AE1E15" w:rsidP="00640FD0">
            <w:pPr>
              <w:spacing w:after="0" w:line="240" w:lineRule="auto"/>
            </w:pPr>
          </w:p>
          <w:tbl>
            <w:tblPr>
              <w:tblW w:w="10100" w:type="dxa"/>
              <w:tblLook w:val="04A0" w:firstRow="1" w:lastRow="0" w:firstColumn="1" w:lastColumn="0" w:noHBand="0" w:noVBand="1"/>
            </w:tblPr>
            <w:tblGrid>
              <w:gridCol w:w="1643"/>
              <w:gridCol w:w="1789"/>
              <w:gridCol w:w="1780"/>
              <w:gridCol w:w="1124"/>
              <w:gridCol w:w="923"/>
              <w:gridCol w:w="1499"/>
              <w:gridCol w:w="1292"/>
              <w:gridCol w:w="222"/>
            </w:tblGrid>
            <w:tr w:rsidR="00FC3916" w:rsidRPr="00FC3916" w14:paraId="742F20B1" w14:textId="77777777" w:rsidTr="00FC3916">
              <w:trPr>
                <w:trHeight w:val="288"/>
              </w:trPr>
              <w:tc>
                <w:tcPr>
                  <w:tcW w:w="10100" w:type="dxa"/>
                  <w:gridSpan w:val="8"/>
                  <w:tcBorders>
                    <w:top w:val="nil"/>
                    <w:left w:val="nil"/>
                    <w:bottom w:val="nil"/>
                    <w:right w:val="nil"/>
                  </w:tcBorders>
                  <w:shd w:val="clear" w:color="auto" w:fill="auto"/>
                  <w:noWrap/>
                  <w:vAlign w:val="bottom"/>
                  <w:hideMark/>
                </w:tcPr>
                <w:p w14:paraId="011094F5" w14:textId="4ECF2F9C"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Table</w:t>
                  </w:r>
                  <w:r>
                    <w:rPr>
                      <w:rFonts w:ascii="Calibri" w:eastAsia="Times New Roman" w:hAnsi="Calibri" w:cs="Calibri"/>
                      <w:color w:val="000000"/>
                      <w:lang w:eastAsia="en-GB"/>
                    </w:rPr>
                    <w:t xml:space="preserve"> 8</w:t>
                  </w:r>
                  <w:r w:rsidRPr="00FC3916">
                    <w:rPr>
                      <w:rFonts w:ascii="Calibri" w:eastAsia="Times New Roman" w:hAnsi="Calibri" w:cs="Calibri"/>
                      <w:color w:val="000000"/>
                      <w:lang w:eastAsia="en-GB"/>
                    </w:rPr>
                    <w:t xml:space="preserve">: Incidence of grade 6 teachers undertaking private tuition (PT) by employment status in Francophone </w:t>
                  </w:r>
                </w:p>
              </w:tc>
            </w:tr>
            <w:tr w:rsidR="00FC3916" w:rsidRPr="00FC3916" w14:paraId="7BE6E83C" w14:textId="77777777" w:rsidTr="00FC3916">
              <w:trPr>
                <w:trHeight w:val="300"/>
              </w:trPr>
              <w:tc>
                <w:tcPr>
                  <w:tcW w:w="5212" w:type="dxa"/>
                  <w:gridSpan w:val="3"/>
                  <w:tcBorders>
                    <w:top w:val="nil"/>
                    <w:left w:val="nil"/>
                    <w:bottom w:val="nil"/>
                    <w:right w:val="nil"/>
                  </w:tcBorders>
                  <w:shd w:val="clear" w:color="auto" w:fill="auto"/>
                  <w:noWrap/>
                  <w:vAlign w:val="bottom"/>
                  <w:hideMark/>
                </w:tcPr>
                <w:p w14:paraId="4F060E27"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West Africa, 2014 (rounded %)</w:t>
                  </w:r>
                </w:p>
              </w:tc>
              <w:tc>
                <w:tcPr>
                  <w:tcW w:w="1124" w:type="dxa"/>
                  <w:tcBorders>
                    <w:top w:val="nil"/>
                    <w:left w:val="nil"/>
                    <w:bottom w:val="nil"/>
                    <w:right w:val="nil"/>
                  </w:tcBorders>
                  <w:shd w:val="clear" w:color="auto" w:fill="auto"/>
                  <w:noWrap/>
                  <w:vAlign w:val="bottom"/>
                  <w:hideMark/>
                </w:tcPr>
                <w:p w14:paraId="3659CA1B" w14:textId="77777777" w:rsidR="00FC3916" w:rsidRPr="00FC3916" w:rsidRDefault="00FC3916" w:rsidP="00FC3916">
                  <w:pPr>
                    <w:spacing w:after="0" w:line="240" w:lineRule="auto"/>
                    <w:rPr>
                      <w:rFonts w:ascii="Calibri" w:eastAsia="Times New Roman" w:hAnsi="Calibri" w:cs="Calibri"/>
                      <w:color w:val="000000"/>
                      <w:lang w:eastAsia="en-GB"/>
                    </w:rPr>
                  </w:pPr>
                </w:p>
              </w:tc>
              <w:tc>
                <w:tcPr>
                  <w:tcW w:w="923" w:type="dxa"/>
                  <w:tcBorders>
                    <w:top w:val="nil"/>
                    <w:left w:val="nil"/>
                    <w:bottom w:val="nil"/>
                    <w:right w:val="nil"/>
                  </w:tcBorders>
                  <w:shd w:val="clear" w:color="auto" w:fill="auto"/>
                  <w:noWrap/>
                  <w:vAlign w:val="bottom"/>
                  <w:hideMark/>
                </w:tcPr>
                <w:p w14:paraId="2DAB42C7" w14:textId="77777777" w:rsidR="00FC3916" w:rsidRPr="00FC3916" w:rsidRDefault="00FC3916" w:rsidP="00FC3916">
                  <w:pPr>
                    <w:spacing w:after="0" w:line="240" w:lineRule="auto"/>
                    <w:rPr>
                      <w:rFonts w:ascii="Times New Roman" w:eastAsia="Times New Roman" w:hAnsi="Times New Roman" w:cs="Times New Roman"/>
                      <w:sz w:val="20"/>
                      <w:szCs w:val="20"/>
                      <w:lang w:eastAsia="en-GB"/>
                    </w:rPr>
                  </w:pPr>
                </w:p>
              </w:tc>
              <w:tc>
                <w:tcPr>
                  <w:tcW w:w="1499" w:type="dxa"/>
                  <w:tcBorders>
                    <w:top w:val="nil"/>
                    <w:left w:val="nil"/>
                    <w:bottom w:val="nil"/>
                    <w:right w:val="nil"/>
                  </w:tcBorders>
                  <w:shd w:val="clear" w:color="auto" w:fill="auto"/>
                  <w:noWrap/>
                  <w:vAlign w:val="bottom"/>
                  <w:hideMark/>
                </w:tcPr>
                <w:p w14:paraId="1E2DA563" w14:textId="77777777" w:rsidR="00FC3916" w:rsidRPr="00FC3916" w:rsidRDefault="00FC3916" w:rsidP="00FC3916">
                  <w:pPr>
                    <w:spacing w:after="0" w:line="240" w:lineRule="auto"/>
                    <w:rPr>
                      <w:rFonts w:ascii="Times New Roman" w:eastAsia="Times New Roman" w:hAnsi="Times New Roman" w:cs="Times New Roman"/>
                      <w:sz w:val="20"/>
                      <w:szCs w:val="20"/>
                      <w:lang w:eastAsia="en-GB"/>
                    </w:rPr>
                  </w:pPr>
                </w:p>
              </w:tc>
              <w:tc>
                <w:tcPr>
                  <w:tcW w:w="1292" w:type="dxa"/>
                  <w:tcBorders>
                    <w:top w:val="nil"/>
                    <w:left w:val="nil"/>
                    <w:bottom w:val="nil"/>
                    <w:right w:val="nil"/>
                  </w:tcBorders>
                  <w:shd w:val="clear" w:color="auto" w:fill="auto"/>
                  <w:noWrap/>
                  <w:vAlign w:val="bottom"/>
                  <w:hideMark/>
                </w:tcPr>
                <w:p w14:paraId="582E7951" w14:textId="77777777" w:rsidR="00FC3916" w:rsidRPr="00FC3916" w:rsidRDefault="00FC3916" w:rsidP="00FC3916">
                  <w:pPr>
                    <w:spacing w:after="0" w:line="240" w:lineRule="auto"/>
                    <w:rPr>
                      <w:rFonts w:ascii="Times New Roman" w:eastAsia="Times New Roman" w:hAnsi="Times New Roman" w:cs="Times New Roman"/>
                      <w:sz w:val="20"/>
                      <w:szCs w:val="20"/>
                      <w:lang w:eastAsia="en-GB"/>
                    </w:rPr>
                  </w:pPr>
                </w:p>
              </w:tc>
              <w:tc>
                <w:tcPr>
                  <w:tcW w:w="50" w:type="dxa"/>
                  <w:tcBorders>
                    <w:top w:val="nil"/>
                    <w:left w:val="nil"/>
                    <w:bottom w:val="nil"/>
                    <w:right w:val="nil"/>
                  </w:tcBorders>
                  <w:shd w:val="clear" w:color="auto" w:fill="auto"/>
                  <w:noWrap/>
                  <w:vAlign w:val="bottom"/>
                  <w:hideMark/>
                </w:tcPr>
                <w:p w14:paraId="09F0F4AB" w14:textId="77777777" w:rsidR="00FC3916" w:rsidRPr="00FC3916" w:rsidRDefault="00FC3916" w:rsidP="00FC3916">
                  <w:pPr>
                    <w:spacing w:after="0" w:line="240" w:lineRule="auto"/>
                    <w:rPr>
                      <w:rFonts w:ascii="Times New Roman" w:eastAsia="Times New Roman" w:hAnsi="Times New Roman" w:cs="Times New Roman"/>
                      <w:sz w:val="20"/>
                      <w:szCs w:val="20"/>
                      <w:lang w:eastAsia="en-GB"/>
                    </w:rPr>
                  </w:pPr>
                </w:p>
              </w:tc>
            </w:tr>
            <w:tr w:rsidR="00FC3916" w:rsidRPr="00FC3916" w14:paraId="52E661FE" w14:textId="77777777" w:rsidTr="00FC3916">
              <w:trPr>
                <w:trHeight w:val="288"/>
              </w:trPr>
              <w:tc>
                <w:tcPr>
                  <w:tcW w:w="1643" w:type="dxa"/>
                  <w:tcBorders>
                    <w:top w:val="single" w:sz="8" w:space="0" w:color="auto"/>
                    <w:left w:val="single" w:sz="8" w:space="0" w:color="auto"/>
                    <w:bottom w:val="nil"/>
                    <w:right w:val="nil"/>
                  </w:tcBorders>
                  <w:shd w:val="clear" w:color="000000" w:fill="EDEDED"/>
                  <w:noWrap/>
                  <w:vAlign w:val="bottom"/>
                  <w:hideMark/>
                </w:tcPr>
                <w:p w14:paraId="646834C4"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Country</w:t>
                  </w:r>
                </w:p>
              </w:tc>
              <w:tc>
                <w:tcPr>
                  <w:tcW w:w="1789" w:type="dxa"/>
                  <w:tcBorders>
                    <w:top w:val="single" w:sz="8" w:space="0" w:color="auto"/>
                    <w:left w:val="nil"/>
                    <w:bottom w:val="nil"/>
                    <w:right w:val="nil"/>
                  </w:tcBorders>
                  <w:shd w:val="clear" w:color="000000" w:fill="EDEDED"/>
                  <w:noWrap/>
                  <w:vAlign w:val="bottom"/>
                  <w:hideMark/>
                </w:tcPr>
                <w:p w14:paraId="0CBD1D7F"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w:t>
                  </w:r>
                </w:p>
              </w:tc>
              <w:tc>
                <w:tcPr>
                  <w:tcW w:w="1780" w:type="dxa"/>
                  <w:tcBorders>
                    <w:top w:val="single" w:sz="8" w:space="0" w:color="auto"/>
                    <w:left w:val="nil"/>
                    <w:bottom w:val="nil"/>
                    <w:right w:val="nil"/>
                  </w:tcBorders>
                  <w:shd w:val="clear" w:color="000000" w:fill="EDEDED"/>
                  <w:noWrap/>
                  <w:vAlign w:val="bottom"/>
                  <w:hideMark/>
                </w:tcPr>
                <w:p w14:paraId="4E213FE4" w14:textId="77777777" w:rsidR="00FC3916" w:rsidRPr="00FC3916" w:rsidRDefault="00FC3916" w:rsidP="00FC3916">
                  <w:pPr>
                    <w:spacing w:after="0" w:line="240" w:lineRule="auto"/>
                    <w:jc w:val="center"/>
                    <w:rPr>
                      <w:rFonts w:ascii="Calibri" w:eastAsia="Times New Roman" w:hAnsi="Calibri" w:cs="Calibri"/>
                      <w:color w:val="000000"/>
                      <w:lang w:eastAsia="en-GB"/>
                    </w:rPr>
                  </w:pPr>
                  <w:proofErr w:type="spellStart"/>
                  <w:r w:rsidRPr="00FC3916">
                    <w:rPr>
                      <w:rFonts w:ascii="Calibri" w:eastAsia="Times New Roman" w:hAnsi="Calibri" w:cs="Calibri"/>
                      <w:color w:val="000000"/>
                      <w:lang w:eastAsia="en-GB"/>
                    </w:rPr>
                    <w:t>Fonctionnaire</w:t>
                  </w:r>
                  <w:proofErr w:type="spellEnd"/>
                </w:p>
              </w:tc>
              <w:tc>
                <w:tcPr>
                  <w:tcW w:w="1124" w:type="dxa"/>
                  <w:tcBorders>
                    <w:top w:val="single" w:sz="8" w:space="0" w:color="auto"/>
                    <w:left w:val="nil"/>
                    <w:bottom w:val="nil"/>
                    <w:right w:val="nil"/>
                  </w:tcBorders>
                  <w:shd w:val="clear" w:color="000000" w:fill="EDEDED"/>
                  <w:noWrap/>
                  <w:vAlign w:val="bottom"/>
                  <w:hideMark/>
                </w:tcPr>
                <w:p w14:paraId="6C9CF4DA"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Contract</w:t>
                  </w:r>
                </w:p>
              </w:tc>
              <w:tc>
                <w:tcPr>
                  <w:tcW w:w="923" w:type="dxa"/>
                  <w:tcBorders>
                    <w:top w:val="single" w:sz="8" w:space="0" w:color="auto"/>
                    <w:left w:val="nil"/>
                    <w:bottom w:val="nil"/>
                    <w:right w:val="nil"/>
                  </w:tcBorders>
                  <w:shd w:val="clear" w:color="000000" w:fill="EDEDED"/>
                  <w:noWrap/>
                  <w:vAlign w:val="bottom"/>
                  <w:hideMark/>
                </w:tcPr>
                <w:p w14:paraId="5C6A4608"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Private</w:t>
                  </w:r>
                </w:p>
              </w:tc>
              <w:tc>
                <w:tcPr>
                  <w:tcW w:w="1499" w:type="dxa"/>
                  <w:tcBorders>
                    <w:top w:val="single" w:sz="8" w:space="0" w:color="auto"/>
                    <w:left w:val="nil"/>
                    <w:bottom w:val="nil"/>
                    <w:right w:val="nil"/>
                  </w:tcBorders>
                  <w:shd w:val="clear" w:color="000000" w:fill="EDEDED"/>
                  <w:noWrap/>
                  <w:vAlign w:val="bottom"/>
                  <w:hideMark/>
                </w:tcPr>
                <w:p w14:paraId="740D7E0A"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Community</w:t>
                  </w:r>
                </w:p>
              </w:tc>
              <w:tc>
                <w:tcPr>
                  <w:tcW w:w="1292" w:type="dxa"/>
                  <w:tcBorders>
                    <w:top w:val="single" w:sz="8" w:space="0" w:color="auto"/>
                    <w:left w:val="nil"/>
                    <w:bottom w:val="nil"/>
                    <w:right w:val="single" w:sz="8" w:space="0" w:color="auto"/>
                  </w:tcBorders>
                  <w:shd w:val="clear" w:color="000000" w:fill="EDEDED"/>
                  <w:noWrap/>
                  <w:vAlign w:val="bottom"/>
                  <w:hideMark/>
                </w:tcPr>
                <w:p w14:paraId="44A93D5E"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Volunteer</w:t>
                  </w:r>
                </w:p>
              </w:tc>
              <w:tc>
                <w:tcPr>
                  <w:tcW w:w="50" w:type="dxa"/>
                  <w:tcBorders>
                    <w:top w:val="nil"/>
                    <w:left w:val="nil"/>
                    <w:bottom w:val="nil"/>
                    <w:right w:val="nil"/>
                  </w:tcBorders>
                  <w:shd w:val="clear" w:color="auto" w:fill="auto"/>
                  <w:noWrap/>
                  <w:vAlign w:val="bottom"/>
                  <w:hideMark/>
                </w:tcPr>
                <w:p w14:paraId="2BA4232E"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0E754AA6" w14:textId="77777777" w:rsidTr="00FC3916">
              <w:trPr>
                <w:trHeight w:val="288"/>
              </w:trPr>
              <w:tc>
                <w:tcPr>
                  <w:tcW w:w="1643" w:type="dxa"/>
                  <w:tcBorders>
                    <w:top w:val="single" w:sz="4" w:space="0" w:color="auto"/>
                    <w:left w:val="single" w:sz="8" w:space="0" w:color="auto"/>
                    <w:bottom w:val="nil"/>
                    <w:right w:val="nil"/>
                  </w:tcBorders>
                  <w:shd w:val="clear" w:color="auto" w:fill="auto"/>
                  <w:noWrap/>
                  <w:vAlign w:val="bottom"/>
                  <w:hideMark/>
                </w:tcPr>
                <w:p w14:paraId="6B4A35A5"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Benin</w:t>
                  </w:r>
                </w:p>
              </w:tc>
              <w:tc>
                <w:tcPr>
                  <w:tcW w:w="1789" w:type="dxa"/>
                  <w:tcBorders>
                    <w:top w:val="single" w:sz="4" w:space="0" w:color="auto"/>
                    <w:left w:val="nil"/>
                    <w:bottom w:val="nil"/>
                    <w:right w:val="nil"/>
                  </w:tcBorders>
                  <w:shd w:val="clear" w:color="auto" w:fill="auto"/>
                  <w:noWrap/>
                  <w:vAlign w:val="bottom"/>
                  <w:hideMark/>
                </w:tcPr>
                <w:p w14:paraId="18F8FC1F"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teachers</w:t>
                  </w:r>
                </w:p>
              </w:tc>
              <w:tc>
                <w:tcPr>
                  <w:tcW w:w="1780" w:type="dxa"/>
                  <w:tcBorders>
                    <w:top w:val="single" w:sz="4" w:space="0" w:color="auto"/>
                    <w:left w:val="nil"/>
                    <w:bottom w:val="nil"/>
                    <w:right w:val="nil"/>
                  </w:tcBorders>
                  <w:shd w:val="clear" w:color="auto" w:fill="auto"/>
                  <w:noWrap/>
                  <w:vAlign w:val="bottom"/>
                  <w:hideMark/>
                </w:tcPr>
                <w:p w14:paraId="22ECEA6F"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60</w:t>
                  </w:r>
                </w:p>
              </w:tc>
              <w:tc>
                <w:tcPr>
                  <w:tcW w:w="1124" w:type="dxa"/>
                  <w:tcBorders>
                    <w:top w:val="single" w:sz="4" w:space="0" w:color="auto"/>
                    <w:left w:val="nil"/>
                    <w:bottom w:val="nil"/>
                    <w:right w:val="nil"/>
                  </w:tcBorders>
                  <w:shd w:val="clear" w:color="auto" w:fill="auto"/>
                  <w:noWrap/>
                  <w:vAlign w:val="bottom"/>
                  <w:hideMark/>
                </w:tcPr>
                <w:p w14:paraId="75EA6E80"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23</w:t>
                  </w:r>
                </w:p>
              </w:tc>
              <w:tc>
                <w:tcPr>
                  <w:tcW w:w="923" w:type="dxa"/>
                  <w:tcBorders>
                    <w:top w:val="single" w:sz="4" w:space="0" w:color="auto"/>
                    <w:left w:val="nil"/>
                    <w:bottom w:val="nil"/>
                    <w:right w:val="nil"/>
                  </w:tcBorders>
                  <w:shd w:val="clear" w:color="auto" w:fill="auto"/>
                  <w:noWrap/>
                  <w:vAlign w:val="bottom"/>
                  <w:hideMark/>
                </w:tcPr>
                <w:p w14:paraId="3D9E1DF6"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16</w:t>
                  </w:r>
                </w:p>
              </w:tc>
              <w:tc>
                <w:tcPr>
                  <w:tcW w:w="1499" w:type="dxa"/>
                  <w:tcBorders>
                    <w:top w:val="single" w:sz="4" w:space="0" w:color="auto"/>
                    <w:left w:val="nil"/>
                    <w:bottom w:val="nil"/>
                    <w:right w:val="nil"/>
                  </w:tcBorders>
                  <w:shd w:val="clear" w:color="auto" w:fill="auto"/>
                  <w:noWrap/>
                  <w:vAlign w:val="bottom"/>
                  <w:hideMark/>
                </w:tcPr>
                <w:p w14:paraId="75F02AC6"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0.8</w:t>
                  </w:r>
                </w:p>
              </w:tc>
              <w:tc>
                <w:tcPr>
                  <w:tcW w:w="1292" w:type="dxa"/>
                  <w:tcBorders>
                    <w:top w:val="single" w:sz="4" w:space="0" w:color="auto"/>
                    <w:left w:val="nil"/>
                    <w:bottom w:val="nil"/>
                    <w:right w:val="single" w:sz="8" w:space="0" w:color="auto"/>
                  </w:tcBorders>
                  <w:shd w:val="clear" w:color="auto" w:fill="auto"/>
                  <w:noWrap/>
                  <w:vAlign w:val="bottom"/>
                  <w:hideMark/>
                </w:tcPr>
                <w:p w14:paraId="19A5E7EA"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50" w:type="dxa"/>
                  <w:tcBorders>
                    <w:top w:val="nil"/>
                    <w:left w:val="nil"/>
                    <w:bottom w:val="nil"/>
                    <w:right w:val="nil"/>
                  </w:tcBorders>
                  <w:shd w:val="clear" w:color="auto" w:fill="auto"/>
                  <w:noWrap/>
                  <w:vAlign w:val="bottom"/>
                  <w:hideMark/>
                </w:tcPr>
                <w:p w14:paraId="0CBECAC3"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375035AC" w14:textId="77777777" w:rsidTr="00FC3916">
              <w:trPr>
                <w:trHeight w:val="288"/>
              </w:trPr>
              <w:tc>
                <w:tcPr>
                  <w:tcW w:w="1643" w:type="dxa"/>
                  <w:tcBorders>
                    <w:top w:val="nil"/>
                    <w:left w:val="single" w:sz="8" w:space="0" w:color="auto"/>
                    <w:bottom w:val="single" w:sz="4" w:space="0" w:color="auto"/>
                    <w:right w:val="nil"/>
                  </w:tcBorders>
                  <w:shd w:val="clear" w:color="auto" w:fill="auto"/>
                  <w:noWrap/>
                  <w:vAlign w:val="bottom"/>
                  <w:hideMark/>
                </w:tcPr>
                <w:p w14:paraId="44BD716F"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w:t>
                  </w:r>
                </w:p>
              </w:tc>
              <w:tc>
                <w:tcPr>
                  <w:tcW w:w="1789" w:type="dxa"/>
                  <w:tcBorders>
                    <w:top w:val="nil"/>
                    <w:left w:val="nil"/>
                    <w:bottom w:val="single" w:sz="4" w:space="0" w:color="auto"/>
                    <w:right w:val="nil"/>
                  </w:tcBorders>
                  <w:shd w:val="clear" w:color="auto" w:fill="auto"/>
                  <w:noWrap/>
                  <w:vAlign w:val="bottom"/>
                  <w:hideMark/>
                </w:tcPr>
                <w:p w14:paraId="32B592D5"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PT teachers</w:t>
                  </w:r>
                </w:p>
              </w:tc>
              <w:tc>
                <w:tcPr>
                  <w:tcW w:w="1780" w:type="dxa"/>
                  <w:tcBorders>
                    <w:top w:val="nil"/>
                    <w:left w:val="nil"/>
                    <w:bottom w:val="single" w:sz="4" w:space="0" w:color="auto"/>
                    <w:right w:val="nil"/>
                  </w:tcBorders>
                  <w:shd w:val="clear" w:color="auto" w:fill="auto"/>
                  <w:noWrap/>
                  <w:vAlign w:val="bottom"/>
                  <w:hideMark/>
                </w:tcPr>
                <w:p w14:paraId="7ACEB13E"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7</w:t>
                  </w:r>
                </w:p>
              </w:tc>
              <w:tc>
                <w:tcPr>
                  <w:tcW w:w="1124" w:type="dxa"/>
                  <w:tcBorders>
                    <w:top w:val="nil"/>
                    <w:left w:val="nil"/>
                    <w:bottom w:val="single" w:sz="4" w:space="0" w:color="auto"/>
                    <w:right w:val="nil"/>
                  </w:tcBorders>
                  <w:shd w:val="clear" w:color="auto" w:fill="auto"/>
                  <w:noWrap/>
                  <w:vAlign w:val="bottom"/>
                  <w:hideMark/>
                </w:tcPr>
                <w:p w14:paraId="66729CBE"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15</w:t>
                  </w:r>
                </w:p>
              </w:tc>
              <w:tc>
                <w:tcPr>
                  <w:tcW w:w="923" w:type="dxa"/>
                  <w:tcBorders>
                    <w:top w:val="nil"/>
                    <w:left w:val="nil"/>
                    <w:bottom w:val="single" w:sz="4" w:space="0" w:color="auto"/>
                    <w:right w:val="nil"/>
                  </w:tcBorders>
                  <w:shd w:val="clear" w:color="auto" w:fill="auto"/>
                  <w:noWrap/>
                  <w:vAlign w:val="bottom"/>
                  <w:hideMark/>
                </w:tcPr>
                <w:p w14:paraId="55F423BA"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79</w:t>
                  </w:r>
                </w:p>
              </w:tc>
              <w:tc>
                <w:tcPr>
                  <w:tcW w:w="1499" w:type="dxa"/>
                  <w:tcBorders>
                    <w:top w:val="nil"/>
                    <w:left w:val="nil"/>
                    <w:bottom w:val="single" w:sz="4" w:space="0" w:color="auto"/>
                    <w:right w:val="nil"/>
                  </w:tcBorders>
                  <w:shd w:val="clear" w:color="auto" w:fill="auto"/>
                  <w:noWrap/>
                  <w:vAlign w:val="bottom"/>
                  <w:hideMark/>
                </w:tcPr>
                <w:p w14:paraId="120B7655"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1292" w:type="dxa"/>
                  <w:tcBorders>
                    <w:top w:val="nil"/>
                    <w:left w:val="nil"/>
                    <w:bottom w:val="single" w:sz="4" w:space="0" w:color="auto"/>
                    <w:right w:val="single" w:sz="8" w:space="0" w:color="auto"/>
                  </w:tcBorders>
                  <w:shd w:val="clear" w:color="auto" w:fill="auto"/>
                  <w:noWrap/>
                  <w:vAlign w:val="bottom"/>
                  <w:hideMark/>
                </w:tcPr>
                <w:p w14:paraId="5CC75399"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50" w:type="dxa"/>
                  <w:tcBorders>
                    <w:top w:val="nil"/>
                    <w:left w:val="nil"/>
                    <w:bottom w:val="nil"/>
                    <w:right w:val="nil"/>
                  </w:tcBorders>
                  <w:shd w:val="clear" w:color="auto" w:fill="auto"/>
                  <w:noWrap/>
                  <w:vAlign w:val="bottom"/>
                  <w:hideMark/>
                </w:tcPr>
                <w:p w14:paraId="65DF01AD"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600FF3B6" w14:textId="77777777" w:rsidTr="00FC3916">
              <w:trPr>
                <w:trHeight w:val="288"/>
              </w:trPr>
              <w:tc>
                <w:tcPr>
                  <w:tcW w:w="1643" w:type="dxa"/>
                  <w:tcBorders>
                    <w:top w:val="nil"/>
                    <w:left w:val="single" w:sz="8" w:space="0" w:color="auto"/>
                    <w:bottom w:val="nil"/>
                    <w:right w:val="nil"/>
                  </w:tcBorders>
                  <w:shd w:val="clear" w:color="000000" w:fill="DDEBF7"/>
                  <w:noWrap/>
                  <w:vAlign w:val="bottom"/>
                  <w:hideMark/>
                </w:tcPr>
                <w:p w14:paraId="1B27C993"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Burkina Faso</w:t>
                  </w:r>
                </w:p>
              </w:tc>
              <w:tc>
                <w:tcPr>
                  <w:tcW w:w="1789" w:type="dxa"/>
                  <w:tcBorders>
                    <w:top w:val="nil"/>
                    <w:left w:val="nil"/>
                    <w:bottom w:val="nil"/>
                    <w:right w:val="nil"/>
                  </w:tcBorders>
                  <w:shd w:val="clear" w:color="000000" w:fill="DDEBF7"/>
                  <w:noWrap/>
                  <w:vAlign w:val="bottom"/>
                  <w:hideMark/>
                </w:tcPr>
                <w:p w14:paraId="606CC7D2"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teachers</w:t>
                  </w:r>
                </w:p>
              </w:tc>
              <w:tc>
                <w:tcPr>
                  <w:tcW w:w="1780" w:type="dxa"/>
                  <w:tcBorders>
                    <w:top w:val="nil"/>
                    <w:left w:val="nil"/>
                    <w:bottom w:val="nil"/>
                    <w:right w:val="nil"/>
                  </w:tcBorders>
                  <w:shd w:val="clear" w:color="000000" w:fill="DDEBF7"/>
                  <w:noWrap/>
                  <w:vAlign w:val="bottom"/>
                  <w:hideMark/>
                </w:tcPr>
                <w:p w14:paraId="483A9EB4"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25</w:t>
                  </w:r>
                </w:p>
              </w:tc>
              <w:tc>
                <w:tcPr>
                  <w:tcW w:w="1124" w:type="dxa"/>
                  <w:tcBorders>
                    <w:top w:val="nil"/>
                    <w:left w:val="nil"/>
                    <w:bottom w:val="nil"/>
                    <w:right w:val="nil"/>
                  </w:tcBorders>
                  <w:shd w:val="clear" w:color="000000" w:fill="DDEBF7"/>
                  <w:noWrap/>
                  <w:vAlign w:val="bottom"/>
                  <w:hideMark/>
                </w:tcPr>
                <w:p w14:paraId="0BE729F3"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46</w:t>
                  </w:r>
                </w:p>
              </w:tc>
              <w:tc>
                <w:tcPr>
                  <w:tcW w:w="923" w:type="dxa"/>
                  <w:tcBorders>
                    <w:top w:val="nil"/>
                    <w:left w:val="nil"/>
                    <w:bottom w:val="nil"/>
                    <w:right w:val="nil"/>
                  </w:tcBorders>
                  <w:shd w:val="clear" w:color="000000" w:fill="DDEBF7"/>
                  <w:noWrap/>
                  <w:vAlign w:val="bottom"/>
                  <w:hideMark/>
                </w:tcPr>
                <w:p w14:paraId="3E40F87D"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26</w:t>
                  </w:r>
                </w:p>
              </w:tc>
              <w:tc>
                <w:tcPr>
                  <w:tcW w:w="1499" w:type="dxa"/>
                  <w:tcBorders>
                    <w:top w:val="nil"/>
                    <w:left w:val="nil"/>
                    <w:bottom w:val="nil"/>
                    <w:right w:val="nil"/>
                  </w:tcBorders>
                  <w:shd w:val="clear" w:color="000000" w:fill="DDEBF7"/>
                  <w:noWrap/>
                  <w:vAlign w:val="bottom"/>
                  <w:hideMark/>
                </w:tcPr>
                <w:p w14:paraId="5D89A980"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2.9</w:t>
                  </w:r>
                </w:p>
              </w:tc>
              <w:tc>
                <w:tcPr>
                  <w:tcW w:w="1292" w:type="dxa"/>
                  <w:tcBorders>
                    <w:top w:val="nil"/>
                    <w:left w:val="nil"/>
                    <w:bottom w:val="nil"/>
                    <w:right w:val="single" w:sz="8" w:space="0" w:color="auto"/>
                  </w:tcBorders>
                  <w:shd w:val="clear" w:color="000000" w:fill="DDEBF7"/>
                  <w:noWrap/>
                  <w:vAlign w:val="bottom"/>
                  <w:hideMark/>
                </w:tcPr>
                <w:p w14:paraId="05388864"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0.3</w:t>
                  </w:r>
                </w:p>
              </w:tc>
              <w:tc>
                <w:tcPr>
                  <w:tcW w:w="50" w:type="dxa"/>
                  <w:tcBorders>
                    <w:top w:val="nil"/>
                    <w:left w:val="nil"/>
                    <w:bottom w:val="nil"/>
                    <w:right w:val="nil"/>
                  </w:tcBorders>
                  <w:shd w:val="clear" w:color="auto" w:fill="auto"/>
                  <w:noWrap/>
                  <w:vAlign w:val="bottom"/>
                  <w:hideMark/>
                </w:tcPr>
                <w:p w14:paraId="64D52597"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5740D45D" w14:textId="77777777" w:rsidTr="00FC3916">
              <w:trPr>
                <w:trHeight w:val="288"/>
              </w:trPr>
              <w:tc>
                <w:tcPr>
                  <w:tcW w:w="1643" w:type="dxa"/>
                  <w:tcBorders>
                    <w:top w:val="nil"/>
                    <w:left w:val="single" w:sz="8" w:space="0" w:color="auto"/>
                    <w:bottom w:val="single" w:sz="4" w:space="0" w:color="auto"/>
                    <w:right w:val="nil"/>
                  </w:tcBorders>
                  <w:shd w:val="clear" w:color="000000" w:fill="DDEBF7"/>
                  <w:noWrap/>
                  <w:vAlign w:val="bottom"/>
                  <w:hideMark/>
                </w:tcPr>
                <w:p w14:paraId="5F056F7F"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w:t>
                  </w:r>
                </w:p>
              </w:tc>
              <w:tc>
                <w:tcPr>
                  <w:tcW w:w="1789" w:type="dxa"/>
                  <w:tcBorders>
                    <w:top w:val="nil"/>
                    <w:left w:val="nil"/>
                    <w:bottom w:val="single" w:sz="4" w:space="0" w:color="auto"/>
                    <w:right w:val="nil"/>
                  </w:tcBorders>
                  <w:shd w:val="clear" w:color="000000" w:fill="DDEBF7"/>
                  <w:noWrap/>
                  <w:vAlign w:val="bottom"/>
                  <w:hideMark/>
                </w:tcPr>
                <w:p w14:paraId="6E9347EE"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PT teachers</w:t>
                  </w:r>
                </w:p>
              </w:tc>
              <w:tc>
                <w:tcPr>
                  <w:tcW w:w="1780" w:type="dxa"/>
                  <w:tcBorders>
                    <w:top w:val="nil"/>
                    <w:left w:val="nil"/>
                    <w:bottom w:val="single" w:sz="4" w:space="0" w:color="auto"/>
                    <w:right w:val="nil"/>
                  </w:tcBorders>
                  <w:shd w:val="clear" w:color="000000" w:fill="DDEBF7"/>
                  <w:noWrap/>
                  <w:vAlign w:val="bottom"/>
                  <w:hideMark/>
                </w:tcPr>
                <w:p w14:paraId="233B6BC6"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11</w:t>
                  </w:r>
                </w:p>
              </w:tc>
              <w:tc>
                <w:tcPr>
                  <w:tcW w:w="1124" w:type="dxa"/>
                  <w:tcBorders>
                    <w:top w:val="nil"/>
                    <w:left w:val="nil"/>
                    <w:bottom w:val="single" w:sz="4" w:space="0" w:color="auto"/>
                    <w:right w:val="nil"/>
                  </w:tcBorders>
                  <w:shd w:val="clear" w:color="000000" w:fill="DDEBF7"/>
                  <w:noWrap/>
                  <w:vAlign w:val="bottom"/>
                  <w:hideMark/>
                </w:tcPr>
                <w:p w14:paraId="39A25D94"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8</w:t>
                  </w:r>
                </w:p>
              </w:tc>
              <w:tc>
                <w:tcPr>
                  <w:tcW w:w="923" w:type="dxa"/>
                  <w:tcBorders>
                    <w:top w:val="nil"/>
                    <w:left w:val="nil"/>
                    <w:bottom w:val="single" w:sz="4" w:space="0" w:color="auto"/>
                    <w:right w:val="nil"/>
                  </w:tcBorders>
                  <w:shd w:val="clear" w:color="000000" w:fill="DDEBF7"/>
                  <w:noWrap/>
                  <w:vAlign w:val="bottom"/>
                  <w:hideMark/>
                </w:tcPr>
                <w:p w14:paraId="24ECB7A8"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77</w:t>
                  </w:r>
                </w:p>
              </w:tc>
              <w:tc>
                <w:tcPr>
                  <w:tcW w:w="1499" w:type="dxa"/>
                  <w:tcBorders>
                    <w:top w:val="nil"/>
                    <w:left w:val="nil"/>
                    <w:bottom w:val="single" w:sz="4" w:space="0" w:color="auto"/>
                    <w:right w:val="nil"/>
                  </w:tcBorders>
                  <w:shd w:val="clear" w:color="000000" w:fill="DDEBF7"/>
                  <w:noWrap/>
                  <w:vAlign w:val="bottom"/>
                  <w:hideMark/>
                </w:tcPr>
                <w:p w14:paraId="284E670C"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4.6</w:t>
                  </w:r>
                </w:p>
              </w:tc>
              <w:tc>
                <w:tcPr>
                  <w:tcW w:w="1292" w:type="dxa"/>
                  <w:tcBorders>
                    <w:top w:val="nil"/>
                    <w:left w:val="nil"/>
                    <w:bottom w:val="single" w:sz="4" w:space="0" w:color="auto"/>
                    <w:right w:val="single" w:sz="8" w:space="0" w:color="auto"/>
                  </w:tcBorders>
                  <w:shd w:val="clear" w:color="000000" w:fill="DDEBF7"/>
                  <w:noWrap/>
                  <w:vAlign w:val="bottom"/>
                  <w:hideMark/>
                </w:tcPr>
                <w:p w14:paraId="62D407FB"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50" w:type="dxa"/>
                  <w:tcBorders>
                    <w:top w:val="nil"/>
                    <w:left w:val="nil"/>
                    <w:bottom w:val="nil"/>
                    <w:right w:val="nil"/>
                  </w:tcBorders>
                  <w:shd w:val="clear" w:color="auto" w:fill="auto"/>
                  <w:noWrap/>
                  <w:vAlign w:val="bottom"/>
                  <w:hideMark/>
                </w:tcPr>
                <w:p w14:paraId="7B43131A"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5C9FA582" w14:textId="77777777" w:rsidTr="00FC3916">
              <w:trPr>
                <w:trHeight w:val="288"/>
              </w:trPr>
              <w:tc>
                <w:tcPr>
                  <w:tcW w:w="1643" w:type="dxa"/>
                  <w:tcBorders>
                    <w:top w:val="nil"/>
                    <w:left w:val="single" w:sz="8" w:space="0" w:color="auto"/>
                    <w:bottom w:val="nil"/>
                    <w:right w:val="nil"/>
                  </w:tcBorders>
                  <w:shd w:val="clear" w:color="auto" w:fill="auto"/>
                  <w:noWrap/>
                  <w:vAlign w:val="bottom"/>
                  <w:hideMark/>
                </w:tcPr>
                <w:p w14:paraId="6D1FE0CE"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Cameroon</w:t>
                  </w:r>
                </w:p>
              </w:tc>
              <w:tc>
                <w:tcPr>
                  <w:tcW w:w="1789" w:type="dxa"/>
                  <w:tcBorders>
                    <w:top w:val="nil"/>
                    <w:left w:val="nil"/>
                    <w:bottom w:val="nil"/>
                    <w:right w:val="nil"/>
                  </w:tcBorders>
                  <w:shd w:val="clear" w:color="auto" w:fill="auto"/>
                  <w:noWrap/>
                  <w:vAlign w:val="bottom"/>
                  <w:hideMark/>
                </w:tcPr>
                <w:p w14:paraId="7B0023B0"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teachers</w:t>
                  </w:r>
                </w:p>
              </w:tc>
              <w:tc>
                <w:tcPr>
                  <w:tcW w:w="1780" w:type="dxa"/>
                  <w:tcBorders>
                    <w:top w:val="nil"/>
                    <w:left w:val="nil"/>
                    <w:bottom w:val="nil"/>
                    <w:right w:val="nil"/>
                  </w:tcBorders>
                  <w:shd w:val="clear" w:color="auto" w:fill="auto"/>
                  <w:noWrap/>
                  <w:vAlign w:val="bottom"/>
                  <w:hideMark/>
                </w:tcPr>
                <w:p w14:paraId="4F6603A8"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11</w:t>
                  </w:r>
                </w:p>
              </w:tc>
              <w:tc>
                <w:tcPr>
                  <w:tcW w:w="1124" w:type="dxa"/>
                  <w:tcBorders>
                    <w:top w:val="nil"/>
                    <w:left w:val="nil"/>
                    <w:bottom w:val="nil"/>
                    <w:right w:val="nil"/>
                  </w:tcBorders>
                  <w:shd w:val="clear" w:color="auto" w:fill="auto"/>
                  <w:noWrap/>
                  <w:vAlign w:val="bottom"/>
                  <w:hideMark/>
                </w:tcPr>
                <w:p w14:paraId="17A73374"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10</w:t>
                  </w:r>
                </w:p>
              </w:tc>
              <w:tc>
                <w:tcPr>
                  <w:tcW w:w="923" w:type="dxa"/>
                  <w:tcBorders>
                    <w:top w:val="nil"/>
                    <w:left w:val="nil"/>
                    <w:bottom w:val="nil"/>
                    <w:right w:val="nil"/>
                  </w:tcBorders>
                  <w:shd w:val="clear" w:color="auto" w:fill="auto"/>
                  <w:noWrap/>
                  <w:vAlign w:val="bottom"/>
                  <w:hideMark/>
                </w:tcPr>
                <w:p w14:paraId="046DA071"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48</w:t>
                  </w:r>
                </w:p>
              </w:tc>
              <w:tc>
                <w:tcPr>
                  <w:tcW w:w="1499" w:type="dxa"/>
                  <w:tcBorders>
                    <w:top w:val="nil"/>
                    <w:left w:val="nil"/>
                    <w:bottom w:val="nil"/>
                    <w:right w:val="nil"/>
                  </w:tcBorders>
                  <w:shd w:val="clear" w:color="auto" w:fill="auto"/>
                  <w:noWrap/>
                  <w:vAlign w:val="bottom"/>
                  <w:hideMark/>
                </w:tcPr>
                <w:p w14:paraId="7CB0C479"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28</w:t>
                  </w:r>
                </w:p>
              </w:tc>
              <w:tc>
                <w:tcPr>
                  <w:tcW w:w="1292" w:type="dxa"/>
                  <w:tcBorders>
                    <w:top w:val="nil"/>
                    <w:left w:val="nil"/>
                    <w:bottom w:val="nil"/>
                    <w:right w:val="single" w:sz="8" w:space="0" w:color="auto"/>
                  </w:tcBorders>
                  <w:shd w:val="clear" w:color="auto" w:fill="auto"/>
                  <w:noWrap/>
                  <w:vAlign w:val="bottom"/>
                  <w:hideMark/>
                </w:tcPr>
                <w:p w14:paraId="246E435B"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9</w:t>
                  </w:r>
                </w:p>
              </w:tc>
              <w:tc>
                <w:tcPr>
                  <w:tcW w:w="50" w:type="dxa"/>
                  <w:tcBorders>
                    <w:top w:val="nil"/>
                    <w:left w:val="nil"/>
                    <w:bottom w:val="nil"/>
                    <w:right w:val="nil"/>
                  </w:tcBorders>
                  <w:shd w:val="clear" w:color="auto" w:fill="auto"/>
                  <w:noWrap/>
                  <w:vAlign w:val="bottom"/>
                  <w:hideMark/>
                </w:tcPr>
                <w:p w14:paraId="351AB507"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7660F470" w14:textId="77777777" w:rsidTr="00FC3916">
              <w:trPr>
                <w:trHeight w:val="288"/>
              </w:trPr>
              <w:tc>
                <w:tcPr>
                  <w:tcW w:w="1643" w:type="dxa"/>
                  <w:tcBorders>
                    <w:top w:val="nil"/>
                    <w:left w:val="single" w:sz="8" w:space="0" w:color="auto"/>
                    <w:bottom w:val="nil"/>
                    <w:right w:val="nil"/>
                  </w:tcBorders>
                  <w:shd w:val="clear" w:color="auto" w:fill="auto"/>
                  <w:noWrap/>
                  <w:vAlign w:val="bottom"/>
                  <w:hideMark/>
                </w:tcPr>
                <w:p w14:paraId="739D4F81"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w:t>
                  </w:r>
                </w:p>
              </w:tc>
              <w:tc>
                <w:tcPr>
                  <w:tcW w:w="1789" w:type="dxa"/>
                  <w:tcBorders>
                    <w:top w:val="nil"/>
                    <w:left w:val="nil"/>
                    <w:bottom w:val="nil"/>
                    <w:right w:val="nil"/>
                  </w:tcBorders>
                  <w:shd w:val="clear" w:color="auto" w:fill="auto"/>
                  <w:noWrap/>
                  <w:vAlign w:val="bottom"/>
                  <w:hideMark/>
                </w:tcPr>
                <w:p w14:paraId="74FFFB8D"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PT teachers</w:t>
                  </w:r>
                </w:p>
              </w:tc>
              <w:tc>
                <w:tcPr>
                  <w:tcW w:w="1780" w:type="dxa"/>
                  <w:tcBorders>
                    <w:top w:val="nil"/>
                    <w:left w:val="nil"/>
                    <w:bottom w:val="nil"/>
                    <w:right w:val="nil"/>
                  </w:tcBorders>
                  <w:shd w:val="clear" w:color="auto" w:fill="auto"/>
                  <w:noWrap/>
                  <w:vAlign w:val="bottom"/>
                  <w:hideMark/>
                </w:tcPr>
                <w:p w14:paraId="1B623B73"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1124" w:type="dxa"/>
                  <w:tcBorders>
                    <w:top w:val="nil"/>
                    <w:left w:val="nil"/>
                    <w:bottom w:val="nil"/>
                    <w:right w:val="nil"/>
                  </w:tcBorders>
                  <w:shd w:val="clear" w:color="auto" w:fill="auto"/>
                  <w:noWrap/>
                  <w:vAlign w:val="bottom"/>
                  <w:hideMark/>
                </w:tcPr>
                <w:p w14:paraId="228F5B8F"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3</w:t>
                  </w:r>
                </w:p>
              </w:tc>
              <w:tc>
                <w:tcPr>
                  <w:tcW w:w="923" w:type="dxa"/>
                  <w:tcBorders>
                    <w:top w:val="nil"/>
                    <w:left w:val="nil"/>
                    <w:bottom w:val="nil"/>
                    <w:right w:val="nil"/>
                  </w:tcBorders>
                  <w:shd w:val="clear" w:color="auto" w:fill="auto"/>
                  <w:noWrap/>
                  <w:vAlign w:val="bottom"/>
                  <w:hideMark/>
                </w:tcPr>
                <w:p w14:paraId="70B839F0"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28</w:t>
                  </w:r>
                </w:p>
              </w:tc>
              <w:tc>
                <w:tcPr>
                  <w:tcW w:w="1499" w:type="dxa"/>
                  <w:tcBorders>
                    <w:top w:val="nil"/>
                    <w:left w:val="nil"/>
                    <w:bottom w:val="nil"/>
                    <w:right w:val="nil"/>
                  </w:tcBorders>
                  <w:shd w:val="clear" w:color="auto" w:fill="auto"/>
                  <w:noWrap/>
                  <w:vAlign w:val="bottom"/>
                  <w:hideMark/>
                </w:tcPr>
                <w:p w14:paraId="6693A6D8"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62</w:t>
                  </w:r>
                </w:p>
              </w:tc>
              <w:tc>
                <w:tcPr>
                  <w:tcW w:w="1292" w:type="dxa"/>
                  <w:tcBorders>
                    <w:top w:val="nil"/>
                    <w:left w:val="nil"/>
                    <w:bottom w:val="nil"/>
                    <w:right w:val="single" w:sz="8" w:space="0" w:color="auto"/>
                  </w:tcBorders>
                  <w:shd w:val="clear" w:color="auto" w:fill="auto"/>
                  <w:noWrap/>
                  <w:vAlign w:val="bottom"/>
                  <w:hideMark/>
                </w:tcPr>
                <w:p w14:paraId="497493A5"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6</w:t>
                  </w:r>
                </w:p>
              </w:tc>
              <w:tc>
                <w:tcPr>
                  <w:tcW w:w="50" w:type="dxa"/>
                  <w:tcBorders>
                    <w:top w:val="nil"/>
                    <w:left w:val="nil"/>
                    <w:bottom w:val="nil"/>
                    <w:right w:val="nil"/>
                  </w:tcBorders>
                  <w:shd w:val="clear" w:color="auto" w:fill="auto"/>
                  <w:noWrap/>
                  <w:vAlign w:val="bottom"/>
                  <w:hideMark/>
                </w:tcPr>
                <w:p w14:paraId="1850FF5B"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0D85CDAF" w14:textId="77777777" w:rsidTr="00FC3916">
              <w:trPr>
                <w:trHeight w:val="288"/>
              </w:trPr>
              <w:tc>
                <w:tcPr>
                  <w:tcW w:w="1643" w:type="dxa"/>
                  <w:tcBorders>
                    <w:top w:val="single" w:sz="4" w:space="0" w:color="auto"/>
                    <w:left w:val="single" w:sz="8" w:space="0" w:color="auto"/>
                    <w:bottom w:val="nil"/>
                    <w:right w:val="nil"/>
                  </w:tcBorders>
                  <w:shd w:val="clear" w:color="000000" w:fill="DDEBF7"/>
                  <w:noWrap/>
                  <w:vAlign w:val="bottom"/>
                  <w:hideMark/>
                </w:tcPr>
                <w:p w14:paraId="008E573D"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Congo</w:t>
                  </w:r>
                </w:p>
              </w:tc>
              <w:tc>
                <w:tcPr>
                  <w:tcW w:w="1789" w:type="dxa"/>
                  <w:tcBorders>
                    <w:top w:val="single" w:sz="4" w:space="0" w:color="auto"/>
                    <w:left w:val="nil"/>
                    <w:bottom w:val="nil"/>
                    <w:right w:val="nil"/>
                  </w:tcBorders>
                  <w:shd w:val="clear" w:color="000000" w:fill="DDEBF7"/>
                  <w:noWrap/>
                  <w:vAlign w:val="bottom"/>
                  <w:hideMark/>
                </w:tcPr>
                <w:p w14:paraId="6FB57E06"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teachers</w:t>
                  </w:r>
                </w:p>
              </w:tc>
              <w:tc>
                <w:tcPr>
                  <w:tcW w:w="1780" w:type="dxa"/>
                  <w:tcBorders>
                    <w:top w:val="single" w:sz="4" w:space="0" w:color="auto"/>
                    <w:left w:val="nil"/>
                    <w:bottom w:val="nil"/>
                    <w:right w:val="nil"/>
                  </w:tcBorders>
                  <w:shd w:val="clear" w:color="000000" w:fill="DDEBF7"/>
                  <w:noWrap/>
                  <w:vAlign w:val="bottom"/>
                  <w:hideMark/>
                </w:tcPr>
                <w:p w14:paraId="20B0953C"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34</w:t>
                  </w:r>
                </w:p>
              </w:tc>
              <w:tc>
                <w:tcPr>
                  <w:tcW w:w="1124" w:type="dxa"/>
                  <w:tcBorders>
                    <w:top w:val="single" w:sz="4" w:space="0" w:color="auto"/>
                    <w:left w:val="nil"/>
                    <w:bottom w:val="nil"/>
                    <w:right w:val="nil"/>
                  </w:tcBorders>
                  <w:shd w:val="clear" w:color="000000" w:fill="DDEBF7"/>
                  <w:noWrap/>
                  <w:vAlign w:val="bottom"/>
                  <w:hideMark/>
                </w:tcPr>
                <w:p w14:paraId="3159D0C6"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9</w:t>
                  </w:r>
                </w:p>
              </w:tc>
              <w:tc>
                <w:tcPr>
                  <w:tcW w:w="923" w:type="dxa"/>
                  <w:tcBorders>
                    <w:top w:val="single" w:sz="4" w:space="0" w:color="auto"/>
                    <w:left w:val="nil"/>
                    <w:bottom w:val="nil"/>
                    <w:right w:val="nil"/>
                  </w:tcBorders>
                  <w:shd w:val="clear" w:color="000000" w:fill="DDEBF7"/>
                  <w:noWrap/>
                  <w:vAlign w:val="bottom"/>
                  <w:hideMark/>
                </w:tcPr>
                <w:p w14:paraId="5DAB1BB0"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41</w:t>
                  </w:r>
                </w:p>
              </w:tc>
              <w:tc>
                <w:tcPr>
                  <w:tcW w:w="1499" w:type="dxa"/>
                  <w:tcBorders>
                    <w:top w:val="single" w:sz="4" w:space="0" w:color="auto"/>
                    <w:left w:val="nil"/>
                    <w:bottom w:val="nil"/>
                    <w:right w:val="nil"/>
                  </w:tcBorders>
                  <w:shd w:val="clear" w:color="000000" w:fill="DDEBF7"/>
                  <w:noWrap/>
                  <w:vAlign w:val="bottom"/>
                  <w:hideMark/>
                </w:tcPr>
                <w:p w14:paraId="08520E06"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15</w:t>
                  </w:r>
                </w:p>
              </w:tc>
              <w:tc>
                <w:tcPr>
                  <w:tcW w:w="1292" w:type="dxa"/>
                  <w:tcBorders>
                    <w:top w:val="single" w:sz="4" w:space="0" w:color="auto"/>
                    <w:left w:val="nil"/>
                    <w:bottom w:val="nil"/>
                    <w:right w:val="single" w:sz="8" w:space="0" w:color="auto"/>
                  </w:tcBorders>
                  <w:shd w:val="clear" w:color="000000" w:fill="DDEBF7"/>
                  <w:noWrap/>
                  <w:vAlign w:val="bottom"/>
                  <w:hideMark/>
                </w:tcPr>
                <w:p w14:paraId="4EF0C2E9"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w:t>
                  </w:r>
                </w:p>
              </w:tc>
              <w:tc>
                <w:tcPr>
                  <w:tcW w:w="50" w:type="dxa"/>
                  <w:tcBorders>
                    <w:top w:val="nil"/>
                    <w:left w:val="nil"/>
                    <w:bottom w:val="nil"/>
                    <w:right w:val="nil"/>
                  </w:tcBorders>
                  <w:shd w:val="clear" w:color="auto" w:fill="auto"/>
                  <w:noWrap/>
                  <w:vAlign w:val="bottom"/>
                  <w:hideMark/>
                </w:tcPr>
                <w:p w14:paraId="05725078"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14D3BFE9" w14:textId="77777777" w:rsidTr="00FC3916">
              <w:trPr>
                <w:trHeight w:val="288"/>
              </w:trPr>
              <w:tc>
                <w:tcPr>
                  <w:tcW w:w="1643" w:type="dxa"/>
                  <w:tcBorders>
                    <w:top w:val="nil"/>
                    <w:left w:val="single" w:sz="8" w:space="0" w:color="auto"/>
                    <w:bottom w:val="single" w:sz="4" w:space="0" w:color="auto"/>
                    <w:right w:val="nil"/>
                  </w:tcBorders>
                  <w:shd w:val="clear" w:color="000000" w:fill="DDEBF7"/>
                  <w:noWrap/>
                  <w:vAlign w:val="bottom"/>
                  <w:hideMark/>
                </w:tcPr>
                <w:p w14:paraId="61306DFE"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w:t>
                  </w:r>
                </w:p>
              </w:tc>
              <w:tc>
                <w:tcPr>
                  <w:tcW w:w="1789" w:type="dxa"/>
                  <w:tcBorders>
                    <w:top w:val="nil"/>
                    <w:left w:val="nil"/>
                    <w:bottom w:val="single" w:sz="4" w:space="0" w:color="auto"/>
                    <w:right w:val="nil"/>
                  </w:tcBorders>
                  <w:shd w:val="clear" w:color="000000" w:fill="DDEBF7"/>
                  <w:noWrap/>
                  <w:vAlign w:val="bottom"/>
                  <w:hideMark/>
                </w:tcPr>
                <w:p w14:paraId="19F884B0"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PT teachers</w:t>
                  </w:r>
                </w:p>
              </w:tc>
              <w:tc>
                <w:tcPr>
                  <w:tcW w:w="1780" w:type="dxa"/>
                  <w:tcBorders>
                    <w:top w:val="nil"/>
                    <w:left w:val="nil"/>
                    <w:bottom w:val="single" w:sz="4" w:space="0" w:color="auto"/>
                    <w:right w:val="nil"/>
                  </w:tcBorders>
                  <w:shd w:val="clear" w:color="000000" w:fill="DDEBF7"/>
                  <w:noWrap/>
                  <w:vAlign w:val="bottom"/>
                  <w:hideMark/>
                </w:tcPr>
                <w:p w14:paraId="6E071E7D"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18</w:t>
                  </w:r>
                </w:p>
              </w:tc>
              <w:tc>
                <w:tcPr>
                  <w:tcW w:w="1124" w:type="dxa"/>
                  <w:tcBorders>
                    <w:top w:val="nil"/>
                    <w:left w:val="nil"/>
                    <w:bottom w:val="single" w:sz="4" w:space="0" w:color="auto"/>
                    <w:right w:val="nil"/>
                  </w:tcBorders>
                  <w:shd w:val="clear" w:color="000000" w:fill="DDEBF7"/>
                  <w:noWrap/>
                  <w:vAlign w:val="bottom"/>
                  <w:hideMark/>
                </w:tcPr>
                <w:p w14:paraId="22299759"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923" w:type="dxa"/>
                  <w:tcBorders>
                    <w:top w:val="nil"/>
                    <w:left w:val="nil"/>
                    <w:bottom w:val="single" w:sz="4" w:space="0" w:color="auto"/>
                    <w:right w:val="nil"/>
                  </w:tcBorders>
                  <w:shd w:val="clear" w:color="000000" w:fill="DDEBF7"/>
                  <w:noWrap/>
                  <w:vAlign w:val="bottom"/>
                  <w:hideMark/>
                </w:tcPr>
                <w:p w14:paraId="30A00793"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82</w:t>
                  </w:r>
                </w:p>
              </w:tc>
              <w:tc>
                <w:tcPr>
                  <w:tcW w:w="1499" w:type="dxa"/>
                  <w:tcBorders>
                    <w:top w:val="nil"/>
                    <w:left w:val="nil"/>
                    <w:bottom w:val="single" w:sz="4" w:space="0" w:color="auto"/>
                    <w:right w:val="nil"/>
                  </w:tcBorders>
                  <w:shd w:val="clear" w:color="000000" w:fill="DDEBF7"/>
                  <w:noWrap/>
                  <w:vAlign w:val="bottom"/>
                  <w:hideMark/>
                </w:tcPr>
                <w:p w14:paraId="064F6EDE"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1292" w:type="dxa"/>
                  <w:tcBorders>
                    <w:top w:val="nil"/>
                    <w:left w:val="nil"/>
                    <w:bottom w:val="single" w:sz="4" w:space="0" w:color="auto"/>
                    <w:right w:val="single" w:sz="8" w:space="0" w:color="auto"/>
                  </w:tcBorders>
                  <w:shd w:val="clear" w:color="000000" w:fill="DDEBF7"/>
                  <w:noWrap/>
                  <w:vAlign w:val="bottom"/>
                  <w:hideMark/>
                </w:tcPr>
                <w:p w14:paraId="305CF3AC"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50" w:type="dxa"/>
                  <w:tcBorders>
                    <w:top w:val="nil"/>
                    <w:left w:val="nil"/>
                    <w:bottom w:val="nil"/>
                    <w:right w:val="nil"/>
                  </w:tcBorders>
                  <w:shd w:val="clear" w:color="auto" w:fill="auto"/>
                  <w:noWrap/>
                  <w:vAlign w:val="bottom"/>
                  <w:hideMark/>
                </w:tcPr>
                <w:p w14:paraId="78FCC9B9"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565C8540" w14:textId="77777777" w:rsidTr="00FC3916">
              <w:trPr>
                <w:trHeight w:val="288"/>
              </w:trPr>
              <w:tc>
                <w:tcPr>
                  <w:tcW w:w="1643" w:type="dxa"/>
                  <w:tcBorders>
                    <w:top w:val="nil"/>
                    <w:left w:val="single" w:sz="8" w:space="0" w:color="auto"/>
                    <w:bottom w:val="nil"/>
                    <w:right w:val="nil"/>
                  </w:tcBorders>
                  <w:shd w:val="clear" w:color="auto" w:fill="auto"/>
                  <w:noWrap/>
                  <w:vAlign w:val="bottom"/>
                  <w:hideMark/>
                </w:tcPr>
                <w:p w14:paraId="1A76114F"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Cote d'Ivoire</w:t>
                  </w:r>
                </w:p>
              </w:tc>
              <w:tc>
                <w:tcPr>
                  <w:tcW w:w="1789" w:type="dxa"/>
                  <w:tcBorders>
                    <w:top w:val="nil"/>
                    <w:left w:val="nil"/>
                    <w:bottom w:val="nil"/>
                    <w:right w:val="nil"/>
                  </w:tcBorders>
                  <w:shd w:val="clear" w:color="auto" w:fill="auto"/>
                  <w:noWrap/>
                  <w:vAlign w:val="bottom"/>
                  <w:hideMark/>
                </w:tcPr>
                <w:p w14:paraId="3E82B800"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teachers</w:t>
                  </w:r>
                </w:p>
              </w:tc>
              <w:tc>
                <w:tcPr>
                  <w:tcW w:w="1780" w:type="dxa"/>
                  <w:tcBorders>
                    <w:top w:val="nil"/>
                    <w:left w:val="nil"/>
                    <w:bottom w:val="nil"/>
                    <w:right w:val="nil"/>
                  </w:tcBorders>
                  <w:shd w:val="clear" w:color="auto" w:fill="auto"/>
                  <w:noWrap/>
                  <w:vAlign w:val="bottom"/>
                  <w:hideMark/>
                </w:tcPr>
                <w:p w14:paraId="37D9A999"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84</w:t>
                  </w:r>
                </w:p>
              </w:tc>
              <w:tc>
                <w:tcPr>
                  <w:tcW w:w="1124" w:type="dxa"/>
                  <w:tcBorders>
                    <w:top w:val="nil"/>
                    <w:left w:val="nil"/>
                    <w:bottom w:val="nil"/>
                    <w:right w:val="nil"/>
                  </w:tcBorders>
                  <w:shd w:val="clear" w:color="auto" w:fill="auto"/>
                  <w:noWrap/>
                  <w:vAlign w:val="bottom"/>
                  <w:hideMark/>
                </w:tcPr>
                <w:p w14:paraId="344C2501"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923" w:type="dxa"/>
                  <w:tcBorders>
                    <w:top w:val="nil"/>
                    <w:left w:val="nil"/>
                    <w:bottom w:val="nil"/>
                    <w:right w:val="nil"/>
                  </w:tcBorders>
                  <w:shd w:val="clear" w:color="auto" w:fill="auto"/>
                  <w:noWrap/>
                  <w:vAlign w:val="bottom"/>
                  <w:hideMark/>
                </w:tcPr>
                <w:p w14:paraId="683469B5"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14</w:t>
                  </w:r>
                </w:p>
              </w:tc>
              <w:tc>
                <w:tcPr>
                  <w:tcW w:w="1499" w:type="dxa"/>
                  <w:tcBorders>
                    <w:top w:val="nil"/>
                    <w:left w:val="nil"/>
                    <w:bottom w:val="nil"/>
                    <w:right w:val="nil"/>
                  </w:tcBorders>
                  <w:shd w:val="clear" w:color="auto" w:fill="auto"/>
                  <w:noWrap/>
                  <w:vAlign w:val="bottom"/>
                  <w:hideMark/>
                </w:tcPr>
                <w:p w14:paraId="3DC8367F"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w:t>
                  </w:r>
                </w:p>
              </w:tc>
              <w:tc>
                <w:tcPr>
                  <w:tcW w:w="1292" w:type="dxa"/>
                  <w:tcBorders>
                    <w:top w:val="nil"/>
                    <w:left w:val="nil"/>
                    <w:bottom w:val="nil"/>
                    <w:right w:val="single" w:sz="8" w:space="0" w:color="auto"/>
                  </w:tcBorders>
                  <w:shd w:val="clear" w:color="auto" w:fill="auto"/>
                  <w:noWrap/>
                  <w:vAlign w:val="bottom"/>
                  <w:hideMark/>
                </w:tcPr>
                <w:p w14:paraId="44DF75A3"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50" w:type="dxa"/>
                  <w:tcBorders>
                    <w:top w:val="nil"/>
                    <w:left w:val="nil"/>
                    <w:bottom w:val="nil"/>
                    <w:right w:val="nil"/>
                  </w:tcBorders>
                  <w:shd w:val="clear" w:color="auto" w:fill="auto"/>
                  <w:noWrap/>
                  <w:vAlign w:val="bottom"/>
                  <w:hideMark/>
                </w:tcPr>
                <w:p w14:paraId="4BB0BD57"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1AABEAB4" w14:textId="77777777" w:rsidTr="00FC3916">
              <w:trPr>
                <w:trHeight w:val="288"/>
              </w:trPr>
              <w:tc>
                <w:tcPr>
                  <w:tcW w:w="1643" w:type="dxa"/>
                  <w:tcBorders>
                    <w:top w:val="nil"/>
                    <w:left w:val="single" w:sz="8" w:space="0" w:color="auto"/>
                    <w:bottom w:val="nil"/>
                    <w:right w:val="nil"/>
                  </w:tcBorders>
                  <w:shd w:val="clear" w:color="auto" w:fill="auto"/>
                  <w:noWrap/>
                  <w:vAlign w:val="bottom"/>
                  <w:hideMark/>
                </w:tcPr>
                <w:p w14:paraId="3670CF81"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w:t>
                  </w:r>
                </w:p>
              </w:tc>
              <w:tc>
                <w:tcPr>
                  <w:tcW w:w="1789" w:type="dxa"/>
                  <w:tcBorders>
                    <w:top w:val="nil"/>
                    <w:left w:val="nil"/>
                    <w:bottom w:val="nil"/>
                    <w:right w:val="nil"/>
                  </w:tcBorders>
                  <w:shd w:val="clear" w:color="auto" w:fill="auto"/>
                  <w:noWrap/>
                  <w:vAlign w:val="bottom"/>
                  <w:hideMark/>
                </w:tcPr>
                <w:p w14:paraId="20D546E1"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PT teachers</w:t>
                  </w:r>
                </w:p>
              </w:tc>
              <w:tc>
                <w:tcPr>
                  <w:tcW w:w="1780" w:type="dxa"/>
                  <w:tcBorders>
                    <w:top w:val="nil"/>
                    <w:left w:val="nil"/>
                    <w:bottom w:val="nil"/>
                    <w:right w:val="nil"/>
                  </w:tcBorders>
                  <w:shd w:val="clear" w:color="auto" w:fill="auto"/>
                  <w:noWrap/>
                  <w:vAlign w:val="bottom"/>
                  <w:hideMark/>
                </w:tcPr>
                <w:p w14:paraId="310CF65D"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10</w:t>
                  </w:r>
                </w:p>
              </w:tc>
              <w:tc>
                <w:tcPr>
                  <w:tcW w:w="1124" w:type="dxa"/>
                  <w:tcBorders>
                    <w:top w:val="nil"/>
                    <w:left w:val="nil"/>
                    <w:bottom w:val="nil"/>
                    <w:right w:val="nil"/>
                  </w:tcBorders>
                  <w:shd w:val="clear" w:color="auto" w:fill="auto"/>
                  <w:noWrap/>
                  <w:vAlign w:val="bottom"/>
                  <w:hideMark/>
                </w:tcPr>
                <w:p w14:paraId="59541258"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923" w:type="dxa"/>
                  <w:tcBorders>
                    <w:top w:val="nil"/>
                    <w:left w:val="nil"/>
                    <w:bottom w:val="nil"/>
                    <w:right w:val="nil"/>
                  </w:tcBorders>
                  <w:shd w:val="clear" w:color="auto" w:fill="auto"/>
                  <w:noWrap/>
                  <w:vAlign w:val="bottom"/>
                  <w:hideMark/>
                </w:tcPr>
                <w:p w14:paraId="09509B87"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90</w:t>
                  </w:r>
                </w:p>
              </w:tc>
              <w:tc>
                <w:tcPr>
                  <w:tcW w:w="1499" w:type="dxa"/>
                  <w:tcBorders>
                    <w:top w:val="nil"/>
                    <w:left w:val="nil"/>
                    <w:bottom w:val="nil"/>
                    <w:right w:val="nil"/>
                  </w:tcBorders>
                  <w:shd w:val="clear" w:color="auto" w:fill="auto"/>
                  <w:noWrap/>
                  <w:vAlign w:val="bottom"/>
                  <w:hideMark/>
                </w:tcPr>
                <w:p w14:paraId="746B508C"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1292" w:type="dxa"/>
                  <w:tcBorders>
                    <w:top w:val="nil"/>
                    <w:left w:val="nil"/>
                    <w:bottom w:val="nil"/>
                    <w:right w:val="single" w:sz="8" w:space="0" w:color="auto"/>
                  </w:tcBorders>
                  <w:shd w:val="clear" w:color="auto" w:fill="auto"/>
                  <w:noWrap/>
                  <w:vAlign w:val="bottom"/>
                  <w:hideMark/>
                </w:tcPr>
                <w:p w14:paraId="53FE0823"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50" w:type="dxa"/>
                  <w:tcBorders>
                    <w:top w:val="nil"/>
                    <w:left w:val="nil"/>
                    <w:bottom w:val="nil"/>
                    <w:right w:val="nil"/>
                  </w:tcBorders>
                  <w:shd w:val="clear" w:color="auto" w:fill="auto"/>
                  <w:noWrap/>
                  <w:vAlign w:val="bottom"/>
                  <w:hideMark/>
                </w:tcPr>
                <w:p w14:paraId="538B1B87"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08B2794B" w14:textId="77777777" w:rsidTr="00FC3916">
              <w:trPr>
                <w:trHeight w:val="288"/>
              </w:trPr>
              <w:tc>
                <w:tcPr>
                  <w:tcW w:w="1643" w:type="dxa"/>
                  <w:tcBorders>
                    <w:top w:val="single" w:sz="4" w:space="0" w:color="auto"/>
                    <w:left w:val="single" w:sz="8" w:space="0" w:color="auto"/>
                    <w:bottom w:val="nil"/>
                    <w:right w:val="nil"/>
                  </w:tcBorders>
                  <w:shd w:val="clear" w:color="000000" w:fill="DDEBF7"/>
                  <w:noWrap/>
                  <w:vAlign w:val="bottom"/>
                  <w:hideMark/>
                </w:tcPr>
                <w:p w14:paraId="5057BB01"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Niger</w:t>
                  </w:r>
                </w:p>
              </w:tc>
              <w:tc>
                <w:tcPr>
                  <w:tcW w:w="1789" w:type="dxa"/>
                  <w:tcBorders>
                    <w:top w:val="single" w:sz="4" w:space="0" w:color="auto"/>
                    <w:left w:val="nil"/>
                    <w:bottom w:val="nil"/>
                    <w:right w:val="nil"/>
                  </w:tcBorders>
                  <w:shd w:val="clear" w:color="000000" w:fill="DDEBF7"/>
                  <w:noWrap/>
                  <w:vAlign w:val="bottom"/>
                  <w:hideMark/>
                </w:tcPr>
                <w:p w14:paraId="50ADF75E"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teachers</w:t>
                  </w:r>
                </w:p>
              </w:tc>
              <w:tc>
                <w:tcPr>
                  <w:tcW w:w="1780" w:type="dxa"/>
                  <w:tcBorders>
                    <w:top w:val="single" w:sz="4" w:space="0" w:color="auto"/>
                    <w:left w:val="nil"/>
                    <w:bottom w:val="nil"/>
                    <w:right w:val="nil"/>
                  </w:tcBorders>
                  <w:shd w:val="clear" w:color="000000" w:fill="DDEBF7"/>
                  <w:noWrap/>
                  <w:vAlign w:val="bottom"/>
                  <w:hideMark/>
                </w:tcPr>
                <w:p w14:paraId="3CF7C177"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57</w:t>
                  </w:r>
                </w:p>
              </w:tc>
              <w:tc>
                <w:tcPr>
                  <w:tcW w:w="1124" w:type="dxa"/>
                  <w:tcBorders>
                    <w:top w:val="single" w:sz="4" w:space="0" w:color="auto"/>
                    <w:left w:val="nil"/>
                    <w:bottom w:val="nil"/>
                    <w:right w:val="nil"/>
                  </w:tcBorders>
                  <w:shd w:val="clear" w:color="000000" w:fill="DDEBF7"/>
                  <w:noWrap/>
                  <w:vAlign w:val="bottom"/>
                  <w:hideMark/>
                </w:tcPr>
                <w:p w14:paraId="07C5D6CA"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42</w:t>
                  </w:r>
                </w:p>
              </w:tc>
              <w:tc>
                <w:tcPr>
                  <w:tcW w:w="923" w:type="dxa"/>
                  <w:tcBorders>
                    <w:top w:val="single" w:sz="4" w:space="0" w:color="auto"/>
                    <w:left w:val="nil"/>
                    <w:bottom w:val="nil"/>
                    <w:right w:val="nil"/>
                  </w:tcBorders>
                  <w:shd w:val="clear" w:color="000000" w:fill="DDEBF7"/>
                  <w:noWrap/>
                  <w:vAlign w:val="bottom"/>
                  <w:hideMark/>
                </w:tcPr>
                <w:p w14:paraId="4BCDADB8"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w:t>
                  </w:r>
                </w:p>
              </w:tc>
              <w:tc>
                <w:tcPr>
                  <w:tcW w:w="1499" w:type="dxa"/>
                  <w:tcBorders>
                    <w:top w:val="single" w:sz="4" w:space="0" w:color="auto"/>
                    <w:left w:val="nil"/>
                    <w:bottom w:val="nil"/>
                    <w:right w:val="nil"/>
                  </w:tcBorders>
                  <w:shd w:val="clear" w:color="000000" w:fill="DDEBF7"/>
                  <w:noWrap/>
                  <w:vAlign w:val="bottom"/>
                  <w:hideMark/>
                </w:tcPr>
                <w:p w14:paraId="2C8E375F"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1292" w:type="dxa"/>
                  <w:tcBorders>
                    <w:top w:val="single" w:sz="4" w:space="0" w:color="auto"/>
                    <w:left w:val="nil"/>
                    <w:bottom w:val="nil"/>
                    <w:right w:val="single" w:sz="8" w:space="0" w:color="auto"/>
                  </w:tcBorders>
                  <w:shd w:val="clear" w:color="000000" w:fill="DDEBF7"/>
                  <w:noWrap/>
                  <w:vAlign w:val="bottom"/>
                  <w:hideMark/>
                </w:tcPr>
                <w:p w14:paraId="66EF14F2"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50" w:type="dxa"/>
                  <w:tcBorders>
                    <w:top w:val="nil"/>
                    <w:left w:val="nil"/>
                    <w:bottom w:val="nil"/>
                    <w:right w:val="nil"/>
                  </w:tcBorders>
                  <w:shd w:val="clear" w:color="auto" w:fill="auto"/>
                  <w:noWrap/>
                  <w:vAlign w:val="bottom"/>
                  <w:hideMark/>
                </w:tcPr>
                <w:p w14:paraId="7D037528"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1BB88863" w14:textId="77777777" w:rsidTr="00FC3916">
              <w:trPr>
                <w:trHeight w:val="288"/>
              </w:trPr>
              <w:tc>
                <w:tcPr>
                  <w:tcW w:w="1643" w:type="dxa"/>
                  <w:tcBorders>
                    <w:top w:val="nil"/>
                    <w:left w:val="single" w:sz="8" w:space="0" w:color="auto"/>
                    <w:bottom w:val="single" w:sz="4" w:space="0" w:color="auto"/>
                    <w:right w:val="nil"/>
                  </w:tcBorders>
                  <w:shd w:val="clear" w:color="000000" w:fill="DDEBF7"/>
                  <w:noWrap/>
                  <w:vAlign w:val="bottom"/>
                  <w:hideMark/>
                </w:tcPr>
                <w:p w14:paraId="41E3EC2A"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w:t>
                  </w:r>
                </w:p>
              </w:tc>
              <w:tc>
                <w:tcPr>
                  <w:tcW w:w="1789" w:type="dxa"/>
                  <w:tcBorders>
                    <w:top w:val="nil"/>
                    <w:left w:val="nil"/>
                    <w:bottom w:val="single" w:sz="4" w:space="0" w:color="auto"/>
                    <w:right w:val="nil"/>
                  </w:tcBorders>
                  <w:shd w:val="clear" w:color="000000" w:fill="DDEBF7"/>
                  <w:noWrap/>
                  <w:vAlign w:val="bottom"/>
                  <w:hideMark/>
                </w:tcPr>
                <w:p w14:paraId="5FE7F0C1"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PT teachers</w:t>
                  </w:r>
                </w:p>
              </w:tc>
              <w:tc>
                <w:tcPr>
                  <w:tcW w:w="1780" w:type="dxa"/>
                  <w:tcBorders>
                    <w:top w:val="nil"/>
                    <w:left w:val="nil"/>
                    <w:bottom w:val="single" w:sz="4" w:space="0" w:color="auto"/>
                    <w:right w:val="nil"/>
                  </w:tcBorders>
                  <w:shd w:val="clear" w:color="000000" w:fill="DDEBF7"/>
                  <w:noWrap/>
                  <w:vAlign w:val="bottom"/>
                  <w:hideMark/>
                </w:tcPr>
                <w:p w14:paraId="600C12B9"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43</w:t>
                  </w:r>
                </w:p>
              </w:tc>
              <w:tc>
                <w:tcPr>
                  <w:tcW w:w="1124" w:type="dxa"/>
                  <w:tcBorders>
                    <w:top w:val="nil"/>
                    <w:left w:val="nil"/>
                    <w:bottom w:val="single" w:sz="4" w:space="0" w:color="auto"/>
                    <w:right w:val="nil"/>
                  </w:tcBorders>
                  <w:shd w:val="clear" w:color="000000" w:fill="DDEBF7"/>
                  <w:noWrap/>
                  <w:vAlign w:val="bottom"/>
                  <w:hideMark/>
                </w:tcPr>
                <w:p w14:paraId="4A3731A7"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44</w:t>
                  </w:r>
                </w:p>
              </w:tc>
              <w:tc>
                <w:tcPr>
                  <w:tcW w:w="923" w:type="dxa"/>
                  <w:tcBorders>
                    <w:top w:val="nil"/>
                    <w:left w:val="nil"/>
                    <w:bottom w:val="single" w:sz="4" w:space="0" w:color="auto"/>
                    <w:right w:val="nil"/>
                  </w:tcBorders>
                  <w:shd w:val="clear" w:color="000000" w:fill="DDEBF7"/>
                  <w:noWrap/>
                  <w:vAlign w:val="bottom"/>
                  <w:hideMark/>
                </w:tcPr>
                <w:p w14:paraId="4278A377"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12</w:t>
                  </w:r>
                </w:p>
              </w:tc>
              <w:tc>
                <w:tcPr>
                  <w:tcW w:w="1499" w:type="dxa"/>
                  <w:tcBorders>
                    <w:top w:val="nil"/>
                    <w:left w:val="nil"/>
                    <w:bottom w:val="single" w:sz="4" w:space="0" w:color="auto"/>
                    <w:right w:val="nil"/>
                  </w:tcBorders>
                  <w:shd w:val="clear" w:color="000000" w:fill="DDEBF7"/>
                  <w:noWrap/>
                  <w:vAlign w:val="bottom"/>
                  <w:hideMark/>
                </w:tcPr>
                <w:p w14:paraId="2923F73B"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1292" w:type="dxa"/>
                  <w:tcBorders>
                    <w:top w:val="nil"/>
                    <w:left w:val="nil"/>
                    <w:bottom w:val="single" w:sz="4" w:space="0" w:color="auto"/>
                    <w:right w:val="single" w:sz="8" w:space="0" w:color="auto"/>
                  </w:tcBorders>
                  <w:shd w:val="clear" w:color="000000" w:fill="DDEBF7"/>
                  <w:noWrap/>
                  <w:vAlign w:val="bottom"/>
                  <w:hideMark/>
                </w:tcPr>
                <w:p w14:paraId="63D05498"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50" w:type="dxa"/>
                  <w:tcBorders>
                    <w:top w:val="nil"/>
                    <w:left w:val="nil"/>
                    <w:bottom w:val="nil"/>
                    <w:right w:val="nil"/>
                  </w:tcBorders>
                  <w:shd w:val="clear" w:color="auto" w:fill="auto"/>
                  <w:noWrap/>
                  <w:vAlign w:val="bottom"/>
                  <w:hideMark/>
                </w:tcPr>
                <w:p w14:paraId="4A4A33F8"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690BEB35" w14:textId="77777777" w:rsidTr="00FC3916">
              <w:trPr>
                <w:trHeight w:val="288"/>
              </w:trPr>
              <w:tc>
                <w:tcPr>
                  <w:tcW w:w="1643" w:type="dxa"/>
                  <w:tcBorders>
                    <w:top w:val="nil"/>
                    <w:left w:val="single" w:sz="8" w:space="0" w:color="auto"/>
                    <w:bottom w:val="nil"/>
                    <w:right w:val="nil"/>
                  </w:tcBorders>
                  <w:shd w:val="clear" w:color="auto" w:fill="auto"/>
                  <w:noWrap/>
                  <w:vAlign w:val="bottom"/>
                  <w:hideMark/>
                </w:tcPr>
                <w:p w14:paraId="115508E5"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Senegal</w:t>
                  </w:r>
                </w:p>
              </w:tc>
              <w:tc>
                <w:tcPr>
                  <w:tcW w:w="1789" w:type="dxa"/>
                  <w:tcBorders>
                    <w:top w:val="nil"/>
                    <w:left w:val="nil"/>
                    <w:bottom w:val="nil"/>
                    <w:right w:val="nil"/>
                  </w:tcBorders>
                  <w:shd w:val="clear" w:color="auto" w:fill="auto"/>
                  <w:noWrap/>
                  <w:vAlign w:val="bottom"/>
                  <w:hideMark/>
                </w:tcPr>
                <w:p w14:paraId="0643053F"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teachers</w:t>
                  </w:r>
                </w:p>
              </w:tc>
              <w:tc>
                <w:tcPr>
                  <w:tcW w:w="1780" w:type="dxa"/>
                  <w:tcBorders>
                    <w:top w:val="nil"/>
                    <w:left w:val="nil"/>
                    <w:bottom w:val="nil"/>
                    <w:right w:val="nil"/>
                  </w:tcBorders>
                  <w:shd w:val="clear" w:color="auto" w:fill="auto"/>
                  <w:noWrap/>
                  <w:vAlign w:val="bottom"/>
                  <w:hideMark/>
                </w:tcPr>
                <w:p w14:paraId="542D0360"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40</w:t>
                  </w:r>
                </w:p>
              </w:tc>
              <w:tc>
                <w:tcPr>
                  <w:tcW w:w="1124" w:type="dxa"/>
                  <w:tcBorders>
                    <w:top w:val="nil"/>
                    <w:left w:val="nil"/>
                    <w:bottom w:val="nil"/>
                    <w:right w:val="nil"/>
                  </w:tcBorders>
                  <w:shd w:val="clear" w:color="auto" w:fill="auto"/>
                  <w:noWrap/>
                  <w:vAlign w:val="bottom"/>
                  <w:hideMark/>
                </w:tcPr>
                <w:p w14:paraId="5DE74A46"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30</w:t>
                  </w:r>
                </w:p>
              </w:tc>
              <w:tc>
                <w:tcPr>
                  <w:tcW w:w="923" w:type="dxa"/>
                  <w:tcBorders>
                    <w:top w:val="nil"/>
                    <w:left w:val="nil"/>
                    <w:bottom w:val="nil"/>
                    <w:right w:val="nil"/>
                  </w:tcBorders>
                  <w:shd w:val="clear" w:color="auto" w:fill="auto"/>
                  <w:noWrap/>
                  <w:vAlign w:val="bottom"/>
                  <w:hideMark/>
                </w:tcPr>
                <w:p w14:paraId="0D193573"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27</w:t>
                  </w:r>
                </w:p>
              </w:tc>
              <w:tc>
                <w:tcPr>
                  <w:tcW w:w="1499" w:type="dxa"/>
                  <w:tcBorders>
                    <w:top w:val="nil"/>
                    <w:left w:val="nil"/>
                    <w:bottom w:val="nil"/>
                    <w:right w:val="nil"/>
                  </w:tcBorders>
                  <w:shd w:val="clear" w:color="auto" w:fill="auto"/>
                  <w:noWrap/>
                  <w:vAlign w:val="bottom"/>
                  <w:hideMark/>
                </w:tcPr>
                <w:p w14:paraId="1B244456"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w:t>
                  </w:r>
                </w:p>
              </w:tc>
              <w:tc>
                <w:tcPr>
                  <w:tcW w:w="1292" w:type="dxa"/>
                  <w:tcBorders>
                    <w:top w:val="nil"/>
                    <w:left w:val="nil"/>
                    <w:bottom w:val="nil"/>
                    <w:right w:val="single" w:sz="8" w:space="0" w:color="auto"/>
                  </w:tcBorders>
                  <w:shd w:val="clear" w:color="auto" w:fill="auto"/>
                  <w:noWrap/>
                  <w:vAlign w:val="bottom"/>
                  <w:hideMark/>
                </w:tcPr>
                <w:p w14:paraId="595E5CA0"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w:t>
                  </w:r>
                </w:p>
              </w:tc>
              <w:tc>
                <w:tcPr>
                  <w:tcW w:w="50" w:type="dxa"/>
                  <w:tcBorders>
                    <w:top w:val="nil"/>
                    <w:left w:val="nil"/>
                    <w:bottom w:val="nil"/>
                    <w:right w:val="nil"/>
                  </w:tcBorders>
                  <w:shd w:val="clear" w:color="auto" w:fill="auto"/>
                  <w:noWrap/>
                  <w:vAlign w:val="bottom"/>
                  <w:hideMark/>
                </w:tcPr>
                <w:p w14:paraId="1414479C"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7BC672C5" w14:textId="77777777" w:rsidTr="00FC3916">
              <w:trPr>
                <w:trHeight w:val="288"/>
              </w:trPr>
              <w:tc>
                <w:tcPr>
                  <w:tcW w:w="1643" w:type="dxa"/>
                  <w:tcBorders>
                    <w:top w:val="nil"/>
                    <w:left w:val="single" w:sz="8" w:space="0" w:color="auto"/>
                    <w:bottom w:val="nil"/>
                    <w:right w:val="nil"/>
                  </w:tcBorders>
                  <w:shd w:val="clear" w:color="auto" w:fill="auto"/>
                  <w:noWrap/>
                  <w:vAlign w:val="bottom"/>
                  <w:hideMark/>
                </w:tcPr>
                <w:p w14:paraId="094B51A9"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w:t>
                  </w:r>
                </w:p>
              </w:tc>
              <w:tc>
                <w:tcPr>
                  <w:tcW w:w="1789" w:type="dxa"/>
                  <w:tcBorders>
                    <w:top w:val="nil"/>
                    <w:left w:val="nil"/>
                    <w:bottom w:val="nil"/>
                    <w:right w:val="nil"/>
                  </w:tcBorders>
                  <w:shd w:val="clear" w:color="auto" w:fill="auto"/>
                  <w:noWrap/>
                  <w:vAlign w:val="bottom"/>
                  <w:hideMark/>
                </w:tcPr>
                <w:p w14:paraId="2988681C"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PT teachers</w:t>
                  </w:r>
                </w:p>
              </w:tc>
              <w:tc>
                <w:tcPr>
                  <w:tcW w:w="1780" w:type="dxa"/>
                  <w:tcBorders>
                    <w:top w:val="nil"/>
                    <w:left w:val="nil"/>
                    <w:bottom w:val="nil"/>
                    <w:right w:val="nil"/>
                  </w:tcBorders>
                  <w:shd w:val="clear" w:color="auto" w:fill="auto"/>
                  <w:noWrap/>
                  <w:vAlign w:val="bottom"/>
                  <w:hideMark/>
                </w:tcPr>
                <w:p w14:paraId="710EB7FC"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10</w:t>
                  </w:r>
                </w:p>
              </w:tc>
              <w:tc>
                <w:tcPr>
                  <w:tcW w:w="1124" w:type="dxa"/>
                  <w:tcBorders>
                    <w:top w:val="nil"/>
                    <w:left w:val="nil"/>
                    <w:bottom w:val="nil"/>
                    <w:right w:val="nil"/>
                  </w:tcBorders>
                  <w:shd w:val="clear" w:color="auto" w:fill="auto"/>
                  <w:noWrap/>
                  <w:vAlign w:val="bottom"/>
                  <w:hideMark/>
                </w:tcPr>
                <w:p w14:paraId="5CB53921"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12</w:t>
                  </w:r>
                </w:p>
              </w:tc>
              <w:tc>
                <w:tcPr>
                  <w:tcW w:w="923" w:type="dxa"/>
                  <w:tcBorders>
                    <w:top w:val="nil"/>
                    <w:left w:val="nil"/>
                    <w:bottom w:val="nil"/>
                    <w:right w:val="nil"/>
                  </w:tcBorders>
                  <w:shd w:val="clear" w:color="auto" w:fill="auto"/>
                  <w:noWrap/>
                  <w:vAlign w:val="bottom"/>
                  <w:hideMark/>
                </w:tcPr>
                <w:p w14:paraId="2F5D871F"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79</w:t>
                  </w:r>
                </w:p>
              </w:tc>
              <w:tc>
                <w:tcPr>
                  <w:tcW w:w="1499" w:type="dxa"/>
                  <w:tcBorders>
                    <w:top w:val="nil"/>
                    <w:left w:val="nil"/>
                    <w:bottom w:val="nil"/>
                    <w:right w:val="nil"/>
                  </w:tcBorders>
                  <w:shd w:val="clear" w:color="auto" w:fill="auto"/>
                  <w:noWrap/>
                  <w:vAlign w:val="bottom"/>
                  <w:hideMark/>
                </w:tcPr>
                <w:p w14:paraId="32158BD3"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1292" w:type="dxa"/>
                  <w:tcBorders>
                    <w:top w:val="nil"/>
                    <w:left w:val="nil"/>
                    <w:bottom w:val="nil"/>
                    <w:right w:val="single" w:sz="8" w:space="0" w:color="auto"/>
                  </w:tcBorders>
                  <w:shd w:val="clear" w:color="auto" w:fill="auto"/>
                  <w:noWrap/>
                  <w:vAlign w:val="bottom"/>
                  <w:hideMark/>
                </w:tcPr>
                <w:p w14:paraId="7FA1F624"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50" w:type="dxa"/>
                  <w:tcBorders>
                    <w:top w:val="nil"/>
                    <w:left w:val="nil"/>
                    <w:bottom w:val="nil"/>
                    <w:right w:val="nil"/>
                  </w:tcBorders>
                  <w:shd w:val="clear" w:color="auto" w:fill="auto"/>
                  <w:noWrap/>
                  <w:vAlign w:val="bottom"/>
                  <w:hideMark/>
                </w:tcPr>
                <w:p w14:paraId="036CB0C7"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1E3A7E76" w14:textId="77777777" w:rsidTr="00FC3916">
              <w:trPr>
                <w:trHeight w:val="288"/>
              </w:trPr>
              <w:tc>
                <w:tcPr>
                  <w:tcW w:w="1643" w:type="dxa"/>
                  <w:tcBorders>
                    <w:top w:val="single" w:sz="4" w:space="0" w:color="auto"/>
                    <w:left w:val="single" w:sz="8" w:space="0" w:color="auto"/>
                    <w:bottom w:val="nil"/>
                    <w:right w:val="nil"/>
                  </w:tcBorders>
                  <w:shd w:val="clear" w:color="000000" w:fill="DDEBF7"/>
                  <w:noWrap/>
                  <w:vAlign w:val="bottom"/>
                  <w:hideMark/>
                </w:tcPr>
                <w:p w14:paraId="072DDD6A"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Tchad</w:t>
                  </w:r>
                </w:p>
              </w:tc>
              <w:tc>
                <w:tcPr>
                  <w:tcW w:w="1789" w:type="dxa"/>
                  <w:tcBorders>
                    <w:top w:val="single" w:sz="4" w:space="0" w:color="auto"/>
                    <w:left w:val="nil"/>
                    <w:bottom w:val="nil"/>
                    <w:right w:val="nil"/>
                  </w:tcBorders>
                  <w:shd w:val="clear" w:color="000000" w:fill="DDEBF7"/>
                  <w:noWrap/>
                  <w:vAlign w:val="bottom"/>
                  <w:hideMark/>
                </w:tcPr>
                <w:p w14:paraId="0593EA14"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teachers</w:t>
                  </w:r>
                </w:p>
              </w:tc>
              <w:tc>
                <w:tcPr>
                  <w:tcW w:w="1780" w:type="dxa"/>
                  <w:tcBorders>
                    <w:top w:val="single" w:sz="4" w:space="0" w:color="auto"/>
                    <w:left w:val="nil"/>
                    <w:bottom w:val="nil"/>
                    <w:right w:val="nil"/>
                  </w:tcBorders>
                  <w:shd w:val="clear" w:color="000000" w:fill="DDEBF7"/>
                  <w:noWrap/>
                  <w:vAlign w:val="bottom"/>
                  <w:hideMark/>
                </w:tcPr>
                <w:p w14:paraId="1687A815"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48</w:t>
                  </w:r>
                </w:p>
              </w:tc>
              <w:tc>
                <w:tcPr>
                  <w:tcW w:w="1124" w:type="dxa"/>
                  <w:tcBorders>
                    <w:top w:val="single" w:sz="4" w:space="0" w:color="auto"/>
                    <w:left w:val="nil"/>
                    <w:bottom w:val="nil"/>
                    <w:right w:val="nil"/>
                  </w:tcBorders>
                  <w:shd w:val="clear" w:color="000000" w:fill="DDEBF7"/>
                  <w:noWrap/>
                  <w:vAlign w:val="bottom"/>
                  <w:hideMark/>
                </w:tcPr>
                <w:p w14:paraId="6D47E48D"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923" w:type="dxa"/>
                  <w:tcBorders>
                    <w:top w:val="single" w:sz="4" w:space="0" w:color="auto"/>
                    <w:left w:val="nil"/>
                    <w:bottom w:val="nil"/>
                    <w:right w:val="nil"/>
                  </w:tcBorders>
                  <w:shd w:val="clear" w:color="000000" w:fill="DDEBF7"/>
                  <w:noWrap/>
                  <w:vAlign w:val="bottom"/>
                  <w:hideMark/>
                </w:tcPr>
                <w:p w14:paraId="7A17D487"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5</w:t>
                  </w:r>
                </w:p>
              </w:tc>
              <w:tc>
                <w:tcPr>
                  <w:tcW w:w="1499" w:type="dxa"/>
                  <w:tcBorders>
                    <w:top w:val="single" w:sz="4" w:space="0" w:color="auto"/>
                    <w:left w:val="nil"/>
                    <w:bottom w:val="nil"/>
                    <w:right w:val="nil"/>
                  </w:tcBorders>
                  <w:shd w:val="clear" w:color="000000" w:fill="DDEBF7"/>
                  <w:noWrap/>
                  <w:vAlign w:val="bottom"/>
                  <w:hideMark/>
                </w:tcPr>
                <w:p w14:paraId="7F41410A"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43</w:t>
                  </w:r>
                </w:p>
              </w:tc>
              <w:tc>
                <w:tcPr>
                  <w:tcW w:w="1292" w:type="dxa"/>
                  <w:tcBorders>
                    <w:top w:val="single" w:sz="4" w:space="0" w:color="auto"/>
                    <w:left w:val="nil"/>
                    <w:bottom w:val="nil"/>
                    <w:right w:val="single" w:sz="8" w:space="0" w:color="auto"/>
                  </w:tcBorders>
                  <w:shd w:val="clear" w:color="000000" w:fill="DDEBF7"/>
                  <w:noWrap/>
                  <w:vAlign w:val="bottom"/>
                  <w:hideMark/>
                </w:tcPr>
                <w:p w14:paraId="05692289"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3</w:t>
                  </w:r>
                </w:p>
              </w:tc>
              <w:tc>
                <w:tcPr>
                  <w:tcW w:w="50" w:type="dxa"/>
                  <w:tcBorders>
                    <w:top w:val="nil"/>
                    <w:left w:val="nil"/>
                    <w:bottom w:val="nil"/>
                    <w:right w:val="nil"/>
                  </w:tcBorders>
                  <w:shd w:val="clear" w:color="auto" w:fill="auto"/>
                  <w:noWrap/>
                  <w:vAlign w:val="bottom"/>
                  <w:hideMark/>
                </w:tcPr>
                <w:p w14:paraId="2D5E85A9"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10154DAE" w14:textId="77777777" w:rsidTr="00FC3916">
              <w:trPr>
                <w:trHeight w:val="288"/>
              </w:trPr>
              <w:tc>
                <w:tcPr>
                  <w:tcW w:w="1643" w:type="dxa"/>
                  <w:tcBorders>
                    <w:top w:val="nil"/>
                    <w:left w:val="single" w:sz="8" w:space="0" w:color="auto"/>
                    <w:bottom w:val="single" w:sz="4" w:space="0" w:color="auto"/>
                    <w:right w:val="nil"/>
                  </w:tcBorders>
                  <w:shd w:val="clear" w:color="000000" w:fill="DDEBF7"/>
                  <w:noWrap/>
                  <w:vAlign w:val="bottom"/>
                  <w:hideMark/>
                </w:tcPr>
                <w:p w14:paraId="45123515"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w:t>
                  </w:r>
                </w:p>
              </w:tc>
              <w:tc>
                <w:tcPr>
                  <w:tcW w:w="1789" w:type="dxa"/>
                  <w:tcBorders>
                    <w:top w:val="nil"/>
                    <w:left w:val="nil"/>
                    <w:bottom w:val="single" w:sz="4" w:space="0" w:color="auto"/>
                    <w:right w:val="nil"/>
                  </w:tcBorders>
                  <w:shd w:val="clear" w:color="000000" w:fill="DDEBF7"/>
                  <w:noWrap/>
                  <w:vAlign w:val="bottom"/>
                  <w:hideMark/>
                </w:tcPr>
                <w:p w14:paraId="668B33A7"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PT teachers</w:t>
                  </w:r>
                </w:p>
              </w:tc>
              <w:tc>
                <w:tcPr>
                  <w:tcW w:w="1780" w:type="dxa"/>
                  <w:tcBorders>
                    <w:top w:val="nil"/>
                    <w:left w:val="nil"/>
                    <w:bottom w:val="single" w:sz="4" w:space="0" w:color="auto"/>
                    <w:right w:val="nil"/>
                  </w:tcBorders>
                  <w:shd w:val="clear" w:color="000000" w:fill="DDEBF7"/>
                  <w:noWrap/>
                  <w:vAlign w:val="bottom"/>
                  <w:hideMark/>
                </w:tcPr>
                <w:p w14:paraId="05498362"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1124" w:type="dxa"/>
                  <w:tcBorders>
                    <w:top w:val="nil"/>
                    <w:left w:val="nil"/>
                    <w:bottom w:val="single" w:sz="4" w:space="0" w:color="auto"/>
                    <w:right w:val="nil"/>
                  </w:tcBorders>
                  <w:shd w:val="clear" w:color="000000" w:fill="DDEBF7"/>
                  <w:noWrap/>
                  <w:vAlign w:val="bottom"/>
                  <w:hideMark/>
                </w:tcPr>
                <w:p w14:paraId="704207C9"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923" w:type="dxa"/>
                  <w:tcBorders>
                    <w:top w:val="nil"/>
                    <w:left w:val="nil"/>
                    <w:bottom w:val="single" w:sz="4" w:space="0" w:color="auto"/>
                    <w:right w:val="nil"/>
                  </w:tcBorders>
                  <w:shd w:val="clear" w:color="000000" w:fill="DDEBF7"/>
                  <w:noWrap/>
                  <w:vAlign w:val="bottom"/>
                  <w:hideMark/>
                </w:tcPr>
                <w:p w14:paraId="3031AB46"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26</w:t>
                  </w:r>
                </w:p>
              </w:tc>
              <w:tc>
                <w:tcPr>
                  <w:tcW w:w="1499" w:type="dxa"/>
                  <w:tcBorders>
                    <w:top w:val="nil"/>
                    <w:left w:val="nil"/>
                    <w:bottom w:val="single" w:sz="4" w:space="0" w:color="auto"/>
                    <w:right w:val="nil"/>
                  </w:tcBorders>
                  <w:shd w:val="clear" w:color="000000" w:fill="DDEBF7"/>
                  <w:noWrap/>
                  <w:vAlign w:val="bottom"/>
                  <w:hideMark/>
                </w:tcPr>
                <w:p w14:paraId="7C845CA4"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70</w:t>
                  </w:r>
                </w:p>
              </w:tc>
              <w:tc>
                <w:tcPr>
                  <w:tcW w:w="1292" w:type="dxa"/>
                  <w:tcBorders>
                    <w:top w:val="nil"/>
                    <w:left w:val="nil"/>
                    <w:bottom w:val="single" w:sz="4" w:space="0" w:color="auto"/>
                    <w:right w:val="single" w:sz="8" w:space="0" w:color="auto"/>
                  </w:tcBorders>
                  <w:shd w:val="clear" w:color="000000" w:fill="DDEBF7"/>
                  <w:noWrap/>
                  <w:vAlign w:val="bottom"/>
                  <w:hideMark/>
                </w:tcPr>
                <w:p w14:paraId="7CE2F2F7"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w:t>
                  </w:r>
                </w:p>
              </w:tc>
              <w:tc>
                <w:tcPr>
                  <w:tcW w:w="50" w:type="dxa"/>
                  <w:tcBorders>
                    <w:top w:val="nil"/>
                    <w:left w:val="nil"/>
                    <w:bottom w:val="nil"/>
                    <w:right w:val="nil"/>
                  </w:tcBorders>
                  <w:shd w:val="clear" w:color="auto" w:fill="auto"/>
                  <w:noWrap/>
                  <w:vAlign w:val="bottom"/>
                  <w:hideMark/>
                </w:tcPr>
                <w:p w14:paraId="298FE372"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60D5B5D9" w14:textId="77777777" w:rsidTr="00FC3916">
              <w:trPr>
                <w:trHeight w:val="288"/>
              </w:trPr>
              <w:tc>
                <w:tcPr>
                  <w:tcW w:w="1643" w:type="dxa"/>
                  <w:tcBorders>
                    <w:top w:val="nil"/>
                    <w:left w:val="single" w:sz="8" w:space="0" w:color="auto"/>
                    <w:bottom w:val="nil"/>
                    <w:right w:val="nil"/>
                  </w:tcBorders>
                  <w:shd w:val="clear" w:color="auto" w:fill="auto"/>
                  <w:noWrap/>
                  <w:vAlign w:val="bottom"/>
                  <w:hideMark/>
                </w:tcPr>
                <w:p w14:paraId="1C51C7B5"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Togo</w:t>
                  </w:r>
                </w:p>
              </w:tc>
              <w:tc>
                <w:tcPr>
                  <w:tcW w:w="1789" w:type="dxa"/>
                  <w:tcBorders>
                    <w:top w:val="nil"/>
                    <w:left w:val="nil"/>
                    <w:bottom w:val="nil"/>
                    <w:right w:val="nil"/>
                  </w:tcBorders>
                  <w:shd w:val="clear" w:color="auto" w:fill="auto"/>
                  <w:noWrap/>
                  <w:vAlign w:val="bottom"/>
                  <w:hideMark/>
                </w:tcPr>
                <w:p w14:paraId="086726C6"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teachers</w:t>
                  </w:r>
                </w:p>
              </w:tc>
              <w:tc>
                <w:tcPr>
                  <w:tcW w:w="1780" w:type="dxa"/>
                  <w:tcBorders>
                    <w:top w:val="nil"/>
                    <w:left w:val="nil"/>
                    <w:bottom w:val="nil"/>
                    <w:right w:val="nil"/>
                  </w:tcBorders>
                  <w:shd w:val="clear" w:color="auto" w:fill="auto"/>
                  <w:noWrap/>
                  <w:vAlign w:val="bottom"/>
                  <w:hideMark/>
                </w:tcPr>
                <w:p w14:paraId="7847405C"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48</w:t>
                  </w:r>
                </w:p>
              </w:tc>
              <w:tc>
                <w:tcPr>
                  <w:tcW w:w="1124" w:type="dxa"/>
                  <w:tcBorders>
                    <w:top w:val="nil"/>
                    <w:left w:val="nil"/>
                    <w:bottom w:val="nil"/>
                    <w:right w:val="nil"/>
                  </w:tcBorders>
                  <w:shd w:val="clear" w:color="auto" w:fill="auto"/>
                  <w:noWrap/>
                  <w:vAlign w:val="bottom"/>
                  <w:hideMark/>
                </w:tcPr>
                <w:p w14:paraId="607CFFBB"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23</w:t>
                  </w:r>
                </w:p>
              </w:tc>
              <w:tc>
                <w:tcPr>
                  <w:tcW w:w="923" w:type="dxa"/>
                  <w:tcBorders>
                    <w:top w:val="nil"/>
                    <w:left w:val="nil"/>
                    <w:bottom w:val="nil"/>
                    <w:right w:val="nil"/>
                  </w:tcBorders>
                  <w:shd w:val="clear" w:color="auto" w:fill="auto"/>
                  <w:noWrap/>
                  <w:vAlign w:val="bottom"/>
                  <w:hideMark/>
                </w:tcPr>
                <w:p w14:paraId="366BA1F2"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18</w:t>
                  </w:r>
                </w:p>
              </w:tc>
              <w:tc>
                <w:tcPr>
                  <w:tcW w:w="1499" w:type="dxa"/>
                  <w:tcBorders>
                    <w:top w:val="nil"/>
                    <w:left w:val="nil"/>
                    <w:bottom w:val="nil"/>
                    <w:right w:val="nil"/>
                  </w:tcBorders>
                  <w:shd w:val="clear" w:color="auto" w:fill="auto"/>
                  <w:noWrap/>
                  <w:vAlign w:val="bottom"/>
                  <w:hideMark/>
                </w:tcPr>
                <w:p w14:paraId="5A3081CD"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3</w:t>
                  </w:r>
                </w:p>
              </w:tc>
              <w:tc>
                <w:tcPr>
                  <w:tcW w:w="1292" w:type="dxa"/>
                  <w:tcBorders>
                    <w:top w:val="nil"/>
                    <w:left w:val="nil"/>
                    <w:bottom w:val="nil"/>
                    <w:right w:val="single" w:sz="8" w:space="0" w:color="auto"/>
                  </w:tcBorders>
                  <w:shd w:val="clear" w:color="auto" w:fill="auto"/>
                  <w:noWrap/>
                  <w:vAlign w:val="bottom"/>
                  <w:hideMark/>
                </w:tcPr>
                <w:p w14:paraId="11F07ADB"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3</w:t>
                  </w:r>
                </w:p>
              </w:tc>
              <w:tc>
                <w:tcPr>
                  <w:tcW w:w="50" w:type="dxa"/>
                  <w:tcBorders>
                    <w:top w:val="nil"/>
                    <w:left w:val="nil"/>
                    <w:bottom w:val="nil"/>
                    <w:right w:val="nil"/>
                  </w:tcBorders>
                  <w:shd w:val="clear" w:color="auto" w:fill="auto"/>
                  <w:noWrap/>
                  <w:vAlign w:val="bottom"/>
                  <w:hideMark/>
                </w:tcPr>
                <w:p w14:paraId="51A5CDD1"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5E14810C" w14:textId="77777777" w:rsidTr="00FC3916">
              <w:trPr>
                <w:trHeight w:val="300"/>
              </w:trPr>
              <w:tc>
                <w:tcPr>
                  <w:tcW w:w="1643" w:type="dxa"/>
                  <w:tcBorders>
                    <w:top w:val="nil"/>
                    <w:left w:val="single" w:sz="8" w:space="0" w:color="auto"/>
                    <w:bottom w:val="single" w:sz="8" w:space="0" w:color="auto"/>
                    <w:right w:val="nil"/>
                  </w:tcBorders>
                  <w:shd w:val="clear" w:color="auto" w:fill="auto"/>
                  <w:noWrap/>
                  <w:vAlign w:val="bottom"/>
                  <w:hideMark/>
                </w:tcPr>
                <w:p w14:paraId="01AE2765"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w:t>
                  </w:r>
                </w:p>
              </w:tc>
              <w:tc>
                <w:tcPr>
                  <w:tcW w:w="1789" w:type="dxa"/>
                  <w:tcBorders>
                    <w:top w:val="nil"/>
                    <w:left w:val="nil"/>
                    <w:bottom w:val="single" w:sz="8" w:space="0" w:color="auto"/>
                    <w:right w:val="nil"/>
                  </w:tcBorders>
                  <w:shd w:val="clear" w:color="auto" w:fill="auto"/>
                  <w:noWrap/>
                  <w:vAlign w:val="bottom"/>
                  <w:hideMark/>
                </w:tcPr>
                <w:p w14:paraId="1129EDD7"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 PT teachers</w:t>
                  </w:r>
                </w:p>
              </w:tc>
              <w:tc>
                <w:tcPr>
                  <w:tcW w:w="1780" w:type="dxa"/>
                  <w:tcBorders>
                    <w:top w:val="nil"/>
                    <w:left w:val="nil"/>
                    <w:bottom w:val="single" w:sz="8" w:space="0" w:color="auto"/>
                    <w:right w:val="nil"/>
                  </w:tcBorders>
                  <w:shd w:val="clear" w:color="auto" w:fill="auto"/>
                  <w:noWrap/>
                  <w:vAlign w:val="bottom"/>
                  <w:hideMark/>
                </w:tcPr>
                <w:p w14:paraId="109601AA"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5</w:t>
                  </w:r>
                </w:p>
              </w:tc>
              <w:tc>
                <w:tcPr>
                  <w:tcW w:w="1124" w:type="dxa"/>
                  <w:tcBorders>
                    <w:top w:val="nil"/>
                    <w:left w:val="nil"/>
                    <w:bottom w:val="single" w:sz="8" w:space="0" w:color="auto"/>
                    <w:right w:val="nil"/>
                  </w:tcBorders>
                  <w:shd w:val="clear" w:color="auto" w:fill="auto"/>
                  <w:noWrap/>
                  <w:vAlign w:val="bottom"/>
                  <w:hideMark/>
                </w:tcPr>
                <w:p w14:paraId="65CA95D8"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0</w:t>
                  </w:r>
                </w:p>
              </w:tc>
              <w:tc>
                <w:tcPr>
                  <w:tcW w:w="923" w:type="dxa"/>
                  <w:tcBorders>
                    <w:top w:val="nil"/>
                    <w:left w:val="nil"/>
                    <w:bottom w:val="single" w:sz="8" w:space="0" w:color="auto"/>
                    <w:right w:val="nil"/>
                  </w:tcBorders>
                  <w:shd w:val="clear" w:color="auto" w:fill="auto"/>
                  <w:noWrap/>
                  <w:vAlign w:val="bottom"/>
                  <w:hideMark/>
                </w:tcPr>
                <w:p w14:paraId="27E37D6D"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74</w:t>
                  </w:r>
                </w:p>
              </w:tc>
              <w:tc>
                <w:tcPr>
                  <w:tcW w:w="1499" w:type="dxa"/>
                  <w:tcBorders>
                    <w:top w:val="nil"/>
                    <w:left w:val="nil"/>
                    <w:bottom w:val="single" w:sz="8" w:space="0" w:color="auto"/>
                    <w:right w:val="nil"/>
                  </w:tcBorders>
                  <w:shd w:val="clear" w:color="auto" w:fill="auto"/>
                  <w:noWrap/>
                  <w:vAlign w:val="bottom"/>
                  <w:hideMark/>
                </w:tcPr>
                <w:p w14:paraId="5D4F7F09"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15</w:t>
                  </w:r>
                </w:p>
              </w:tc>
              <w:tc>
                <w:tcPr>
                  <w:tcW w:w="1292" w:type="dxa"/>
                  <w:tcBorders>
                    <w:top w:val="nil"/>
                    <w:left w:val="nil"/>
                    <w:bottom w:val="single" w:sz="8" w:space="0" w:color="auto"/>
                    <w:right w:val="single" w:sz="8" w:space="0" w:color="auto"/>
                  </w:tcBorders>
                  <w:shd w:val="clear" w:color="auto" w:fill="auto"/>
                  <w:noWrap/>
                  <w:vAlign w:val="bottom"/>
                  <w:hideMark/>
                </w:tcPr>
                <w:p w14:paraId="4DC95E33" w14:textId="77777777" w:rsidR="00FC3916" w:rsidRPr="00FC3916" w:rsidRDefault="00FC3916" w:rsidP="00FC3916">
                  <w:pPr>
                    <w:spacing w:after="0" w:line="240" w:lineRule="auto"/>
                    <w:jc w:val="center"/>
                    <w:rPr>
                      <w:rFonts w:ascii="Calibri" w:eastAsia="Times New Roman" w:hAnsi="Calibri" w:cs="Calibri"/>
                      <w:color w:val="000000"/>
                      <w:lang w:eastAsia="en-GB"/>
                    </w:rPr>
                  </w:pPr>
                  <w:r w:rsidRPr="00FC3916">
                    <w:rPr>
                      <w:rFonts w:ascii="Calibri" w:eastAsia="Times New Roman" w:hAnsi="Calibri" w:cs="Calibri"/>
                      <w:color w:val="000000"/>
                      <w:lang w:eastAsia="en-GB"/>
                    </w:rPr>
                    <w:t>6</w:t>
                  </w:r>
                </w:p>
              </w:tc>
              <w:tc>
                <w:tcPr>
                  <w:tcW w:w="50" w:type="dxa"/>
                  <w:tcBorders>
                    <w:top w:val="nil"/>
                    <w:left w:val="nil"/>
                    <w:bottom w:val="nil"/>
                    <w:right w:val="nil"/>
                  </w:tcBorders>
                  <w:shd w:val="clear" w:color="auto" w:fill="auto"/>
                  <w:noWrap/>
                  <w:vAlign w:val="bottom"/>
                  <w:hideMark/>
                </w:tcPr>
                <w:p w14:paraId="412FB3E0" w14:textId="77777777" w:rsidR="00FC3916" w:rsidRPr="00FC3916" w:rsidRDefault="00FC3916" w:rsidP="00FC3916">
                  <w:pPr>
                    <w:spacing w:after="0" w:line="240" w:lineRule="auto"/>
                    <w:jc w:val="center"/>
                    <w:rPr>
                      <w:rFonts w:ascii="Calibri" w:eastAsia="Times New Roman" w:hAnsi="Calibri" w:cs="Calibri"/>
                      <w:color w:val="000000"/>
                      <w:lang w:eastAsia="en-GB"/>
                    </w:rPr>
                  </w:pPr>
                </w:p>
              </w:tc>
            </w:tr>
            <w:tr w:rsidR="00FC3916" w:rsidRPr="00FC3916" w14:paraId="0F3DBCFD" w14:textId="77777777" w:rsidTr="00FC3916">
              <w:trPr>
                <w:trHeight w:val="288"/>
              </w:trPr>
              <w:tc>
                <w:tcPr>
                  <w:tcW w:w="3432" w:type="dxa"/>
                  <w:gridSpan w:val="2"/>
                  <w:tcBorders>
                    <w:top w:val="nil"/>
                    <w:left w:val="nil"/>
                    <w:bottom w:val="nil"/>
                    <w:right w:val="nil"/>
                  </w:tcBorders>
                  <w:shd w:val="clear" w:color="auto" w:fill="auto"/>
                  <w:noWrap/>
                  <w:vAlign w:val="bottom"/>
                  <w:hideMark/>
                </w:tcPr>
                <w:p w14:paraId="53A7A00B" w14:textId="77777777" w:rsidR="00FC3916" w:rsidRPr="00FC3916" w:rsidRDefault="00FC3916" w:rsidP="00FC3916">
                  <w:pPr>
                    <w:spacing w:after="0" w:line="240" w:lineRule="auto"/>
                    <w:rPr>
                      <w:rFonts w:ascii="Calibri" w:eastAsia="Times New Roman" w:hAnsi="Calibri" w:cs="Calibri"/>
                      <w:color w:val="000000"/>
                      <w:lang w:eastAsia="en-GB"/>
                    </w:rPr>
                  </w:pPr>
                  <w:r w:rsidRPr="00FC3916">
                    <w:rPr>
                      <w:rFonts w:ascii="Calibri" w:eastAsia="Times New Roman" w:hAnsi="Calibri" w:cs="Calibri"/>
                      <w:color w:val="000000"/>
                      <w:lang w:eastAsia="en-GB"/>
                    </w:rPr>
                    <w:t>Source: PASEC</w:t>
                  </w:r>
                </w:p>
              </w:tc>
              <w:tc>
                <w:tcPr>
                  <w:tcW w:w="1780" w:type="dxa"/>
                  <w:tcBorders>
                    <w:top w:val="nil"/>
                    <w:left w:val="nil"/>
                    <w:bottom w:val="nil"/>
                    <w:right w:val="nil"/>
                  </w:tcBorders>
                  <w:shd w:val="clear" w:color="auto" w:fill="auto"/>
                  <w:noWrap/>
                  <w:vAlign w:val="bottom"/>
                  <w:hideMark/>
                </w:tcPr>
                <w:p w14:paraId="60B3BB68" w14:textId="77777777" w:rsidR="00FC3916" w:rsidRPr="00FC3916" w:rsidRDefault="00FC3916" w:rsidP="00FC3916">
                  <w:pPr>
                    <w:spacing w:after="0" w:line="240" w:lineRule="auto"/>
                    <w:rPr>
                      <w:rFonts w:ascii="Calibri" w:eastAsia="Times New Roman" w:hAnsi="Calibri" w:cs="Calibri"/>
                      <w:color w:val="000000"/>
                      <w:lang w:eastAsia="en-GB"/>
                    </w:rPr>
                  </w:pPr>
                </w:p>
              </w:tc>
              <w:tc>
                <w:tcPr>
                  <w:tcW w:w="1124" w:type="dxa"/>
                  <w:tcBorders>
                    <w:top w:val="nil"/>
                    <w:left w:val="nil"/>
                    <w:bottom w:val="nil"/>
                    <w:right w:val="nil"/>
                  </w:tcBorders>
                  <w:shd w:val="clear" w:color="auto" w:fill="auto"/>
                  <w:noWrap/>
                  <w:vAlign w:val="bottom"/>
                  <w:hideMark/>
                </w:tcPr>
                <w:p w14:paraId="6A2976D2" w14:textId="77777777" w:rsidR="00FC3916" w:rsidRPr="00FC3916" w:rsidRDefault="00FC3916" w:rsidP="00FC3916">
                  <w:pPr>
                    <w:spacing w:after="0" w:line="240" w:lineRule="auto"/>
                    <w:rPr>
                      <w:rFonts w:ascii="Times New Roman" w:eastAsia="Times New Roman" w:hAnsi="Times New Roman" w:cs="Times New Roman"/>
                      <w:sz w:val="20"/>
                      <w:szCs w:val="20"/>
                      <w:lang w:eastAsia="en-GB"/>
                    </w:rPr>
                  </w:pPr>
                </w:p>
              </w:tc>
              <w:tc>
                <w:tcPr>
                  <w:tcW w:w="923" w:type="dxa"/>
                  <w:tcBorders>
                    <w:top w:val="nil"/>
                    <w:left w:val="nil"/>
                    <w:bottom w:val="nil"/>
                    <w:right w:val="nil"/>
                  </w:tcBorders>
                  <w:shd w:val="clear" w:color="auto" w:fill="auto"/>
                  <w:noWrap/>
                  <w:vAlign w:val="bottom"/>
                  <w:hideMark/>
                </w:tcPr>
                <w:p w14:paraId="53C041A9" w14:textId="77777777" w:rsidR="00FC3916" w:rsidRPr="00FC3916" w:rsidRDefault="00FC3916" w:rsidP="00FC3916">
                  <w:pPr>
                    <w:spacing w:after="0" w:line="240" w:lineRule="auto"/>
                    <w:rPr>
                      <w:rFonts w:ascii="Times New Roman" w:eastAsia="Times New Roman" w:hAnsi="Times New Roman" w:cs="Times New Roman"/>
                      <w:sz w:val="20"/>
                      <w:szCs w:val="20"/>
                      <w:lang w:eastAsia="en-GB"/>
                    </w:rPr>
                  </w:pPr>
                </w:p>
              </w:tc>
              <w:tc>
                <w:tcPr>
                  <w:tcW w:w="1499" w:type="dxa"/>
                  <w:tcBorders>
                    <w:top w:val="nil"/>
                    <w:left w:val="nil"/>
                    <w:bottom w:val="nil"/>
                    <w:right w:val="nil"/>
                  </w:tcBorders>
                  <w:shd w:val="clear" w:color="auto" w:fill="auto"/>
                  <w:noWrap/>
                  <w:vAlign w:val="bottom"/>
                  <w:hideMark/>
                </w:tcPr>
                <w:p w14:paraId="11A3D567" w14:textId="77777777" w:rsidR="00FC3916" w:rsidRPr="00FC3916" w:rsidRDefault="00FC3916" w:rsidP="00FC3916">
                  <w:pPr>
                    <w:spacing w:after="0" w:line="240" w:lineRule="auto"/>
                    <w:rPr>
                      <w:rFonts w:ascii="Times New Roman" w:eastAsia="Times New Roman" w:hAnsi="Times New Roman" w:cs="Times New Roman"/>
                      <w:sz w:val="20"/>
                      <w:szCs w:val="20"/>
                      <w:lang w:eastAsia="en-GB"/>
                    </w:rPr>
                  </w:pPr>
                </w:p>
              </w:tc>
              <w:tc>
                <w:tcPr>
                  <w:tcW w:w="1292" w:type="dxa"/>
                  <w:tcBorders>
                    <w:top w:val="nil"/>
                    <w:left w:val="nil"/>
                    <w:bottom w:val="nil"/>
                    <w:right w:val="nil"/>
                  </w:tcBorders>
                  <w:shd w:val="clear" w:color="auto" w:fill="auto"/>
                  <w:noWrap/>
                  <w:vAlign w:val="bottom"/>
                  <w:hideMark/>
                </w:tcPr>
                <w:p w14:paraId="553E7E33" w14:textId="77777777" w:rsidR="00FC3916" w:rsidRPr="00FC3916" w:rsidRDefault="00FC3916" w:rsidP="00FC3916">
                  <w:pPr>
                    <w:spacing w:after="0" w:line="240" w:lineRule="auto"/>
                    <w:rPr>
                      <w:rFonts w:ascii="Times New Roman" w:eastAsia="Times New Roman" w:hAnsi="Times New Roman" w:cs="Times New Roman"/>
                      <w:sz w:val="20"/>
                      <w:szCs w:val="20"/>
                      <w:lang w:eastAsia="en-GB"/>
                    </w:rPr>
                  </w:pPr>
                </w:p>
              </w:tc>
              <w:tc>
                <w:tcPr>
                  <w:tcW w:w="50" w:type="dxa"/>
                  <w:tcBorders>
                    <w:top w:val="nil"/>
                    <w:left w:val="nil"/>
                    <w:bottom w:val="nil"/>
                    <w:right w:val="nil"/>
                  </w:tcBorders>
                  <w:shd w:val="clear" w:color="auto" w:fill="auto"/>
                  <w:noWrap/>
                  <w:vAlign w:val="bottom"/>
                  <w:hideMark/>
                </w:tcPr>
                <w:p w14:paraId="597C43B1" w14:textId="77777777" w:rsidR="00FC3916" w:rsidRPr="00FC3916" w:rsidRDefault="00FC3916" w:rsidP="00FC3916">
                  <w:pPr>
                    <w:spacing w:after="0" w:line="240" w:lineRule="auto"/>
                    <w:rPr>
                      <w:rFonts w:ascii="Times New Roman" w:eastAsia="Times New Roman" w:hAnsi="Times New Roman" w:cs="Times New Roman"/>
                      <w:sz w:val="20"/>
                      <w:szCs w:val="20"/>
                      <w:lang w:eastAsia="en-GB"/>
                    </w:rPr>
                  </w:pPr>
                </w:p>
              </w:tc>
            </w:tr>
          </w:tbl>
          <w:p w14:paraId="67E4B145" w14:textId="20BC2BC1" w:rsidR="005833B8" w:rsidRPr="00256868" w:rsidRDefault="005833B8" w:rsidP="00640FD0">
            <w:pPr>
              <w:spacing w:after="0" w:line="240" w:lineRule="auto"/>
              <w:rPr>
                <w:rFonts w:ascii="Calibri" w:eastAsia="Times New Roman" w:hAnsi="Calibri" w:cs="Calibri"/>
                <w:color w:val="000000"/>
                <w:lang w:eastAsia="en-GB"/>
              </w:rPr>
            </w:pPr>
          </w:p>
        </w:tc>
      </w:tr>
    </w:tbl>
    <w:p w14:paraId="6DB95A0C" w14:textId="77777777" w:rsidR="00FC3916" w:rsidRDefault="00FC3916">
      <w:r>
        <w:lastRenderedPageBreak/>
        <w:br w:type="page"/>
      </w:r>
    </w:p>
    <w:tbl>
      <w:tblPr>
        <w:tblW w:w="6438" w:type="dxa"/>
        <w:tblLook w:val="04A0" w:firstRow="1" w:lastRow="0" w:firstColumn="1" w:lastColumn="0" w:noHBand="0" w:noVBand="1"/>
      </w:tblPr>
      <w:tblGrid>
        <w:gridCol w:w="2149"/>
        <w:gridCol w:w="796"/>
        <w:gridCol w:w="1249"/>
        <w:gridCol w:w="1431"/>
        <w:gridCol w:w="591"/>
        <w:gridCol w:w="222"/>
      </w:tblGrid>
      <w:tr w:rsidR="004410D4" w:rsidRPr="004410D4" w14:paraId="225C829F" w14:textId="77777777" w:rsidTr="00FC3916">
        <w:trPr>
          <w:trHeight w:val="288"/>
        </w:trPr>
        <w:tc>
          <w:tcPr>
            <w:tcW w:w="6438" w:type="dxa"/>
            <w:gridSpan w:val="6"/>
            <w:tcBorders>
              <w:top w:val="nil"/>
              <w:left w:val="nil"/>
              <w:bottom w:val="nil"/>
              <w:right w:val="nil"/>
            </w:tcBorders>
            <w:shd w:val="clear" w:color="auto" w:fill="auto"/>
            <w:noWrap/>
            <w:vAlign w:val="bottom"/>
            <w:hideMark/>
          </w:tcPr>
          <w:p w14:paraId="6DE7451B" w14:textId="7D66D9AA" w:rsidR="00FC3916" w:rsidRDefault="00FC3916" w:rsidP="00640FD0">
            <w:pPr>
              <w:spacing w:after="0" w:line="240" w:lineRule="auto"/>
              <w:rPr>
                <w:rFonts w:ascii="Calibri" w:eastAsia="Times New Roman" w:hAnsi="Calibri" w:cs="Calibri"/>
                <w:color w:val="000000"/>
                <w:lang w:eastAsia="en-GB"/>
              </w:rPr>
            </w:pPr>
          </w:p>
          <w:p w14:paraId="00BE5F59" w14:textId="77777777" w:rsidR="004410D4" w:rsidRPr="004410D4" w:rsidRDefault="004410D4" w:rsidP="00640FD0">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 xml:space="preserve">Table </w:t>
            </w:r>
            <w:r w:rsidR="00640FD0">
              <w:rPr>
                <w:rFonts w:ascii="Calibri" w:eastAsia="Times New Roman" w:hAnsi="Calibri" w:cs="Calibri"/>
                <w:color w:val="000000"/>
                <w:lang w:eastAsia="en-GB"/>
              </w:rPr>
              <w:t>9</w:t>
            </w:r>
            <w:r w:rsidRPr="004410D4">
              <w:rPr>
                <w:rFonts w:ascii="Calibri" w:eastAsia="Times New Roman" w:hAnsi="Calibri" w:cs="Calibri"/>
                <w:color w:val="000000"/>
                <w:lang w:eastAsia="en-GB"/>
              </w:rPr>
              <w:t xml:space="preserve">: Incidence of Grade 6 teachers undertaking private tuition </w:t>
            </w:r>
          </w:p>
        </w:tc>
      </w:tr>
      <w:tr w:rsidR="004410D4" w:rsidRPr="004410D4" w14:paraId="287CB8C6" w14:textId="77777777" w:rsidTr="00FC3916">
        <w:trPr>
          <w:trHeight w:val="300"/>
        </w:trPr>
        <w:tc>
          <w:tcPr>
            <w:tcW w:w="6438" w:type="dxa"/>
            <w:gridSpan w:val="6"/>
            <w:tcBorders>
              <w:top w:val="nil"/>
              <w:left w:val="nil"/>
              <w:bottom w:val="nil"/>
              <w:right w:val="nil"/>
            </w:tcBorders>
            <w:shd w:val="clear" w:color="auto" w:fill="auto"/>
            <w:noWrap/>
            <w:vAlign w:val="bottom"/>
            <w:hideMark/>
          </w:tcPr>
          <w:p w14:paraId="520BC476"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by years of experience in Francophone West Africa, 2014 (rounded %)</w:t>
            </w:r>
          </w:p>
        </w:tc>
      </w:tr>
      <w:tr w:rsidR="004410D4" w:rsidRPr="004410D4" w14:paraId="21538D47" w14:textId="77777777" w:rsidTr="00FC3916">
        <w:trPr>
          <w:trHeight w:val="288"/>
        </w:trPr>
        <w:tc>
          <w:tcPr>
            <w:tcW w:w="2149" w:type="dxa"/>
            <w:tcBorders>
              <w:top w:val="single" w:sz="8" w:space="0" w:color="auto"/>
              <w:left w:val="single" w:sz="8" w:space="0" w:color="auto"/>
              <w:bottom w:val="nil"/>
              <w:right w:val="nil"/>
            </w:tcBorders>
            <w:shd w:val="clear" w:color="000000" w:fill="EDEDED"/>
            <w:noWrap/>
            <w:vAlign w:val="bottom"/>
            <w:hideMark/>
          </w:tcPr>
          <w:p w14:paraId="53C95440"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Country</w:t>
            </w:r>
          </w:p>
        </w:tc>
        <w:tc>
          <w:tcPr>
            <w:tcW w:w="796" w:type="dxa"/>
            <w:tcBorders>
              <w:top w:val="single" w:sz="8" w:space="0" w:color="auto"/>
              <w:left w:val="nil"/>
              <w:bottom w:val="nil"/>
              <w:right w:val="nil"/>
            </w:tcBorders>
            <w:shd w:val="clear" w:color="000000" w:fill="EDEDED"/>
            <w:noWrap/>
            <w:vAlign w:val="bottom"/>
            <w:hideMark/>
          </w:tcPr>
          <w:p w14:paraId="6DB210A9"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0-5.0</w:t>
            </w:r>
          </w:p>
        </w:tc>
        <w:tc>
          <w:tcPr>
            <w:tcW w:w="1249" w:type="dxa"/>
            <w:tcBorders>
              <w:top w:val="single" w:sz="8" w:space="0" w:color="auto"/>
              <w:left w:val="nil"/>
              <w:bottom w:val="nil"/>
              <w:right w:val="nil"/>
            </w:tcBorders>
            <w:shd w:val="clear" w:color="000000" w:fill="EDEDED"/>
            <w:noWrap/>
            <w:vAlign w:val="bottom"/>
            <w:hideMark/>
          </w:tcPr>
          <w:p w14:paraId="6336156F"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6.0-10.0</w:t>
            </w:r>
          </w:p>
        </w:tc>
        <w:tc>
          <w:tcPr>
            <w:tcW w:w="1431" w:type="dxa"/>
            <w:tcBorders>
              <w:top w:val="single" w:sz="8" w:space="0" w:color="auto"/>
              <w:left w:val="nil"/>
              <w:bottom w:val="nil"/>
              <w:right w:val="nil"/>
            </w:tcBorders>
            <w:shd w:val="clear" w:color="000000" w:fill="EDEDED"/>
            <w:noWrap/>
            <w:vAlign w:val="bottom"/>
            <w:hideMark/>
          </w:tcPr>
          <w:p w14:paraId="2CE12ED9"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11.0-20.0</w:t>
            </w:r>
          </w:p>
        </w:tc>
        <w:tc>
          <w:tcPr>
            <w:tcW w:w="591" w:type="dxa"/>
            <w:tcBorders>
              <w:top w:val="single" w:sz="8" w:space="0" w:color="auto"/>
              <w:left w:val="nil"/>
              <w:bottom w:val="nil"/>
              <w:right w:val="single" w:sz="8" w:space="0" w:color="auto"/>
            </w:tcBorders>
            <w:shd w:val="clear" w:color="000000" w:fill="EDEDED"/>
            <w:noWrap/>
            <w:vAlign w:val="bottom"/>
            <w:hideMark/>
          </w:tcPr>
          <w:p w14:paraId="55CF0768"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20&gt;</w:t>
            </w:r>
          </w:p>
        </w:tc>
        <w:tc>
          <w:tcPr>
            <w:tcW w:w="222" w:type="dxa"/>
            <w:tcBorders>
              <w:top w:val="nil"/>
              <w:left w:val="nil"/>
              <w:bottom w:val="nil"/>
              <w:right w:val="nil"/>
            </w:tcBorders>
            <w:shd w:val="clear" w:color="auto" w:fill="auto"/>
            <w:noWrap/>
            <w:vAlign w:val="bottom"/>
            <w:hideMark/>
          </w:tcPr>
          <w:p w14:paraId="025C130D" w14:textId="77777777" w:rsidR="004410D4" w:rsidRPr="004410D4" w:rsidRDefault="004410D4" w:rsidP="004410D4">
            <w:pPr>
              <w:spacing w:after="0" w:line="240" w:lineRule="auto"/>
              <w:jc w:val="center"/>
              <w:rPr>
                <w:rFonts w:ascii="Calibri" w:eastAsia="Times New Roman" w:hAnsi="Calibri" w:cs="Calibri"/>
                <w:color w:val="000000"/>
                <w:lang w:eastAsia="en-GB"/>
              </w:rPr>
            </w:pPr>
          </w:p>
        </w:tc>
      </w:tr>
      <w:tr w:rsidR="004410D4" w:rsidRPr="004410D4" w14:paraId="408F68CA" w14:textId="77777777" w:rsidTr="00FC3916">
        <w:trPr>
          <w:trHeight w:val="288"/>
        </w:trPr>
        <w:tc>
          <w:tcPr>
            <w:tcW w:w="2149" w:type="dxa"/>
            <w:tcBorders>
              <w:top w:val="single" w:sz="4" w:space="0" w:color="auto"/>
              <w:left w:val="single" w:sz="8" w:space="0" w:color="auto"/>
              <w:bottom w:val="nil"/>
              <w:right w:val="nil"/>
            </w:tcBorders>
            <w:shd w:val="clear" w:color="000000" w:fill="DDEBF7"/>
            <w:noWrap/>
            <w:vAlign w:val="bottom"/>
            <w:hideMark/>
          </w:tcPr>
          <w:p w14:paraId="1D5F8F13"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Benin</w:t>
            </w:r>
          </w:p>
        </w:tc>
        <w:tc>
          <w:tcPr>
            <w:tcW w:w="796" w:type="dxa"/>
            <w:tcBorders>
              <w:top w:val="single" w:sz="4" w:space="0" w:color="auto"/>
              <w:left w:val="nil"/>
              <w:bottom w:val="nil"/>
              <w:right w:val="nil"/>
            </w:tcBorders>
            <w:shd w:val="clear" w:color="000000" w:fill="DDEBF7"/>
            <w:noWrap/>
            <w:vAlign w:val="bottom"/>
            <w:hideMark/>
          </w:tcPr>
          <w:p w14:paraId="760091CF"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29</w:t>
            </w:r>
          </w:p>
        </w:tc>
        <w:tc>
          <w:tcPr>
            <w:tcW w:w="1249" w:type="dxa"/>
            <w:tcBorders>
              <w:top w:val="single" w:sz="4" w:space="0" w:color="auto"/>
              <w:left w:val="nil"/>
              <w:bottom w:val="nil"/>
              <w:right w:val="nil"/>
            </w:tcBorders>
            <w:shd w:val="clear" w:color="000000" w:fill="DDEBF7"/>
            <w:noWrap/>
            <w:vAlign w:val="bottom"/>
            <w:hideMark/>
          </w:tcPr>
          <w:p w14:paraId="0EE69E19"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29</w:t>
            </w:r>
          </w:p>
        </w:tc>
        <w:tc>
          <w:tcPr>
            <w:tcW w:w="1431" w:type="dxa"/>
            <w:tcBorders>
              <w:top w:val="single" w:sz="4" w:space="0" w:color="auto"/>
              <w:left w:val="nil"/>
              <w:bottom w:val="nil"/>
              <w:right w:val="nil"/>
            </w:tcBorders>
            <w:shd w:val="clear" w:color="000000" w:fill="DDEBF7"/>
            <w:noWrap/>
            <w:vAlign w:val="bottom"/>
            <w:hideMark/>
          </w:tcPr>
          <w:p w14:paraId="404BEE23"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23</w:t>
            </w:r>
          </w:p>
        </w:tc>
        <w:tc>
          <w:tcPr>
            <w:tcW w:w="591" w:type="dxa"/>
            <w:tcBorders>
              <w:top w:val="single" w:sz="4" w:space="0" w:color="auto"/>
              <w:left w:val="nil"/>
              <w:bottom w:val="nil"/>
              <w:right w:val="single" w:sz="8" w:space="0" w:color="auto"/>
            </w:tcBorders>
            <w:shd w:val="clear" w:color="000000" w:fill="DDEBF7"/>
            <w:noWrap/>
            <w:vAlign w:val="bottom"/>
            <w:hideMark/>
          </w:tcPr>
          <w:p w14:paraId="3BFB9260"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3D2B48AA" w14:textId="77777777" w:rsidR="004410D4" w:rsidRPr="004410D4" w:rsidRDefault="004410D4" w:rsidP="004410D4">
            <w:pPr>
              <w:spacing w:after="0" w:line="240" w:lineRule="auto"/>
              <w:jc w:val="center"/>
              <w:rPr>
                <w:rFonts w:ascii="Calibri" w:eastAsia="Times New Roman" w:hAnsi="Calibri" w:cs="Calibri"/>
                <w:color w:val="000000"/>
                <w:lang w:eastAsia="en-GB"/>
              </w:rPr>
            </w:pPr>
          </w:p>
        </w:tc>
      </w:tr>
      <w:tr w:rsidR="004410D4" w:rsidRPr="004410D4" w14:paraId="23B4385F" w14:textId="77777777" w:rsidTr="00FC3916">
        <w:trPr>
          <w:trHeight w:val="288"/>
        </w:trPr>
        <w:tc>
          <w:tcPr>
            <w:tcW w:w="2149" w:type="dxa"/>
            <w:tcBorders>
              <w:top w:val="nil"/>
              <w:left w:val="single" w:sz="8" w:space="0" w:color="auto"/>
              <w:bottom w:val="nil"/>
              <w:right w:val="nil"/>
            </w:tcBorders>
            <w:shd w:val="clear" w:color="000000" w:fill="DDEBF7"/>
            <w:noWrap/>
            <w:vAlign w:val="bottom"/>
            <w:hideMark/>
          </w:tcPr>
          <w:p w14:paraId="58B3EEB7"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Burkina Faso</w:t>
            </w:r>
          </w:p>
        </w:tc>
        <w:tc>
          <w:tcPr>
            <w:tcW w:w="796" w:type="dxa"/>
            <w:tcBorders>
              <w:top w:val="nil"/>
              <w:left w:val="nil"/>
              <w:bottom w:val="nil"/>
              <w:right w:val="nil"/>
            </w:tcBorders>
            <w:shd w:val="clear" w:color="000000" w:fill="DDEBF7"/>
            <w:noWrap/>
            <w:vAlign w:val="bottom"/>
            <w:hideMark/>
          </w:tcPr>
          <w:p w14:paraId="09D9BA73"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65</w:t>
            </w:r>
          </w:p>
        </w:tc>
        <w:tc>
          <w:tcPr>
            <w:tcW w:w="1249" w:type="dxa"/>
            <w:tcBorders>
              <w:top w:val="nil"/>
              <w:left w:val="nil"/>
              <w:bottom w:val="nil"/>
              <w:right w:val="nil"/>
            </w:tcBorders>
            <w:shd w:val="clear" w:color="000000" w:fill="DDEBF7"/>
            <w:noWrap/>
            <w:vAlign w:val="bottom"/>
            <w:hideMark/>
          </w:tcPr>
          <w:p w14:paraId="00D28AB3"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12</w:t>
            </w:r>
          </w:p>
        </w:tc>
        <w:tc>
          <w:tcPr>
            <w:tcW w:w="1431" w:type="dxa"/>
            <w:tcBorders>
              <w:top w:val="nil"/>
              <w:left w:val="nil"/>
              <w:bottom w:val="nil"/>
              <w:right w:val="nil"/>
            </w:tcBorders>
            <w:shd w:val="clear" w:color="000000" w:fill="DDEBF7"/>
            <w:noWrap/>
            <w:vAlign w:val="bottom"/>
            <w:hideMark/>
          </w:tcPr>
          <w:p w14:paraId="281F9BFE"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14</w:t>
            </w:r>
          </w:p>
        </w:tc>
        <w:tc>
          <w:tcPr>
            <w:tcW w:w="591" w:type="dxa"/>
            <w:tcBorders>
              <w:top w:val="nil"/>
              <w:left w:val="nil"/>
              <w:bottom w:val="nil"/>
              <w:right w:val="single" w:sz="8" w:space="0" w:color="auto"/>
            </w:tcBorders>
            <w:shd w:val="clear" w:color="000000" w:fill="DDEBF7"/>
            <w:noWrap/>
            <w:vAlign w:val="bottom"/>
            <w:hideMark/>
          </w:tcPr>
          <w:p w14:paraId="5FB02422"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03670EEC" w14:textId="77777777" w:rsidR="004410D4" w:rsidRPr="004410D4" w:rsidRDefault="004410D4" w:rsidP="004410D4">
            <w:pPr>
              <w:spacing w:after="0" w:line="240" w:lineRule="auto"/>
              <w:jc w:val="center"/>
              <w:rPr>
                <w:rFonts w:ascii="Calibri" w:eastAsia="Times New Roman" w:hAnsi="Calibri" w:cs="Calibri"/>
                <w:color w:val="000000"/>
                <w:lang w:eastAsia="en-GB"/>
              </w:rPr>
            </w:pPr>
          </w:p>
        </w:tc>
      </w:tr>
      <w:tr w:rsidR="004410D4" w:rsidRPr="004410D4" w14:paraId="45D6BE3A" w14:textId="77777777" w:rsidTr="00FC3916">
        <w:trPr>
          <w:trHeight w:val="288"/>
        </w:trPr>
        <w:tc>
          <w:tcPr>
            <w:tcW w:w="2149" w:type="dxa"/>
            <w:tcBorders>
              <w:top w:val="nil"/>
              <w:left w:val="single" w:sz="8" w:space="0" w:color="auto"/>
              <w:bottom w:val="nil"/>
              <w:right w:val="nil"/>
            </w:tcBorders>
            <w:shd w:val="clear" w:color="000000" w:fill="DDEBF7"/>
            <w:noWrap/>
            <w:vAlign w:val="bottom"/>
            <w:hideMark/>
          </w:tcPr>
          <w:p w14:paraId="53E356AC"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Cameroon</w:t>
            </w:r>
          </w:p>
        </w:tc>
        <w:tc>
          <w:tcPr>
            <w:tcW w:w="796" w:type="dxa"/>
            <w:tcBorders>
              <w:top w:val="nil"/>
              <w:left w:val="nil"/>
              <w:bottom w:val="nil"/>
              <w:right w:val="nil"/>
            </w:tcBorders>
            <w:shd w:val="clear" w:color="000000" w:fill="DDEBF7"/>
            <w:noWrap/>
            <w:vAlign w:val="bottom"/>
            <w:hideMark/>
          </w:tcPr>
          <w:p w14:paraId="5380ED3C"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28</w:t>
            </w:r>
          </w:p>
        </w:tc>
        <w:tc>
          <w:tcPr>
            <w:tcW w:w="1249" w:type="dxa"/>
            <w:tcBorders>
              <w:top w:val="nil"/>
              <w:left w:val="nil"/>
              <w:bottom w:val="nil"/>
              <w:right w:val="nil"/>
            </w:tcBorders>
            <w:shd w:val="clear" w:color="000000" w:fill="DDEBF7"/>
            <w:noWrap/>
            <w:vAlign w:val="bottom"/>
            <w:hideMark/>
          </w:tcPr>
          <w:p w14:paraId="1419EE17"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15</w:t>
            </w:r>
          </w:p>
        </w:tc>
        <w:tc>
          <w:tcPr>
            <w:tcW w:w="1431" w:type="dxa"/>
            <w:tcBorders>
              <w:top w:val="nil"/>
              <w:left w:val="nil"/>
              <w:bottom w:val="nil"/>
              <w:right w:val="nil"/>
            </w:tcBorders>
            <w:shd w:val="clear" w:color="000000" w:fill="DDEBF7"/>
            <w:noWrap/>
            <w:vAlign w:val="bottom"/>
            <w:hideMark/>
          </w:tcPr>
          <w:p w14:paraId="41CFB349"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24</w:t>
            </w:r>
          </w:p>
        </w:tc>
        <w:tc>
          <w:tcPr>
            <w:tcW w:w="591" w:type="dxa"/>
            <w:tcBorders>
              <w:top w:val="nil"/>
              <w:left w:val="nil"/>
              <w:bottom w:val="nil"/>
              <w:right w:val="single" w:sz="8" w:space="0" w:color="auto"/>
            </w:tcBorders>
            <w:shd w:val="clear" w:color="000000" w:fill="DDEBF7"/>
            <w:noWrap/>
            <w:vAlign w:val="bottom"/>
            <w:hideMark/>
          </w:tcPr>
          <w:p w14:paraId="581DC392"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08E49FE5" w14:textId="77777777" w:rsidR="004410D4" w:rsidRPr="004410D4" w:rsidRDefault="004410D4" w:rsidP="004410D4">
            <w:pPr>
              <w:spacing w:after="0" w:line="240" w:lineRule="auto"/>
              <w:jc w:val="center"/>
              <w:rPr>
                <w:rFonts w:ascii="Calibri" w:eastAsia="Times New Roman" w:hAnsi="Calibri" w:cs="Calibri"/>
                <w:color w:val="000000"/>
                <w:lang w:eastAsia="en-GB"/>
              </w:rPr>
            </w:pPr>
          </w:p>
        </w:tc>
      </w:tr>
      <w:tr w:rsidR="004410D4" w:rsidRPr="004410D4" w14:paraId="113BA104" w14:textId="77777777" w:rsidTr="00FC3916">
        <w:trPr>
          <w:trHeight w:val="288"/>
        </w:trPr>
        <w:tc>
          <w:tcPr>
            <w:tcW w:w="2149" w:type="dxa"/>
            <w:tcBorders>
              <w:top w:val="nil"/>
              <w:left w:val="single" w:sz="8" w:space="0" w:color="auto"/>
              <w:bottom w:val="nil"/>
              <w:right w:val="nil"/>
            </w:tcBorders>
            <w:shd w:val="clear" w:color="000000" w:fill="DDEBF7"/>
            <w:noWrap/>
            <w:vAlign w:val="bottom"/>
            <w:hideMark/>
          </w:tcPr>
          <w:p w14:paraId="5A4C8D16"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Congo</w:t>
            </w:r>
          </w:p>
        </w:tc>
        <w:tc>
          <w:tcPr>
            <w:tcW w:w="796" w:type="dxa"/>
            <w:tcBorders>
              <w:top w:val="nil"/>
              <w:left w:val="nil"/>
              <w:bottom w:val="nil"/>
              <w:right w:val="nil"/>
            </w:tcBorders>
            <w:shd w:val="clear" w:color="000000" w:fill="DDEBF7"/>
            <w:noWrap/>
            <w:vAlign w:val="bottom"/>
            <w:hideMark/>
          </w:tcPr>
          <w:p w14:paraId="45CD72E9"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30</w:t>
            </w:r>
          </w:p>
        </w:tc>
        <w:tc>
          <w:tcPr>
            <w:tcW w:w="1249" w:type="dxa"/>
            <w:tcBorders>
              <w:top w:val="nil"/>
              <w:left w:val="nil"/>
              <w:bottom w:val="nil"/>
              <w:right w:val="nil"/>
            </w:tcBorders>
            <w:shd w:val="clear" w:color="000000" w:fill="DDEBF7"/>
            <w:noWrap/>
            <w:vAlign w:val="bottom"/>
            <w:hideMark/>
          </w:tcPr>
          <w:p w14:paraId="75BE4063"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14</w:t>
            </w:r>
          </w:p>
        </w:tc>
        <w:tc>
          <w:tcPr>
            <w:tcW w:w="1431" w:type="dxa"/>
            <w:tcBorders>
              <w:top w:val="nil"/>
              <w:left w:val="nil"/>
              <w:bottom w:val="nil"/>
              <w:right w:val="nil"/>
            </w:tcBorders>
            <w:shd w:val="clear" w:color="000000" w:fill="DDEBF7"/>
            <w:noWrap/>
            <w:vAlign w:val="bottom"/>
            <w:hideMark/>
          </w:tcPr>
          <w:p w14:paraId="1EB91DD0"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19</w:t>
            </w:r>
          </w:p>
        </w:tc>
        <w:tc>
          <w:tcPr>
            <w:tcW w:w="591" w:type="dxa"/>
            <w:tcBorders>
              <w:top w:val="nil"/>
              <w:left w:val="nil"/>
              <w:bottom w:val="nil"/>
              <w:right w:val="single" w:sz="8" w:space="0" w:color="auto"/>
            </w:tcBorders>
            <w:shd w:val="clear" w:color="000000" w:fill="DDEBF7"/>
            <w:noWrap/>
            <w:vAlign w:val="bottom"/>
            <w:hideMark/>
          </w:tcPr>
          <w:p w14:paraId="3EB9742D"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8</w:t>
            </w:r>
          </w:p>
        </w:tc>
        <w:tc>
          <w:tcPr>
            <w:tcW w:w="222" w:type="dxa"/>
            <w:tcBorders>
              <w:top w:val="nil"/>
              <w:left w:val="nil"/>
              <w:bottom w:val="nil"/>
              <w:right w:val="nil"/>
            </w:tcBorders>
            <w:shd w:val="clear" w:color="auto" w:fill="auto"/>
            <w:noWrap/>
            <w:vAlign w:val="bottom"/>
            <w:hideMark/>
          </w:tcPr>
          <w:p w14:paraId="6BAAC45A" w14:textId="77777777" w:rsidR="004410D4" w:rsidRPr="004410D4" w:rsidRDefault="004410D4" w:rsidP="004410D4">
            <w:pPr>
              <w:spacing w:after="0" w:line="240" w:lineRule="auto"/>
              <w:jc w:val="center"/>
              <w:rPr>
                <w:rFonts w:ascii="Calibri" w:eastAsia="Times New Roman" w:hAnsi="Calibri" w:cs="Calibri"/>
                <w:color w:val="000000"/>
                <w:lang w:eastAsia="en-GB"/>
              </w:rPr>
            </w:pPr>
          </w:p>
        </w:tc>
      </w:tr>
      <w:tr w:rsidR="004410D4" w:rsidRPr="004410D4" w14:paraId="4A8636BB" w14:textId="77777777" w:rsidTr="00FC3916">
        <w:trPr>
          <w:trHeight w:val="288"/>
        </w:trPr>
        <w:tc>
          <w:tcPr>
            <w:tcW w:w="2149" w:type="dxa"/>
            <w:tcBorders>
              <w:top w:val="nil"/>
              <w:left w:val="single" w:sz="8" w:space="0" w:color="auto"/>
              <w:bottom w:val="nil"/>
              <w:right w:val="nil"/>
            </w:tcBorders>
            <w:shd w:val="clear" w:color="000000" w:fill="DDEBF7"/>
            <w:noWrap/>
            <w:vAlign w:val="bottom"/>
            <w:hideMark/>
          </w:tcPr>
          <w:p w14:paraId="379CD4B8"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Cote d'Ivoire</w:t>
            </w:r>
          </w:p>
        </w:tc>
        <w:tc>
          <w:tcPr>
            <w:tcW w:w="796" w:type="dxa"/>
            <w:tcBorders>
              <w:top w:val="nil"/>
              <w:left w:val="nil"/>
              <w:bottom w:val="nil"/>
              <w:right w:val="nil"/>
            </w:tcBorders>
            <w:shd w:val="clear" w:color="000000" w:fill="DDEBF7"/>
            <w:noWrap/>
            <w:vAlign w:val="bottom"/>
            <w:hideMark/>
          </w:tcPr>
          <w:p w14:paraId="16996E83"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22</w:t>
            </w:r>
          </w:p>
        </w:tc>
        <w:tc>
          <w:tcPr>
            <w:tcW w:w="1249" w:type="dxa"/>
            <w:tcBorders>
              <w:top w:val="nil"/>
              <w:left w:val="nil"/>
              <w:bottom w:val="nil"/>
              <w:right w:val="nil"/>
            </w:tcBorders>
            <w:shd w:val="clear" w:color="000000" w:fill="DDEBF7"/>
            <w:noWrap/>
            <w:vAlign w:val="bottom"/>
            <w:hideMark/>
          </w:tcPr>
          <w:p w14:paraId="17315F00"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29</w:t>
            </w:r>
          </w:p>
        </w:tc>
        <w:tc>
          <w:tcPr>
            <w:tcW w:w="1431" w:type="dxa"/>
            <w:tcBorders>
              <w:top w:val="nil"/>
              <w:left w:val="nil"/>
              <w:bottom w:val="nil"/>
              <w:right w:val="nil"/>
            </w:tcBorders>
            <w:shd w:val="clear" w:color="000000" w:fill="DDEBF7"/>
            <w:noWrap/>
            <w:vAlign w:val="bottom"/>
            <w:hideMark/>
          </w:tcPr>
          <w:p w14:paraId="5C163A72"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19</w:t>
            </w:r>
          </w:p>
        </w:tc>
        <w:tc>
          <w:tcPr>
            <w:tcW w:w="591" w:type="dxa"/>
            <w:tcBorders>
              <w:top w:val="nil"/>
              <w:left w:val="nil"/>
              <w:bottom w:val="nil"/>
              <w:right w:val="single" w:sz="8" w:space="0" w:color="auto"/>
            </w:tcBorders>
            <w:shd w:val="clear" w:color="000000" w:fill="DDEBF7"/>
            <w:noWrap/>
            <w:vAlign w:val="bottom"/>
            <w:hideMark/>
          </w:tcPr>
          <w:p w14:paraId="5BCD1123"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651750DE" w14:textId="77777777" w:rsidR="004410D4" w:rsidRPr="004410D4" w:rsidRDefault="004410D4" w:rsidP="004410D4">
            <w:pPr>
              <w:spacing w:after="0" w:line="240" w:lineRule="auto"/>
              <w:jc w:val="center"/>
              <w:rPr>
                <w:rFonts w:ascii="Calibri" w:eastAsia="Times New Roman" w:hAnsi="Calibri" w:cs="Calibri"/>
                <w:color w:val="000000"/>
                <w:lang w:eastAsia="en-GB"/>
              </w:rPr>
            </w:pPr>
          </w:p>
        </w:tc>
      </w:tr>
      <w:tr w:rsidR="004410D4" w:rsidRPr="004410D4" w14:paraId="6A1F7E9B" w14:textId="77777777" w:rsidTr="00FC3916">
        <w:trPr>
          <w:trHeight w:val="288"/>
        </w:trPr>
        <w:tc>
          <w:tcPr>
            <w:tcW w:w="2149" w:type="dxa"/>
            <w:tcBorders>
              <w:top w:val="nil"/>
              <w:left w:val="single" w:sz="8" w:space="0" w:color="auto"/>
              <w:bottom w:val="nil"/>
              <w:right w:val="nil"/>
            </w:tcBorders>
            <w:shd w:val="clear" w:color="000000" w:fill="DDEBF7"/>
            <w:noWrap/>
            <w:vAlign w:val="bottom"/>
            <w:hideMark/>
          </w:tcPr>
          <w:p w14:paraId="19EE74DC"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Niger</w:t>
            </w:r>
          </w:p>
        </w:tc>
        <w:tc>
          <w:tcPr>
            <w:tcW w:w="796" w:type="dxa"/>
            <w:tcBorders>
              <w:top w:val="nil"/>
              <w:left w:val="nil"/>
              <w:bottom w:val="nil"/>
              <w:right w:val="nil"/>
            </w:tcBorders>
            <w:shd w:val="clear" w:color="000000" w:fill="DDEBF7"/>
            <w:noWrap/>
            <w:vAlign w:val="bottom"/>
            <w:hideMark/>
          </w:tcPr>
          <w:p w14:paraId="6C05D5FD"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12</w:t>
            </w:r>
          </w:p>
        </w:tc>
        <w:tc>
          <w:tcPr>
            <w:tcW w:w="1249" w:type="dxa"/>
            <w:tcBorders>
              <w:top w:val="nil"/>
              <w:left w:val="nil"/>
              <w:bottom w:val="nil"/>
              <w:right w:val="nil"/>
            </w:tcBorders>
            <w:shd w:val="clear" w:color="000000" w:fill="DDEBF7"/>
            <w:noWrap/>
            <w:vAlign w:val="bottom"/>
            <w:hideMark/>
          </w:tcPr>
          <w:p w14:paraId="36EF4259"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42</w:t>
            </w:r>
          </w:p>
        </w:tc>
        <w:tc>
          <w:tcPr>
            <w:tcW w:w="1431" w:type="dxa"/>
            <w:tcBorders>
              <w:top w:val="nil"/>
              <w:left w:val="nil"/>
              <w:bottom w:val="nil"/>
              <w:right w:val="nil"/>
            </w:tcBorders>
            <w:shd w:val="clear" w:color="000000" w:fill="DDEBF7"/>
            <w:noWrap/>
            <w:vAlign w:val="bottom"/>
            <w:hideMark/>
          </w:tcPr>
          <w:p w14:paraId="13D1187E"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6</w:t>
            </w:r>
          </w:p>
        </w:tc>
        <w:tc>
          <w:tcPr>
            <w:tcW w:w="591" w:type="dxa"/>
            <w:tcBorders>
              <w:top w:val="nil"/>
              <w:left w:val="nil"/>
              <w:bottom w:val="nil"/>
              <w:right w:val="single" w:sz="8" w:space="0" w:color="auto"/>
            </w:tcBorders>
            <w:shd w:val="clear" w:color="000000" w:fill="DDEBF7"/>
            <w:noWrap/>
            <w:vAlign w:val="bottom"/>
            <w:hideMark/>
          </w:tcPr>
          <w:p w14:paraId="57A54A2D"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7B1B8739" w14:textId="77777777" w:rsidR="004410D4" w:rsidRPr="004410D4" w:rsidRDefault="004410D4" w:rsidP="004410D4">
            <w:pPr>
              <w:spacing w:after="0" w:line="240" w:lineRule="auto"/>
              <w:jc w:val="center"/>
              <w:rPr>
                <w:rFonts w:ascii="Calibri" w:eastAsia="Times New Roman" w:hAnsi="Calibri" w:cs="Calibri"/>
                <w:color w:val="000000"/>
                <w:lang w:eastAsia="en-GB"/>
              </w:rPr>
            </w:pPr>
          </w:p>
        </w:tc>
      </w:tr>
      <w:tr w:rsidR="004410D4" w:rsidRPr="004410D4" w14:paraId="63422D4E" w14:textId="77777777" w:rsidTr="00FC3916">
        <w:trPr>
          <w:trHeight w:val="288"/>
        </w:trPr>
        <w:tc>
          <w:tcPr>
            <w:tcW w:w="2149" w:type="dxa"/>
            <w:tcBorders>
              <w:top w:val="nil"/>
              <w:left w:val="single" w:sz="8" w:space="0" w:color="auto"/>
              <w:bottom w:val="nil"/>
              <w:right w:val="nil"/>
            </w:tcBorders>
            <w:shd w:val="clear" w:color="000000" w:fill="DDEBF7"/>
            <w:noWrap/>
            <w:vAlign w:val="bottom"/>
            <w:hideMark/>
          </w:tcPr>
          <w:p w14:paraId="5548E589"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Senegal</w:t>
            </w:r>
          </w:p>
        </w:tc>
        <w:tc>
          <w:tcPr>
            <w:tcW w:w="796" w:type="dxa"/>
            <w:tcBorders>
              <w:top w:val="nil"/>
              <w:left w:val="nil"/>
              <w:bottom w:val="nil"/>
              <w:right w:val="nil"/>
            </w:tcBorders>
            <w:shd w:val="clear" w:color="000000" w:fill="DDEBF7"/>
            <w:noWrap/>
            <w:vAlign w:val="bottom"/>
            <w:hideMark/>
          </w:tcPr>
          <w:p w14:paraId="689AA1D1"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15</w:t>
            </w:r>
          </w:p>
        </w:tc>
        <w:tc>
          <w:tcPr>
            <w:tcW w:w="1249" w:type="dxa"/>
            <w:tcBorders>
              <w:top w:val="nil"/>
              <w:left w:val="nil"/>
              <w:bottom w:val="nil"/>
              <w:right w:val="nil"/>
            </w:tcBorders>
            <w:shd w:val="clear" w:color="000000" w:fill="DDEBF7"/>
            <w:noWrap/>
            <w:vAlign w:val="bottom"/>
            <w:hideMark/>
          </w:tcPr>
          <w:p w14:paraId="0F3EC218"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24</w:t>
            </w:r>
          </w:p>
        </w:tc>
        <w:tc>
          <w:tcPr>
            <w:tcW w:w="1431" w:type="dxa"/>
            <w:tcBorders>
              <w:top w:val="nil"/>
              <w:left w:val="nil"/>
              <w:bottom w:val="nil"/>
              <w:right w:val="nil"/>
            </w:tcBorders>
            <w:shd w:val="clear" w:color="000000" w:fill="DDEBF7"/>
            <w:noWrap/>
            <w:vAlign w:val="bottom"/>
            <w:hideMark/>
          </w:tcPr>
          <w:p w14:paraId="75A8CD29"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22</w:t>
            </w:r>
          </w:p>
        </w:tc>
        <w:tc>
          <w:tcPr>
            <w:tcW w:w="591" w:type="dxa"/>
            <w:tcBorders>
              <w:top w:val="nil"/>
              <w:left w:val="nil"/>
              <w:bottom w:val="nil"/>
              <w:right w:val="single" w:sz="8" w:space="0" w:color="auto"/>
            </w:tcBorders>
            <w:shd w:val="clear" w:color="000000" w:fill="DDEBF7"/>
            <w:noWrap/>
            <w:vAlign w:val="bottom"/>
            <w:hideMark/>
          </w:tcPr>
          <w:p w14:paraId="67D391CE"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25</w:t>
            </w:r>
          </w:p>
        </w:tc>
        <w:tc>
          <w:tcPr>
            <w:tcW w:w="222" w:type="dxa"/>
            <w:tcBorders>
              <w:top w:val="nil"/>
              <w:left w:val="nil"/>
              <w:bottom w:val="nil"/>
              <w:right w:val="nil"/>
            </w:tcBorders>
            <w:shd w:val="clear" w:color="auto" w:fill="auto"/>
            <w:noWrap/>
            <w:vAlign w:val="bottom"/>
            <w:hideMark/>
          </w:tcPr>
          <w:p w14:paraId="3A8D8C0A" w14:textId="77777777" w:rsidR="004410D4" w:rsidRPr="004410D4" w:rsidRDefault="004410D4" w:rsidP="004410D4">
            <w:pPr>
              <w:spacing w:after="0" w:line="240" w:lineRule="auto"/>
              <w:jc w:val="center"/>
              <w:rPr>
                <w:rFonts w:ascii="Calibri" w:eastAsia="Times New Roman" w:hAnsi="Calibri" w:cs="Calibri"/>
                <w:color w:val="000000"/>
                <w:lang w:eastAsia="en-GB"/>
              </w:rPr>
            </w:pPr>
          </w:p>
        </w:tc>
      </w:tr>
      <w:tr w:rsidR="004410D4" w:rsidRPr="004410D4" w14:paraId="17FE96EB" w14:textId="77777777" w:rsidTr="00FC3916">
        <w:trPr>
          <w:trHeight w:val="288"/>
        </w:trPr>
        <w:tc>
          <w:tcPr>
            <w:tcW w:w="2149" w:type="dxa"/>
            <w:tcBorders>
              <w:top w:val="nil"/>
              <w:left w:val="single" w:sz="8" w:space="0" w:color="auto"/>
              <w:bottom w:val="nil"/>
              <w:right w:val="nil"/>
            </w:tcBorders>
            <w:shd w:val="clear" w:color="000000" w:fill="DDEBF7"/>
            <w:noWrap/>
            <w:vAlign w:val="bottom"/>
            <w:hideMark/>
          </w:tcPr>
          <w:p w14:paraId="7CD0E2B9"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Tchad</w:t>
            </w:r>
          </w:p>
        </w:tc>
        <w:tc>
          <w:tcPr>
            <w:tcW w:w="796" w:type="dxa"/>
            <w:tcBorders>
              <w:top w:val="nil"/>
              <w:left w:val="nil"/>
              <w:bottom w:val="nil"/>
              <w:right w:val="nil"/>
            </w:tcBorders>
            <w:shd w:val="clear" w:color="000000" w:fill="DDEBF7"/>
            <w:noWrap/>
            <w:vAlign w:val="bottom"/>
            <w:hideMark/>
          </w:tcPr>
          <w:p w14:paraId="7496C7CB"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33</w:t>
            </w:r>
          </w:p>
        </w:tc>
        <w:tc>
          <w:tcPr>
            <w:tcW w:w="1249" w:type="dxa"/>
            <w:tcBorders>
              <w:top w:val="nil"/>
              <w:left w:val="nil"/>
              <w:bottom w:val="nil"/>
              <w:right w:val="nil"/>
            </w:tcBorders>
            <w:shd w:val="clear" w:color="000000" w:fill="DDEBF7"/>
            <w:noWrap/>
            <w:vAlign w:val="bottom"/>
            <w:hideMark/>
          </w:tcPr>
          <w:p w14:paraId="577BA8DC"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4</w:t>
            </w:r>
          </w:p>
        </w:tc>
        <w:tc>
          <w:tcPr>
            <w:tcW w:w="1431" w:type="dxa"/>
            <w:tcBorders>
              <w:top w:val="nil"/>
              <w:left w:val="nil"/>
              <w:bottom w:val="nil"/>
              <w:right w:val="nil"/>
            </w:tcBorders>
            <w:shd w:val="clear" w:color="000000" w:fill="DDEBF7"/>
            <w:noWrap/>
            <w:vAlign w:val="bottom"/>
            <w:hideMark/>
          </w:tcPr>
          <w:p w14:paraId="3E09F256"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31</w:t>
            </w:r>
          </w:p>
        </w:tc>
        <w:tc>
          <w:tcPr>
            <w:tcW w:w="591" w:type="dxa"/>
            <w:tcBorders>
              <w:top w:val="nil"/>
              <w:left w:val="nil"/>
              <w:bottom w:val="nil"/>
              <w:right w:val="single" w:sz="8" w:space="0" w:color="auto"/>
            </w:tcBorders>
            <w:shd w:val="clear" w:color="000000" w:fill="DDEBF7"/>
            <w:noWrap/>
            <w:vAlign w:val="bottom"/>
            <w:hideMark/>
          </w:tcPr>
          <w:p w14:paraId="1EA2B518"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8</w:t>
            </w:r>
          </w:p>
        </w:tc>
        <w:tc>
          <w:tcPr>
            <w:tcW w:w="222" w:type="dxa"/>
            <w:tcBorders>
              <w:top w:val="nil"/>
              <w:left w:val="nil"/>
              <w:bottom w:val="nil"/>
              <w:right w:val="nil"/>
            </w:tcBorders>
            <w:shd w:val="clear" w:color="auto" w:fill="auto"/>
            <w:noWrap/>
            <w:vAlign w:val="bottom"/>
            <w:hideMark/>
          </w:tcPr>
          <w:p w14:paraId="630A2A1D" w14:textId="77777777" w:rsidR="004410D4" w:rsidRPr="004410D4" w:rsidRDefault="004410D4" w:rsidP="004410D4">
            <w:pPr>
              <w:spacing w:after="0" w:line="240" w:lineRule="auto"/>
              <w:jc w:val="center"/>
              <w:rPr>
                <w:rFonts w:ascii="Calibri" w:eastAsia="Times New Roman" w:hAnsi="Calibri" w:cs="Calibri"/>
                <w:color w:val="000000"/>
                <w:lang w:eastAsia="en-GB"/>
              </w:rPr>
            </w:pPr>
          </w:p>
        </w:tc>
      </w:tr>
      <w:tr w:rsidR="004410D4" w:rsidRPr="004410D4" w14:paraId="12F3BED6" w14:textId="77777777" w:rsidTr="00FC3916">
        <w:trPr>
          <w:trHeight w:val="300"/>
        </w:trPr>
        <w:tc>
          <w:tcPr>
            <w:tcW w:w="2149" w:type="dxa"/>
            <w:tcBorders>
              <w:top w:val="nil"/>
              <w:left w:val="single" w:sz="8" w:space="0" w:color="auto"/>
              <w:bottom w:val="single" w:sz="8" w:space="0" w:color="auto"/>
              <w:right w:val="nil"/>
            </w:tcBorders>
            <w:shd w:val="clear" w:color="000000" w:fill="DDEBF7"/>
            <w:noWrap/>
            <w:vAlign w:val="bottom"/>
            <w:hideMark/>
          </w:tcPr>
          <w:p w14:paraId="1CF07CEE"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Togo</w:t>
            </w:r>
          </w:p>
        </w:tc>
        <w:tc>
          <w:tcPr>
            <w:tcW w:w="796" w:type="dxa"/>
            <w:tcBorders>
              <w:top w:val="nil"/>
              <w:left w:val="nil"/>
              <w:bottom w:val="single" w:sz="8" w:space="0" w:color="auto"/>
              <w:right w:val="nil"/>
            </w:tcBorders>
            <w:shd w:val="clear" w:color="000000" w:fill="DDEBF7"/>
            <w:noWrap/>
            <w:vAlign w:val="bottom"/>
            <w:hideMark/>
          </w:tcPr>
          <w:p w14:paraId="50F57BD8"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15</w:t>
            </w:r>
          </w:p>
        </w:tc>
        <w:tc>
          <w:tcPr>
            <w:tcW w:w="1249" w:type="dxa"/>
            <w:tcBorders>
              <w:top w:val="nil"/>
              <w:left w:val="nil"/>
              <w:bottom w:val="single" w:sz="8" w:space="0" w:color="auto"/>
              <w:right w:val="nil"/>
            </w:tcBorders>
            <w:shd w:val="clear" w:color="000000" w:fill="DDEBF7"/>
            <w:noWrap/>
            <w:vAlign w:val="bottom"/>
            <w:hideMark/>
          </w:tcPr>
          <w:p w14:paraId="749CEEF3"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31</w:t>
            </w:r>
          </w:p>
        </w:tc>
        <w:tc>
          <w:tcPr>
            <w:tcW w:w="1431" w:type="dxa"/>
            <w:tcBorders>
              <w:top w:val="nil"/>
              <w:left w:val="nil"/>
              <w:bottom w:val="single" w:sz="8" w:space="0" w:color="auto"/>
              <w:right w:val="nil"/>
            </w:tcBorders>
            <w:shd w:val="clear" w:color="000000" w:fill="DDEBF7"/>
            <w:noWrap/>
            <w:vAlign w:val="bottom"/>
            <w:hideMark/>
          </w:tcPr>
          <w:p w14:paraId="4387C62E"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10</w:t>
            </w:r>
          </w:p>
        </w:tc>
        <w:tc>
          <w:tcPr>
            <w:tcW w:w="591" w:type="dxa"/>
            <w:tcBorders>
              <w:top w:val="nil"/>
              <w:left w:val="nil"/>
              <w:bottom w:val="single" w:sz="8" w:space="0" w:color="auto"/>
              <w:right w:val="single" w:sz="8" w:space="0" w:color="auto"/>
            </w:tcBorders>
            <w:shd w:val="clear" w:color="000000" w:fill="DDEBF7"/>
            <w:noWrap/>
            <w:vAlign w:val="bottom"/>
            <w:hideMark/>
          </w:tcPr>
          <w:p w14:paraId="4ACAADC0" w14:textId="77777777" w:rsidR="004410D4" w:rsidRPr="004410D4" w:rsidRDefault="004410D4" w:rsidP="004410D4">
            <w:pPr>
              <w:spacing w:after="0" w:line="240" w:lineRule="auto"/>
              <w:jc w:val="center"/>
              <w:rPr>
                <w:rFonts w:ascii="Calibri" w:eastAsia="Times New Roman" w:hAnsi="Calibri" w:cs="Calibri"/>
                <w:color w:val="000000"/>
                <w:lang w:eastAsia="en-GB"/>
              </w:rPr>
            </w:pPr>
            <w:r w:rsidRPr="004410D4">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5C786CD3" w14:textId="77777777" w:rsidR="004410D4" w:rsidRPr="004410D4" w:rsidRDefault="004410D4" w:rsidP="004410D4">
            <w:pPr>
              <w:spacing w:after="0" w:line="240" w:lineRule="auto"/>
              <w:jc w:val="center"/>
              <w:rPr>
                <w:rFonts w:ascii="Calibri" w:eastAsia="Times New Roman" w:hAnsi="Calibri" w:cs="Calibri"/>
                <w:color w:val="000000"/>
                <w:lang w:eastAsia="en-GB"/>
              </w:rPr>
            </w:pPr>
          </w:p>
        </w:tc>
      </w:tr>
      <w:tr w:rsidR="004410D4" w:rsidRPr="004410D4" w14:paraId="00141522" w14:textId="77777777" w:rsidTr="00FC3916">
        <w:trPr>
          <w:trHeight w:val="288"/>
        </w:trPr>
        <w:tc>
          <w:tcPr>
            <w:tcW w:w="2149" w:type="dxa"/>
            <w:tcBorders>
              <w:top w:val="nil"/>
              <w:left w:val="nil"/>
              <w:bottom w:val="nil"/>
              <w:right w:val="nil"/>
            </w:tcBorders>
            <w:shd w:val="clear" w:color="auto" w:fill="auto"/>
            <w:noWrap/>
            <w:vAlign w:val="bottom"/>
            <w:hideMark/>
          </w:tcPr>
          <w:p w14:paraId="2BECC59A" w14:textId="77777777" w:rsidR="004410D4" w:rsidRPr="004410D4" w:rsidRDefault="004410D4" w:rsidP="004410D4">
            <w:pPr>
              <w:spacing w:after="0" w:line="240" w:lineRule="auto"/>
              <w:rPr>
                <w:rFonts w:ascii="Calibri" w:eastAsia="Times New Roman" w:hAnsi="Calibri" w:cs="Calibri"/>
                <w:color w:val="000000"/>
                <w:lang w:eastAsia="en-GB"/>
              </w:rPr>
            </w:pPr>
            <w:r w:rsidRPr="004410D4">
              <w:rPr>
                <w:rFonts w:ascii="Calibri" w:eastAsia="Times New Roman" w:hAnsi="Calibri" w:cs="Calibri"/>
                <w:color w:val="000000"/>
                <w:lang w:eastAsia="en-GB"/>
              </w:rPr>
              <w:t>Source: PASCE</w:t>
            </w:r>
          </w:p>
        </w:tc>
        <w:tc>
          <w:tcPr>
            <w:tcW w:w="796" w:type="dxa"/>
            <w:tcBorders>
              <w:top w:val="nil"/>
              <w:left w:val="nil"/>
              <w:bottom w:val="nil"/>
              <w:right w:val="nil"/>
            </w:tcBorders>
            <w:shd w:val="clear" w:color="auto" w:fill="auto"/>
            <w:noWrap/>
            <w:vAlign w:val="bottom"/>
            <w:hideMark/>
          </w:tcPr>
          <w:p w14:paraId="35655EB7" w14:textId="77777777" w:rsidR="004410D4" w:rsidRPr="004410D4" w:rsidRDefault="004410D4" w:rsidP="004410D4">
            <w:pPr>
              <w:spacing w:after="0" w:line="240" w:lineRule="auto"/>
              <w:rPr>
                <w:rFonts w:ascii="Calibri" w:eastAsia="Times New Roman" w:hAnsi="Calibri" w:cs="Calibri"/>
                <w:color w:val="000000"/>
                <w:lang w:eastAsia="en-GB"/>
              </w:rPr>
            </w:pPr>
          </w:p>
        </w:tc>
        <w:tc>
          <w:tcPr>
            <w:tcW w:w="1249" w:type="dxa"/>
            <w:tcBorders>
              <w:top w:val="nil"/>
              <w:left w:val="nil"/>
              <w:bottom w:val="nil"/>
              <w:right w:val="nil"/>
            </w:tcBorders>
            <w:shd w:val="clear" w:color="auto" w:fill="auto"/>
            <w:noWrap/>
            <w:vAlign w:val="bottom"/>
            <w:hideMark/>
          </w:tcPr>
          <w:p w14:paraId="0CEF6E0C" w14:textId="77777777" w:rsidR="004410D4" w:rsidRPr="004410D4" w:rsidRDefault="004410D4" w:rsidP="004410D4">
            <w:pPr>
              <w:spacing w:after="0" w:line="240" w:lineRule="auto"/>
              <w:rPr>
                <w:rFonts w:ascii="Times New Roman" w:eastAsia="Times New Roman" w:hAnsi="Times New Roman" w:cs="Times New Roman"/>
                <w:sz w:val="20"/>
                <w:szCs w:val="20"/>
                <w:lang w:eastAsia="en-GB"/>
              </w:rPr>
            </w:pPr>
          </w:p>
        </w:tc>
        <w:tc>
          <w:tcPr>
            <w:tcW w:w="1431" w:type="dxa"/>
            <w:tcBorders>
              <w:top w:val="nil"/>
              <w:left w:val="nil"/>
              <w:bottom w:val="nil"/>
              <w:right w:val="nil"/>
            </w:tcBorders>
            <w:shd w:val="clear" w:color="auto" w:fill="auto"/>
            <w:noWrap/>
            <w:vAlign w:val="bottom"/>
            <w:hideMark/>
          </w:tcPr>
          <w:p w14:paraId="585D747C" w14:textId="77777777" w:rsidR="004410D4" w:rsidRPr="004410D4" w:rsidRDefault="004410D4" w:rsidP="004410D4">
            <w:pPr>
              <w:spacing w:after="0" w:line="240" w:lineRule="auto"/>
              <w:jc w:val="center"/>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vAlign w:val="bottom"/>
            <w:hideMark/>
          </w:tcPr>
          <w:p w14:paraId="144AA6BF" w14:textId="77777777" w:rsidR="004410D4" w:rsidRPr="004410D4" w:rsidRDefault="004410D4" w:rsidP="004410D4">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EEB9DDE" w14:textId="77777777" w:rsidR="004410D4" w:rsidRPr="004410D4" w:rsidRDefault="004410D4" w:rsidP="004410D4">
            <w:pPr>
              <w:spacing w:after="0" w:line="240" w:lineRule="auto"/>
              <w:rPr>
                <w:rFonts w:ascii="Times New Roman" w:eastAsia="Times New Roman" w:hAnsi="Times New Roman" w:cs="Times New Roman"/>
                <w:sz w:val="20"/>
                <w:szCs w:val="20"/>
                <w:lang w:eastAsia="en-GB"/>
              </w:rPr>
            </w:pPr>
          </w:p>
        </w:tc>
      </w:tr>
    </w:tbl>
    <w:p w14:paraId="1D7B77C5" w14:textId="5C530D46" w:rsidR="00AE1E15" w:rsidRDefault="00AE1E15"/>
    <w:tbl>
      <w:tblPr>
        <w:tblW w:w="9026" w:type="dxa"/>
        <w:tblLook w:val="04A0" w:firstRow="1" w:lastRow="0" w:firstColumn="1" w:lastColumn="0" w:noHBand="0" w:noVBand="1"/>
      </w:tblPr>
      <w:tblGrid>
        <w:gridCol w:w="2298"/>
        <w:gridCol w:w="1450"/>
        <w:gridCol w:w="1679"/>
        <w:gridCol w:w="1565"/>
        <w:gridCol w:w="1812"/>
        <w:gridCol w:w="222"/>
      </w:tblGrid>
      <w:tr w:rsidR="00EC4460" w:rsidRPr="00EC4460" w14:paraId="5CE8E1CE" w14:textId="77777777" w:rsidTr="00E86245">
        <w:trPr>
          <w:trHeight w:val="288"/>
        </w:trPr>
        <w:tc>
          <w:tcPr>
            <w:tcW w:w="9026" w:type="dxa"/>
            <w:gridSpan w:val="6"/>
            <w:tcBorders>
              <w:top w:val="nil"/>
              <w:left w:val="nil"/>
              <w:bottom w:val="nil"/>
              <w:right w:val="nil"/>
            </w:tcBorders>
            <w:shd w:val="clear" w:color="auto" w:fill="auto"/>
            <w:noWrap/>
            <w:vAlign w:val="bottom"/>
            <w:hideMark/>
          </w:tcPr>
          <w:p w14:paraId="24AE7FCF" w14:textId="77777777" w:rsidR="00AE1E15" w:rsidRDefault="00AE1E15" w:rsidP="00E86245">
            <w:pPr>
              <w:spacing w:after="0" w:line="240" w:lineRule="auto"/>
              <w:rPr>
                <w:rFonts w:ascii="Calibri" w:eastAsia="Times New Roman" w:hAnsi="Calibri" w:cs="Calibri"/>
                <w:color w:val="000000"/>
                <w:lang w:eastAsia="en-GB"/>
              </w:rPr>
            </w:pPr>
          </w:p>
          <w:p w14:paraId="5569F500" w14:textId="77777777" w:rsidR="00EC4460" w:rsidRPr="00EC4460" w:rsidRDefault="000D1486" w:rsidP="00E8624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Table </w:t>
            </w:r>
            <w:r w:rsidR="00E86245">
              <w:rPr>
                <w:rFonts w:ascii="Calibri" w:eastAsia="Times New Roman" w:hAnsi="Calibri" w:cs="Calibri"/>
                <w:color w:val="000000"/>
                <w:lang w:eastAsia="en-GB"/>
              </w:rPr>
              <w:t>10</w:t>
            </w:r>
            <w:r w:rsidR="00EC4460" w:rsidRPr="00EC4460">
              <w:rPr>
                <w:rFonts w:ascii="Calibri" w:eastAsia="Times New Roman" w:hAnsi="Calibri" w:cs="Calibri"/>
                <w:color w:val="000000"/>
                <w:lang w:eastAsia="en-GB"/>
              </w:rPr>
              <w:t>: Difference in Grade 6 mean reading and maths scores between</w:t>
            </w:r>
          </w:p>
        </w:tc>
      </w:tr>
      <w:tr w:rsidR="00EC4460" w:rsidRPr="00EC4460" w14:paraId="379F9CCF" w14:textId="77777777" w:rsidTr="00E86245">
        <w:trPr>
          <w:trHeight w:val="300"/>
        </w:trPr>
        <w:tc>
          <w:tcPr>
            <w:tcW w:w="8804" w:type="dxa"/>
            <w:gridSpan w:val="5"/>
            <w:tcBorders>
              <w:top w:val="nil"/>
              <w:left w:val="nil"/>
              <w:bottom w:val="nil"/>
              <w:right w:val="nil"/>
            </w:tcBorders>
            <w:shd w:val="clear" w:color="auto" w:fill="auto"/>
            <w:noWrap/>
            <w:vAlign w:val="bottom"/>
            <w:hideMark/>
          </w:tcPr>
          <w:p w14:paraId="6D2B8FBF"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some tutoring and no tutoring, 2014 (rounded percentage points)</w:t>
            </w:r>
          </w:p>
        </w:tc>
        <w:tc>
          <w:tcPr>
            <w:tcW w:w="222" w:type="dxa"/>
            <w:tcBorders>
              <w:top w:val="nil"/>
              <w:left w:val="nil"/>
              <w:bottom w:val="nil"/>
              <w:right w:val="nil"/>
            </w:tcBorders>
            <w:shd w:val="clear" w:color="auto" w:fill="auto"/>
            <w:noWrap/>
            <w:vAlign w:val="bottom"/>
            <w:hideMark/>
          </w:tcPr>
          <w:p w14:paraId="3B369284" w14:textId="77777777" w:rsidR="00EC4460" w:rsidRPr="00EC4460" w:rsidRDefault="00EC4460" w:rsidP="00EC4460">
            <w:pPr>
              <w:spacing w:after="0" w:line="240" w:lineRule="auto"/>
              <w:rPr>
                <w:rFonts w:ascii="Calibri" w:eastAsia="Times New Roman" w:hAnsi="Calibri" w:cs="Calibri"/>
                <w:color w:val="000000"/>
                <w:lang w:eastAsia="en-GB"/>
              </w:rPr>
            </w:pPr>
          </w:p>
        </w:tc>
      </w:tr>
      <w:tr w:rsidR="00EC4460" w:rsidRPr="00EC4460" w14:paraId="5F249ADD" w14:textId="77777777" w:rsidTr="00E86245">
        <w:trPr>
          <w:trHeight w:val="288"/>
        </w:trPr>
        <w:tc>
          <w:tcPr>
            <w:tcW w:w="2298" w:type="dxa"/>
            <w:tcBorders>
              <w:top w:val="single" w:sz="8" w:space="0" w:color="auto"/>
              <w:left w:val="single" w:sz="8" w:space="0" w:color="auto"/>
              <w:bottom w:val="nil"/>
              <w:right w:val="nil"/>
            </w:tcBorders>
            <w:shd w:val="clear" w:color="000000" w:fill="D9D9D9"/>
            <w:noWrap/>
            <w:vAlign w:val="bottom"/>
            <w:hideMark/>
          </w:tcPr>
          <w:p w14:paraId="014F764A"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 </w:t>
            </w:r>
          </w:p>
        </w:tc>
        <w:tc>
          <w:tcPr>
            <w:tcW w:w="3129" w:type="dxa"/>
            <w:gridSpan w:val="2"/>
            <w:tcBorders>
              <w:top w:val="single" w:sz="8" w:space="0" w:color="auto"/>
              <w:left w:val="nil"/>
              <w:bottom w:val="nil"/>
              <w:right w:val="single" w:sz="4" w:space="0" w:color="000000"/>
            </w:tcBorders>
            <w:shd w:val="clear" w:color="000000" w:fill="D9D9D9"/>
            <w:noWrap/>
            <w:vAlign w:val="bottom"/>
            <w:hideMark/>
          </w:tcPr>
          <w:p w14:paraId="60799420" w14:textId="77777777" w:rsidR="00EC4460" w:rsidRPr="00EC4460" w:rsidRDefault="00EC4460" w:rsidP="00EC4460">
            <w:pPr>
              <w:spacing w:after="0" w:line="240" w:lineRule="auto"/>
              <w:ind w:firstLineChars="600" w:firstLine="1320"/>
              <w:rPr>
                <w:rFonts w:ascii="Calibri" w:eastAsia="Times New Roman" w:hAnsi="Calibri" w:cs="Calibri"/>
                <w:color w:val="000000"/>
                <w:lang w:eastAsia="en-GB"/>
              </w:rPr>
            </w:pPr>
            <w:r w:rsidRPr="00EC4460">
              <w:rPr>
                <w:rFonts w:ascii="Calibri" w:eastAsia="Times New Roman" w:hAnsi="Calibri" w:cs="Calibri"/>
                <w:color w:val="000000"/>
                <w:lang w:eastAsia="en-GB"/>
              </w:rPr>
              <w:t>Reading</w:t>
            </w:r>
          </w:p>
        </w:tc>
        <w:tc>
          <w:tcPr>
            <w:tcW w:w="3377" w:type="dxa"/>
            <w:gridSpan w:val="2"/>
            <w:tcBorders>
              <w:top w:val="single" w:sz="8" w:space="0" w:color="auto"/>
              <w:left w:val="nil"/>
              <w:bottom w:val="nil"/>
              <w:right w:val="single" w:sz="8" w:space="0" w:color="000000"/>
            </w:tcBorders>
            <w:shd w:val="clear" w:color="000000" w:fill="D9D9D9"/>
            <w:noWrap/>
            <w:vAlign w:val="bottom"/>
            <w:hideMark/>
          </w:tcPr>
          <w:p w14:paraId="33348604" w14:textId="77777777" w:rsidR="00EC4460" w:rsidRPr="00EC4460" w:rsidRDefault="00EC4460" w:rsidP="00EC4460">
            <w:pPr>
              <w:spacing w:after="0" w:line="240" w:lineRule="auto"/>
              <w:ind w:firstLineChars="700" w:firstLine="1540"/>
              <w:rPr>
                <w:rFonts w:ascii="Calibri" w:eastAsia="Times New Roman" w:hAnsi="Calibri" w:cs="Calibri"/>
                <w:color w:val="000000"/>
                <w:lang w:eastAsia="en-GB"/>
              </w:rPr>
            </w:pPr>
            <w:r w:rsidRPr="00EC4460">
              <w:rPr>
                <w:rFonts w:ascii="Calibri" w:eastAsia="Times New Roman" w:hAnsi="Calibri" w:cs="Calibri"/>
                <w:color w:val="000000"/>
                <w:lang w:eastAsia="en-GB"/>
              </w:rPr>
              <w:t>Maths</w:t>
            </w:r>
          </w:p>
        </w:tc>
        <w:tc>
          <w:tcPr>
            <w:tcW w:w="222" w:type="dxa"/>
            <w:tcBorders>
              <w:top w:val="nil"/>
              <w:left w:val="nil"/>
              <w:bottom w:val="nil"/>
              <w:right w:val="nil"/>
            </w:tcBorders>
            <w:shd w:val="clear" w:color="auto" w:fill="auto"/>
            <w:noWrap/>
            <w:vAlign w:val="bottom"/>
            <w:hideMark/>
          </w:tcPr>
          <w:p w14:paraId="01060619" w14:textId="77777777" w:rsidR="00EC4460" w:rsidRPr="00EC4460" w:rsidRDefault="00EC4460" w:rsidP="00EC4460">
            <w:pPr>
              <w:spacing w:after="0" w:line="240" w:lineRule="auto"/>
              <w:ind w:firstLineChars="700" w:firstLine="1540"/>
              <w:rPr>
                <w:rFonts w:ascii="Calibri" w:eastAsia="Times New Roman" w:hAnsi="Calibri" w:cs="Calibri"/>
                <w:color w:val="000000"/>
                <w:lang w:eastAsia="en-GB"/>
              </w:rPr>
            </w:pPr>
          </w:p>
        </w:tc>
      </w:tr>
      <w:tr w:rsidR="00EC4460" w:rsidRPr="00EC4460" w14:paraId="23C070DF" w14:textId="77777777" w:rsidTr="00E86245">
        <w:trPr>
          <w:trHeight w:val="288"/>
        </w:trPr>
        <w:tc>
          <w:tcPr>
            <w:tcW w:w="2298" w:type="dxa"/>
            <w:tcBorders>
              <w:top w:val="nil"/>
              <w:left w:val="single" w:sz="8" w:space="0" w:color="auto"/>
              <w:bottom w:val="nil"/>
              <w:right w:val="nil"/>
            </w:tcBorders>
            <w:shd w:val="clear" w:color="000000" w:fill="D9D9D9"/>
            <w:noWrap/>
            <w:vAlign w:val="bottom"/>
            <w:hideMark/>
          </w:tcPr>
          <w:p w14:paraId="1A55E974"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Country</w:t>
            </w:r>
          </w:p>
        </w:tc>
        <w:tc>
          <w:tcPr>
            <w:tcW w:w="1450" w:type="dxa"/>
            <w:tcBorders>
              <w:top w:val="nil"/>
              <w:left w:val="nil"/>
              <w:bottom w:val="nil"/>
              <w:right w:val="nil"/>
            </w:tcBorders>
            <w:shd w:val="clear" w:color="000000" w:fill="D9D9D9"/>
            <w:noWrap/>
            <w:vAlign w:val="bottom"/>
            <w:hideMark/>
          </w:tcPr>
          <w:p w14:paraId="6CE9CBEC"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Public</w:t>
            </w:r>
          </w:p>
        </w:tc>
        <w:tc>
          <w:tcPr>
            <w:tcW w:w="1679" w:type="dxa"/>
            <w:tcBorders>
              <w:top w:val="nil"/>
              <w:left w:val="nil"/>
              <w:bottom w:val="nil"/>
              <w:right w:val="single" w:sz="4" w:space="0" w:color="auto"/>
            </w:tcBorders>
            <w:shd w:val="clear" w:color="000000" w:fill="D9D9D9"/>
            <w:noWrap/>
            <w:vAlign w:val="bottom"/>
            <w:hideMark/>
          </w:tcPr>
          <w:p w14:paraId="60411332"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Private</w:t>
            </w:r>
          </w:p>
        </w:tc>
        <w:tc>
          <w:tcPr>
            <w:tcW w:w="1565" w:type="dxa"/>
            <w:tcBorders>
              <w:top w:val="nil"/>
              <w:left w:val="nil"/>
              <w:bottom w:val="nil"/>
              <w:right w:val="nil"/>
            </w:tcBorders>
            <w:shd w:val="clear" w:color="000000" w:fill="D9D9D9"/>
            <w:noWrap/>
            <w:vAlign w:val="bottom"/>
            <w:hideMark/>
          </w:tcPr>
          <w:p w14:paraId="3B8A45BF"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Public</w:t>
            </w:r>
          </w:p>
        </w:tc>
        <w:tc>
          <w:tcPr>
            <w:tcW w:w="1812" w:type="dxa"/>
            <w:tcBorders>
              <w:top w:val="nil"/>
              <w:left w:val="nil"/>
              <w:bottom w:val="nil"/>
              <w:right w:val="single" w:sz="8" w:space="0" w:color="auto"/>
            </w:tcBorders>
            <w:shd w:val="clear" w:color="000000" w:fill="D9D9D9"/>
            <w:noWrap/>
            <w:vAlign w:val="bottom"/>
            <w:hideMark/>
          </w:tcPr>
          <w:p w14:paraId="42A28F65"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Private</w:t>
            </w:r>
          </w:p>
        </w:tc>
        <w:tc>
          <w:tcPr>
            <w:tcW w:w="222" w:type="dxa"/>
            <w:tcBorders>
              <w:top w:val="nil"/>
              <w:left w:val="nil"/>
              <w:bottom w:val="nil"/>
              <w:right w:val="nil"/>
            </w:tcBorders>
            <w:shd w:val="clear" w:color="auto" w:fill="auto"/>
            <w:noWrap/>
            <w:vAlign w:val="bottom"/>
            <w:hideMark/>
          </w:tcPr>
          <w:p w14:paraId="7163FBD1" w14:textId="77777777" w:rsidR="00EC4460" w:rsidRPr="00EC4460" w:rsidRDefault="00EC4460" w:rsidP="00EC4460">
            <w:pPr>
              <w:spacing w:after="0" w:line="240" w:lineRule="auto"/>
              <w:jc w:val="center"/>
              <w:rPr>
                <w:rFonts w:ascii="Calibri" w:eastAsia="Times New Roman" w:hAnsi="Calibri" w:cs="Calibri"/>
                <w:color w:val="000000"/>
                <w:lang w:eastAsia="en-GB"/>
              </w:rPr>
            </w:pPr>
          </w:p>
        </w:tc>
      </w:tr>
      <w:tr w:rsidR="00EC4460" w:rsidRPr="00EC4460" w14:paraId="5FF6BFFA" w14:textId="77777777" w:rsidTr="00E86245">
        <w:trPr>
          <w:trHeight w:val="288"/>
        </w:trPr>
        <w:tc>
          <w:tcPr>
            <w:tcW w:w="2298" w:type="dxa"/>
            <w:tcBorders>
              <w:top w:val="single" w:sz="4" w:space="0" w:color="auto"/>
              <w:left w:val="single" w:sz="8" w:space="0" w:color="auto"/>
              <w:bottom w:val="nil"/>
              <w:right w:val="nil"/>
            </w:tcBorders>
            <w:shd w:val="clear" w:color="000000" w:fill="DDEBF7"/>
            <w:noWrap/>
            <w:vAlign w:val="bottom"/>
            <w:hideMark/>
          </w:tcPr>
          <w:p w14:paraId="28B6DCE0"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Benin</w:t>
            </w:r>
          </w:p>
        </w:tc>
        <w:tc>
          <w:tcPr>
            <w:tcW w:w="1450" w:type="dxa"/>
            <w:tcBorders>
              <w:top w:val="single" w:sz="4" w:space="0" w:color="auto"/>
              <w:left w:val="nil"/>
              <w:bottom w:val="nil"/>
              <w:right w:val="nil"/>
            </w:tcBorders>
            <w:shd w:val="clear" w:color="000000" w:fill="DDEBF7"/>
            <w:noWrap/>
            <w:vAlign w:val="bottom"/>
            <w:hideMark/>
          </w:tcPr>
          <w:p w14:paraId="0A444A41"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4</w:t>
            </w:r>
          </w:p>
        </w:tc>
        <w:tc>
          <w:tcPr>
            <w:tcW w:w="1679" w:type="dxa"/>
            <w:tcBorders>
              <w:top w:val="single" w:sz="4" w:space="0" w:color="auto"/>
              <w:left w:val="nil"/>
              <w:bottom w:val="nil"/>
              <w:right w:val="single" w:sz="4" w:space="0" w:color="auto"/>
            </w:tcBorders>
            <w:shd w:val="clear" w:color="000000" w:fill="DDEBF7"/>
            <w:noWrap/>
            <w:vAlign w:val="bottom"/>
            <w:hideMark/>
          </w:tcPr>
          <w:p w14:paraId="78E16106"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-8</w:t>
            </w:r>
          </w:p>
        </w:tc>
        <w:tc>
          <w:tcPr>
            <w:tcW w:w="1565" w:type="dxa"/>
            <w:tcBorders>
              <w:top w:val="single" w:sz="4" w:space="0" w:color="auto"/>
              <w:left w:val="nil"/>
              <w:bottom w:val="nil"/>
              <w:right w:val="nil"/>
            </w:tcBorders>
            <w:shd w:val="clear" w:color="000000" w:fill="DDEBF7"/>
            <w:noWrap/>
            <w:vAlign w:val="bottom"/>
            <w:hideMark/>
          </w:tcPr>
          <w:p w14:paraId="795412F8"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15</w:t>
            </w:r>
          </w:p>
        </w:tc>
        <w:tc>
          <w:tcPr>
            <w:tcW w:w="1812" w:type="dxa"/>
            <w:tcBorders>
              <w:top w:val="single" w:sz="4" w:space="0" w:color="auto"/>
              <w:left w:val="nil"/>
              <w:bottom w:val="nil"/>
              <w:right w:val="single" w:sz="8" w:space="0" w:color="auto"/>
            </w:tcBorders>
            <w:shd w:val="clear" w:color="000000" w:fill="DDEBF7"/>
            <w:noWrap/>
            <w:vAlign w:val="bottom"/>
            <w:hideMark/>
          </w:tcPr>
          <w:p w14:paraId="2968B499"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-7</w:t>
            </w:r>
          </w:p>
        </w:tc>
        <w:tc>
          <w:tcPr>
            <w:tcW w:w="222" w:type="dxa"/>
            <w:tcBorders>
              <w:top w:val="nil"/>
              <w:left w:val="nil"/>
              <w:bottom w:val="nil"/>
              <w:right w:val="nil"/>
            </w:tcBorders>
            <w:shd w:val="clear" w:color="auto" w:fill="auto"/>
            <w:noWrap/>
            <w:vAlign w:val="bottom"/>
            <w:hideMark/>
          </w:tcPr>
          <w:p w14:paraId="30E518D7" w14:textId="77777777" w:rsidR="00EC4460" w:rsidRPr="00EC4460" w:rsidRDefault="00EC4460" w:rsidP="00EC4460">
            <w:pPr>
              <w:spacing w:after="0" w:line="240" w:lineRule="auto"/>
              <w:jc w:val="center"/>
              <w:rPr>
                <w:rFonts w:ascii="Calibri" w:eastAsia="Times New Roman" w:hAnsi="Calibri" w:cs="Calibri"/>
                <w:color w:val="000000"/>
                <w:lang w:eastAsia="en-GB"/>
              </w:rPr>
            </w:pPr>
          </w:p>
        </w:tc>
      </w:tr>
      <w:tr w:rsidR="00EC4460" w:rsidRPr="00EC4460" w14:paraId="20A7E5B1" w14:textId="77777777" w:rsidTr="00E86245">
        <w:trPr>
          <w:trHeight w:val="288"/>
        </w:trPr>
        <w:tc>
          <w:tcPr>
            <w:tcW w:w="2298" w:type="dxa"/>
            <w:tcBorders>
              <w:top w:val="nil"/>
              <w:left w:val="single" w:sz="8" w:space="0" w:color="auto"/>
              <w:bottom w:val="nil"/>
              <w:right w:val="nil"/>
            </w:tcBorders>
            <w:shd w:val="clear" w:color="000000" w:fill="DDEBF7"/>
            <w:noWrap/>
            <w:vAlign w:val="bottom"/>
            <w:hideMark/>
          </w:tcPr>
          <w:p w14:paraId="182FCBCA"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Burkina Faso</w:t>
            </w:r>
          </w:p>
        </w:tc>
        <w:tc>
          <w:tcPr>
            <w:tcW w:w="1450" w:type="dxa"/>
            <w:tcBorders>
              <w:top w:val="nil"/>
              <w:left w:val="nil"/>
              <w:bottom w:val="nil"/>
              <w:right w:val="nil"/>
            </w:tcBorders>
            <w:shd w:val="clear" w:color="000000" w:fill="DDEBF7"/>
            <w:noWrap/>
            <w:vAlign w:val="bottom"/>
            <w:hideMark/>
          </w:tcPr>
          <w:p w14:paraId="7CA9C26C"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-2</w:t>
            </w:r>
          </w:p>
        </w:tc>
        <w:tc>
          <w:tcPr>
            <w:tcW w:w="1679" w:type="dxa"/>
            <w:tcBorders>
              <w:top w:val="nil"/>
              <w:left w:val="nil"/>
              <w:bottom w:val="nil"/>
              <w:right w:val="single" w:sz="4" w:space="0" w:color="auto"/>
            </w:tcBorders>
            <w:shd w:val="clear" w:color="000000" w:fill="DDEBF7"/>
            <w:noWrap/>
            <w:vAlign w:val="bottom"/>
            <w:hideMark/>
          </w:tcPr>
          <w:p w14:paraId="1794925D"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-9</w:t>
            </w:r>
          </w:p>
        </w:tc>
        <w:tc>
          <w:tcPr>
            <w:tcW w:w="1565" w:type="dxa"/>
            <w:tcBorders>
              <w:top w:val="nil"/>
              <w:left w:val="nil"/>
              <w:bottom w:val="nil"/>
              <w:right w:val="nil"/>
            </w:tcBorders>
            <w:shd w:val="clear" w:color="000000" w:fill="DDEBF7"/>
            <w:noWrap/>
            <w:vAlign w:val="bottom"/>
            <w:hideMark/>
          </w:tcPr>
          <w:p w14:paraId="39BFA744"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-17</w:t>
            </w:r>
          </w:p>
        </w:tc>
        <w:tc>
          <w:tcPr>
            <w:tcW w:w="1812" w:type="dxa"/>
            <w:tcBorders>
              <w:top w:val="nil"/>
              <w:left w:val="nil"/>
              <w:bottom w:val="nil"/>
              <w:right w:val="single" w:sz="8" w:space="0" w:color="auto"/>
            </w:tcBorders>
            <w:shd w:val="clear" w:color="000000" w:fill="DDEBF7"/>
            <w:noWrap/>
            <w:vAlign w:val="bottom"/>
            <w:hideMark/>
          </w:tcPr>
          <w:p w14:paraId="0880BF5D"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-9</w:t>
            </w:r>
          </w:p>
        </w:tc>
        <w:tc>
          <w:tcPr>
            <w:tcW w:w="222" w:type="dxa"/>
            <w:tcBorders>
              <w:top w:val="nil"/>
              <w:left w:val="nil"/>
              <w:bottom w:val="nil"/>
              <w:right w:val="nil"/>
            </w:tcBorders>
            <w:shd w:val="clear" w:color="auto" w:fill="auto"/>
            <w:noWrap/>
            <w:vAlign w:val="bottom"/>
            <w:hideMark/>
          </w:tcPr>
          <w:p w14:paraId="4E39F63A" w14:textId="77777777" w:rsidR="00EC4460" w:rsidRPr="00EC4460" w:rsidRDefault="00EC4460" w:rsidP="00EC4460">
            <w:pPr>
              <w:spacing w:after="0" w:line="240" w:lineRule="auto"/>
              <w:jc w:val="center"/>
              <w:rPr>
                <w:rFonts w:ascii="Calibri" w:eastAsia="Times New Roman" w:hAnsi="Calibri" w:cs="Calibri"/>
                <w:color w:val="000000"/>
                <w:lang w:eastAsia="en-GB"/>
              </w:rPr>
            </w:pPr>
          </w:p>
        </w:tc>
      </w:tr>
      <w:tr w:rsidR="00EC4460" w:rsidRPr="00EC4460" w14:paraId="027423D4" w14:textId="77777777" w:rsidTr="00E86245">
        <w:trPr>
          <w:trHeight w:val="288"/>
        </w:trPr>
        <w:tc>
          <w:tcPr>
            <w:tcW w:w="2298" w:type="dxa"/>
            <w:tcBorders>
              <w:top w:val="nil"/>
              <w:left w:val="single" w:sz="8" w:space="0" w:color="auto"/>
              <w:bottom w:val="nil"/>
              <w:right w:val="nil"/>
            </w:tcBorders>
            <w:shd w:val="clear" w:color="000000" w:fill="DDEBF7"/>
            <w:noWrap/>
            <w:vAlign w:val="bottom"/>
            <w:hideMark/>
          </w:tcPr>
          <w:p w14:paraId="642369E0"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Cameroon</w:t>
            </w:r>
          </w:p>
        </w:tc>
        <w:tc>
          <w:tcPr>
            <w:tcW w:w="1450" w:type="dxa"/>
            <w:tcBorders>
              <w:top w:val="nil"/>
              <w:left w:val="nil"/>
              <w:bottom w:val="nil"/>
              <w:right w:val="nil"/>
            </w:tcBorders>
            <w:shd w:val="clear" w:color="000000" w:fill="DDEBF7"/>
            <w:noWrap/>
            <w:vAlign w:val="bottom"/>
            <w:hideMark/>
          </w:tcPr>
          <w:p w14:paraId="3DA1A784"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2</w:t>
            </w:r>
          </w:p>
        </w:tc>
        <w:tc>
          <w:tcPr>
            <w:tcW w:w="1679" w:type="dxa"/>
            <w:tcBorders>
              <w:top w:val="nil"/>
              <w:left w:val="nil"/>
              <w:bottom w:val="nil"/>
              <w:right w:val="single" w:sz="4" w:space="0" w:color="auto"/>
            </w:tcBorders>
            <w:shd w:val="clear" w:color="000000" w:fill="DDEBF7"/>
            <w:noWrap/>
            <w:vAlign w:val="bottom"/>
            <w:hideMark/>
          </w:tcPr>
          <w:p w14:paraId="7DA4576E"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-14</w:t>
            </w:r>
          </w:p>
        </w:tc>
        <w:tc>
          <w:tcPr>
            <w:tcW w:w="1565" w:type="dxa"/>
            <w:tcBorders>
              <w:top w:val="nil"/>
              <w:left w:val="nil"/>
              <w:bottom w:val="nil"/>
              <w:right w:val="nil"/>
            </w:tcBorders>
            <w:shd w:val="clear" w:color="000000" w:fill="DDEBF7"/>
            <w:noWrap/>
            <w:vAlign w:val="bottom"/>
            <w:hideMark/>
          </w:tcPr>
          <w:p w14:paraId="24BB070E"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13</w:t>
            </w:r>
          </w:p>
        </w:tc>
        <w:tc>
          <w:tcPr>
            <w:tcW w:w="1812" w:type="dxa"/>
            <w:tcBorders>
              <w:top w:val="nil"/>
              <w:left w:val="nil"/>
              <w:bottom w:val="nil"/>
              <w:right w:val="single" w:sz="8" w:space="0" w:color="auto"/>
            </w:tcBorders>
            <w:shd w:val="clear" w:color="000000" w:fill="DDEBF7"/>
            <w:noWrap/>
            <w:vAlign w:val="bottom"/>
            <w:hideMark/>
          </w:tcPr>
          <w:p w14:paraId="360A73BC"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-13</w:t>
            </w:r>
          </w:p>
        </w:tc>
        <w:tc>
          <w:tcPr>
            <w:tcW w:w="222" w:type="dxa"/>
            <w:tcBorders>
              <w:top w:val="nil"/>
              <w:left w:val="nil"/>
              <w:bottom w:val="nil"/>
              <w:right w:val="nil"/>
            </w:tcBorders>
            <w:shd w:val="clear" w:color="auto" w:fill="auto"/>
            <w:noWrap/>
            <w:vAlign w:val="bottom"/>
            <w:hideMark/>
          </w:tcPr>
          <w:p w14:paraId="4A06D05C" w14:textId="77777777" w:rsidR="00EC4460" w:rsidRPr="00EC4460" w:rsidRDefault="00EC4460" w:rsidP="00EC4460">
            <w:pPr>
              <w:spacing w:after="0" w:line="240" w:lineRule="auto"/>
              <w:jc w:val="center"/>
              <w:rPr>
                <w:rFonts w:ascii="Calibri" w:eastAsia="Times New Roman" w:hAnsi="Calibri" w:cs="Calibri"/>
                <w:color w:val="000000"/>
                <w:lang w:eastAsia="en-GB"/>
              </w:rPr>
            </w:pPr>
          </w:p>
        </w:tc>
      </w:tr>
      <w:tr w:rsidR="00EC4460" w:rsidRPr="00EC4460" w14:paraId="520F2F06" w14:textId="77777777" w:rsidTr="00E86245">
        <w:trPr>
          <w:trHeight w:val="288"/>
        </w:trPr>
        <w:tc>
          <w:tcPr>
            <w:tcW w:w="2298" w:type="dxa"/>
            <w:tcBorders>
              <w:top w:val="nil"/>
              <w:left w:val="single" w:sz="8" w:space="0" w:color="auto"/>
              <w:bottom w:val="nil"/>
              <w:right w:val="nil"/>
            </w:tcBorders>
            <w:shd w:val="clear" w:color="000000" w:fill="DDEBF7"/>
            <w:noWrap/>
            <w:vAlign w:val="bottom"/>
            <w:hideMark/>
          </w:tcPr>
          <w:p w14:paraId="3C8F3DA7"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Congo</w:t>
            </w:r>
          </w:p>
        </w:tc>
        <w:tc>
          <w:tcPr>
            <w:tcW w:w="1450" w:type="dxa"/>
            <w:tcBorders>
              <w:top w:val="nil"/>
              <w:left w:val="nil"/>
              <w:bottom w:val="nil"/>
              <w:right w:val="nil"/>
            </w:tcBorders>
            <w:shd w:val="clear" w:color="000000" w:fill="DDEBF7"/>
            <w:noWrap/>
            <w:vAlign w:val="bottom"/>
            <w:hideMark/>
          </w:tcPr>
          <w:p w14:paraId="5E3D0E01"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3</w:t>
            </w:r>
          </w:p>
        </w:tc>
        <w:tc>
          <w:tcPr>
            <w:tcW w:w="1679" w:type="dxa"/>
            <w:tcBorders>
              <w:top w:val="nil"/>
              <w:left w:val="nil"/>
              <w:bottom w:val="nil"/>
              <w:right w:val="single" w:sz="4" w:space="0" w:color="auto"/>
            </w:tcBorders>
            <w:shd w:val="clear" w:color="000000" w:fill="DDEBF7"/>
            <w:noWrap/>
            <w:vAlign w:val="bottom"/>
            <w:hideMark/>
          </w:tcPr>
          <w:p w14:paraId="674F2124"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-10</w:t>
            </w:r>
          </w:p>
        </w:tc>
        <w:tc>
          <w:tcPr>
            <w:tcW w:w="1565" w:type="dxa"/>
            <w:tcBorders>
              <w:top w:val="nil"/>
              <w:left w:val="nil"/>
              <w:bottom w:val="nil"/>
              <w:right w:val="nil"/>
            </w:tcBorders>
            <w:shd w:val="clear" w:color="000000" w:fill="DDEBF7"/>
            <w:noWrap/>
            <w:vAlign w:val="bottom"/>
            <w:hideMark/>
          </w:tcPr>
          <w:p w14:paraId="61B747AE"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9</w:t>
            </w:r>
          </w:p>
        </w:tc>
        <w:tc>
          <w:tcPr>
            <w:tcW w:w="1812" w:type="dxa"/>
            <w:tcBorders>
              <w:top w:val="nil"/>
              <w:left w:val="nil"/>
              <w:bottom w:val="nil"/>
              <w:right w:val="single" w:sz="8" w:space="0" w:color="auto"/>
            </w:tcBorders>
            <w:shd w:val="clear" w:color="000000" w:fill="DDEBF7"/>
            <w:noWrap/>
            <w:vAlign w:val="bottom"/>
            <w:hideMark/>
          </w:tcPr>
          <w:p w14:paraId="4F45C3BD"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-6</w:t>
            </w:r>
          </w:p>
        </w:tc>
        <w:tc>
          <w:tcPr>
            <w:tcW w:w="222" w:type="dxa"/>
            <w:tcBorders>
              <w:top w:val="nil"/>
              <w:left w:val="nil"/>
              <w:bottom w:val="nil"/>
              <w:right w:val="nil"/>
            </w:tcBorders>
            <w:shd w:val="clear" w:color="auto" w:fill="auto"/>
            <w:noWrap/>
            <w:vAlign w:val="bottom"/>
            <w:hideMark/>
          </w:tcPr>
          <w:p w14:paraId="42730838" w14:textId="77777777" w:rsidR="00EC4460" w:rsidRPr="00EC4460" w:rsidRDefault="00EC4460" w:rsidP="00EC4460">
            <w:pPr>
              <w:spacing w:after="0" w:line="240" w:lineRule="auto"/>
              <w:jc w:val="center"/>
              <w:rPr>
                <w:rFonts w:ascii="Calibri" w:eastAsia="Times New Roman" w:hAnsi="Calibri" w:cs="Calibri"/>
                <w:color w:val="000000"/>
                <w:lang w:eastAsia="en-GB"/>
              </w:rPr>
            </w:pPr>
          </w:p>
        </w:tc>
      </w:tr>
      <w:tr w:rsidR="00EC4460" w:rsidRPr="00EC4460" w14:paraId="67F6EF13" w14:textId="77777777" w:rsidTr="00E86245">
        <w:trPr>
          <w:trHeight w:val="288"/>
        </w:trPr>
        <w:tc>
          <w:tcPr>
            <w:tcW w:w="2298" w:type="dxa"/>
            <w:tcBorders>
              <w:top w:val="nil"/>
              <w:left w:val="single" w:sz="8" w:space="0" w:color="auto"/>
              <w:bottom w:val="nil"/>
              <w:right w:val="nil"/>
            </w:tcBorders>
            <w:shd w:val="clear" w:color="000000" w:fill="DDEBF7"/>
            <w:noWrap/>
            <w:vAlign w:val="bottom"/>
            <w:hideMark/>
          </w:tcPr>
          <w:p w14:paraId="2B8BDB7D"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Cote d'Ivoire</w:t>
            </w:r>
          </w:p>
        </w:tc>
        <w:tc>
          <w:tcPr>
            <w:tcW w:w="1450" w:type="dxa"/>
            <w:tcBorders>
              <w:top w:val="nil"/>
              <w:left w:val="nil"/>
              <w:bottom w:val="nil"/>
              <w:right w:val="nil"/>
            </w:tcBorders>
            <w:shd w:val="clear" w:color="000000" w:fill="DDEBF7"/>
            <w:noWrap/>
            <w:vAlign w:val="bottom"/>
            <w:hideMark/>
          </w:tcPr>
          <w:p w14:paraId="2F7009E0"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w:t>
            </w:r>
          </w:p>
        </w:tc>
        <w:tc>
          <w:tcPr>
            <w:tcW w:w="1679" w:type="dxa"/>
            <w:tcBorders>
              <w:top w:val="nil"/>
              <w:left w:val="nil"/>
              <w:bottom w:val="nil"/>
              <w:right w:val="single" w:sz="4" w:space="0" w:color="auto"/>
            </w:tcBorders>
            <w:shd w:val="clear" w:color="000000" w:fill="DDEBF7"/>
            <w:noWrap/>
            <w:vAlign w:val="bottom"/>
            <w:hideMark/>
          </w:tcPr>
          <w:p w14:paraId="7837AA71"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-18</w:t>
            </w:r>
          </w:p>
        </w:tc>
        <w:tc>
          <w:tcPr>
            <w:tcW w:w="1565" w:type="dxa"/>
            <w:tcBorders>
              <w:top w:val="nil"/>
              <w:left w:val="nil"/>
              <w:bottom w:val="nil"/>
              <w:right w:val="nil"/>
            </w:tcBorders>
            <w:shd w:val="clear" w:color="000000" w:fill="DDEBF7"/>
            <w:noWrap/>
            <w:vAlign w:val="bottom"/>
            <w:hideMark/>
          </w:tcPr>
          <w:p w14:paraId="0A92A99D"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4</w:t>
            </w:r>
          </w:p>
        </w:tc>
        <w:tc>
          <w:tcPr>
            <w:tcW w:w="1812" w:type="dxa"/>
            <w:tcBorders>
              <w:top w:val="nil"/>
              <w:left w:val="nil"/>
              <w:bottom w:val="nil"/>
              <w:right w:val="single" w:sz="8" w:space="0" w:color="auto"/>
            </w:tcBorders>
            <w:shd w:val="clear" w:color="000000" w:fill="DDEBF7"/>
            <w:noWrap/>
            <w:vAlign w:val="bottom"/>
            <w:hideMark/>
          </w:tcPr>
          <w:p w14:paraId="3781A98D"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-14</w:t>
            </w:r>
          </w:p>
        </w:tc>
        <w:tc>
          <w:tcPr>
            <w:tcW w:w="222" w:type="dxa"/>
            <w:tcBorders>
              <w:top w:val="nil"/>
              <w:left w:val="nil"/>
              <w:bottom w:val="nil"/>
              <w:right w:val="nil"/>
            </w:tcBorders>
            <w:shd w:val="clear" w:color="auto" w:fill="auto"/>
            <w:noWrap/>
            <w:vAlign w:val="bottom"/>
            <w:hideMark/>
          </w:tcPr>
          <w:p w14:paraId="045264F0" w14:textId="77777777" w:rsidR="00EC4460" w:rsidRPr="00EC4460" w:rsidRDefault="00EC4460" w:rsidP="00EC4460">
            <w:pPr>
              <w:spacing w:after="0" w:line="240" w:lineRule="auto"/>
              <w:jc w:val="center"/>
              <w:rPr>
                <w:rFonts w:ascii="Calibri" w:eastAsia="Times New Roman" w:hAnsi="Calibri" w:cs="Calibri"/>
                <w:color w:val="000000"/>
                <w:lang w:eastAsia="en-GB"/>
              </w:rPr>
            </w:pPr>
          </w:p>
        </w:tc>
      </w:tr>
      <w:tr w:rsidR="00EC4460" w:rsidRPr="00EC4460" w14:paraId="2C0D076C" w14:textId="77777777" w:rsidTr="00E86245">
        <w:trPr>
          <w:trHeight w:val="288"/>
        </w:trPr>
        <w:tc>
          <w:tcPr>
            <w:tcW w:w="2298" w:type="dxa"/>
            <w:tcBorders>
              <w:top w:val="nil"/>
              <w:left w:val="single" w:sz="8" w:space="0" w:color="auto"/>
              <w:bottom w:val="nil"/>
              <w:right w:val="nil"/>
            </w:tcBorders>
            <w:shd w:val="clear" w:color="000000" w:fill="DDEBF7"/>
            <w:noWrap/>
            <w:vAlign w:val="bottom"/>
            <w:hideMark/>
          </w:tcPr>
          <w:p w14:paraId="073EAC55"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Niger</w:t>
            </w:r>
          </w:p>
        </w:tc>
        <w:tc>
          <w:tcPr>
            <w:tcW w:w="1450" w:type="dxa"/>
            <w:tcBorders>
              <w:top w:val="nil"/>
              <w:left w:val="nil"/>
              <w:bottom w:val="nil"/>
              <w:right w:val="nil"/>
            </w:tcBorders>
            <w:shd w:val="clear" w:color="000000" w:fill="DDEBF7"/>
            <w:noWrap/>
            <w:vAlign w:val="bottom"/>
            <w:hideMark/>
          </w:tcPr>
          <w:p w14:paraId="0A65F919"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7</w:t>
            </w:r>
          </w:p>
        </w:tc>
        <w:tc>
          <w:tcPr>
            <w:tcW w:w="1679" w:type="dxa"/>
            <w:tcBorders>
              <w:top w:val="nil"/>
              <w:left w:val="nil"/>
              <w:bottom w:val="nil"/>
              <w:right w:val="single" w:sz="4" w:space="0" w:color="auto"/>
            </w:tcBorders>
            <w:shd w:val="clear" w:color="000000" w:fill="DDEBF7"/>
            <w:noWrap/>
            <w:vAlign w:val="bottom"/>
            <w:hideMark/>
          </w:tcPr>
          <w:p w14:paraId="0511DAC0"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-29</w:t>
            </w:r>
          </w:p>
        </w:tc>
        <w:tc>
          <w:tcPr>
            <w:tcW w:w="1565" w:type="dxa"/>
            <w:tcBorders>
              <w:top w:val="nil"/>
              <w:left w:val="nil"/>
              <w:bottom w:val="nil"/>
              <w:right w:val="nil"/>
            </w:tcBorders>
            <w:shd w:val="clear" w:color="000000" w:fill="DDEBF7"/>
            <w:noWrap/>
            <w:vAlign w:val="bottom"/>
            <w:hideMark/>
          </w:tcPr>
          <w:p w14:paraId="1901A0BD"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20</w:t>
            </w:r>
          </w:p>
        </w:tc>
        <w:tc>
          <w:tcPr>
            <w:tcW w:w="1812" w:type="dxa"/>
            <w:tcBorders>
              <w:top w:val="nil"/>
              <w:left w:val="nil"/>
              <w:bottom w:val="nil"/>
              <w:right w:val="single" w:sz="8" w:space="0" w:color="auto"/>
            </w:tcBorders>
            <w:shd w:val="clear" w:color="000000" w:fill="DDEBF7"/>
            <w:noWrap/>
            <w:vAlign w:val="bottom"/>
            <w:hideMark/>
          </w:tcPr>
          <w:p w14:paraId="6E8033D8"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-28</w:t>
            </w:r>
          </w:p>
        </w:tc>
        <w:tc>
          <w:tcPr>
            <w:tcW w:w="222" w:type="dxa"/>
            <w:tcBorders>
              <w:top w:val="nil"/>
              <w:left w:val="nil"/>
              <w:bottom w:val="nil"/>
              <w:right w:val="nil"/>
            </w:tcBorders>
            <w:shd w:val="clear" w:color="auto" w:fill="auto"/>
            <w:noWrap/>
            <w:vAlign w:val="bottom"/>
            <w:hideMark/>
          </w:tcPr>
          <w:p w14:paraId="4751E6B8" w14:textId="77777777" w:rsidR="00EC4460" w:rsidRPr="00EC4460" w:rsidRDefault="00EC4460" w:rsidP="00EC4460">
            <w:pPr>
              <w:spacing w:after="0" w:line="240" w:lineRule="auto"/>
              <w:jc w:val="center"/>
              <w:rPr>
                <w:rFonts w:ascii="Calibri" w:eastAsia="Times New Roman" w:hAnsi="Calibri" w:cs="Calibri"/>
                <w:color w:val="000000"/>
                <w:lang w:eastAsia="en-GB"/>
              </w:rPr>
            </w:pPr>
          </w:p>
        </w:tc>
      </w:tr>
      <w:tr w:rsidR="00EC4460" w:rsidRPr="00EC4460" w14:paraId="2F4593B1" w14:textId="77777777" w:rsidTr="00E86245">
        <w:trPr>
          <w:trHeight w:val="288"/>
        </w:trPr>
        <w:tc>
          <w:tcPr>
            <w:tcW w:w="2298" w:type="dxa"/>
            <w:tcBorders>
              <w:top w:val="nil"/>
              <w:left w:val="single" w:sz="8" w:space="0" w:color="auto"/>
              <w:bottom w:val="nil"/>
              <w:right w:val="nil"/>
            </w:tcBorders>
            <w:shd w:val="clear" w:color="000000" w:fill="DDEBF7"/>
            <w:noWrap/>
            <w:vAlign w:val="bottom"/>
            <w:hideMark/>
          </w:tcPr>
          <w:p w14:paraId="0AE28744"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Senegal</w:t>
            </w:r>
          </w:p>
        </w:tc>
        <w:tc>
          <w:tcPr>
            <w:tcW w:w="1450" w:type="dxa"/>
            <w:tcBorders>
              <w:top w:val="nil"/>
              <w:left w:val="nil"/>
              <w:bottom w:val="nil"/>
              <w:right w:val="nil"/>
            </w:tcBorders>
            <w:shd w:val="clear" w:color="000000" w:fill="DDEBF7"/>
            <w:noWrap/>
            <w:vAlign w:val="bottom"/>
            <w:hideMark/>
          </w:tcPr>
          <w:p w14:paraId="2F6BE4B1"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w:t>
            </w:r>
          </w:p>
        </w:tc>
        <w:tc>
          <w:tcPr>
            <w:tcW w:w="1679" w:type="dxa"/>
            <w:tcBorders>
              <w:top w:val="nil"/>
              <w:left w:val="nil"/>
              <w:bottom w:val="nil"/>
              <w:right w:val="single" w:sz="4" w:space="0" w:color="auto"/>
            </w:tcBorders>
            <w:shd w:val="clear" w:color="000000" w:fill="DDEBF7"/>
            <w:noWrap/>
            <w:vAlign w:val="bottom"/>
            <w:hideMark/>
          </w:tcPr>
          <w:p w14:paraId="59311B7D"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-20</w:t>
            </w:r>
          </w:p>
        </w:tc>
        <w:tc>
          <w:tcPr>
            <w:tcW w:w="1565" w:type="dxa"/>
            <w:tcBorders>
              <w:top w:val="nil"/>
              <w:left w:val="nil"/>
              <w:bottom w:val="nil"/>
              <w:right w:val="nil"/>
            </w:tcBorders>
            <w:shd w:val="clear" w:color="000000" w:fill="DDEBF7"/>
            <w:noWrap/>
            <w:vAlign w:val="bottom"/>
            <w:hideMark/>
          </w:tcPr>
          <w:p w14:paraId="4BF8654C"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-8</w:t>
            </w:r>
          </w:p>
        </w:tc>
        <w:tc>
          <w:tcPr>
            <w:tcW w:w="1812" w:type="dxa"/>
            <w:tcBorders>
              <w:top w:val="nil"/>
              <w:left w:val="nil"/>
              <w:bottom w:val="nil"/>
              <w:right w:val="single" w:sz="8" w:space="0" w:color="auto"/>
            </w:tcBorders>
            <w:shd w:val="clear" w:color="000000" w:fill="DDEBF7"/>
            <w:noWrap/>
            <w:vAlign w:val="bottom"/>
            <w:hideMark/>
          </w:tcPr>
          <w:p w14:paraId="1352FB1D"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-18</w:t>
            </w:r>
          </w:p>
        </w:tc>
        <w:tc>
          <w:tcPr>
            <w:tcW w:w="222" w:type="dxa"/>
            <w:tcBorders>
              <w:top w:val="nil"/>
              <w:left w:val="nil"/>
              <w:bottom w:val="nil"/>
              <w:right w:val="nil"/>
            </w:tcBorders>
            <w:shd w:val="clear" w:color="auto" w:fill="auto"/>
            <w:noWrap/>
            <w:vAlign w:val="bottom"/>
            <w:hideMark/>
          </w:tcPr>
          <w:p w14:paraId="71784D97" w14:textId="77777777" w:rsidR="00EC4460" w:rsidRPr="00EC4460" w:rsidRDefault="00EC4460" w:rsidP="00EC4460">
            <w:pPr>
              <w:spacing w:after="0" w:line="240" w:lineRule="auto"/>
              <w:jc w:val="center"/>
              <w:rPr>
                <w:rFonts w:ascii="Calibri" w:eastAsia="Times New Roman" w:hAnsi="Calibri" w:cs="Calibri"/>
                <w:color w:val="000000"/>
                <w:lang w:eastAsia="en-GB"/>
              </w:rPr>
            </w:pPr>
          </w:p>
        </w:tc>
      </w:tr>
      <w:tr w:rsidR="00EC4460" w:rsidRPr="00EC4460" w14:paraId="30F1D7AF" w14:textId="77777777" w:rsidTr="00E86245">
        <w:trPr>
          <w:trHeight w:val="288"/>
        </w:trPr>
        <w:tc>
          <w:tcPr>
            <w:tcW w:w="2298" w:type="dxa"/>
            <w:tcBorders>
              <w:top w:val="nil"/>
              <w:left w:val="single" w:sz="8" w:space="0" w:color="auto"/>
              <w:bottom w:val="nil"/>
              <w:right w:val="nil"/>
            </w:tcBorders>
            <w:shd w:val="clear" w:color="000000" w:fill="DDEBF7"/>
            <w:noWrap/>
            <w:vAlign w:val="bottom"/>
            <w:hideMark/>
          </w:tcPr>
          <w:p w14:paraId="1B3FAE44"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Tchad</w:t>
            </w:r>
          </w:p>
        </w:tc>
        <w:tc>
          <w:tcPr>
            <w:tcW w:w="1450" w:type="dxa"/>
            <w:tcBorders>
              <w:top w:val="nil"/>
              <w:left w:val="nil"/>
              <w:bottom w:val="nil"/>
              <w:right w:val="nil"/>
            </w:tcBorders>
            <w:shd w:val="clear" w:color="000000" w:fill="DDEBF7"/>
            <w:noWrap/>
            <w:vAlign w:val="bottom"/>
            <w:hideMark/>
          </w:tcPr>
          <w:p w14:paraId="750D2CAF"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3</w:t>
            </w:r>
          </w:p>
        </w:tc>
        <w:tc>
          <w:tcPr>
            <w:tcW w:w="1679" w:type="dxa"/>
            <w:tcBorders>
              <w:top w:val="nil"/>
              <w:left w:val="nil"/>
              <w:bottom w:val="nil"/>
              <w:right w:val="single" w:sz="4" w:space="0" w:color="auto"/>
            </w:tcBorders>
            <w:shd w:val="clear" w:color="000000" w:fill="DDEBF7"/>
            <w:noWrap/>
            <w:vAlign w:val="bottom"/>
            <w:hideMark/>
          </w:tcPr>
          <w:p w14:paraId="15782871"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-8</w:t>
            </w:r>
          </w:p>
        </w:tc>
        <w:tc>
          <w:tcPr>
            <w:tcW w:w="1565" w:type="dxa"/>
            <w:tcBorders>
              <w:top w:val="nil"/>
              <w:left w:val="nil"/>
              <w:bottom w:val="nil"/>
              <w:right w:val="nil"/>
            </w:tcBorders>
            <w:shd w:val="clear" w:color="000000" w:fill="DDEBF7"/>
            <w:noWrap/>
            <w:vAlign w:val="bottom"/>
            <w:hideMark/>
          </w:tcPr>
          <w:p w14:paraId="3DB43C0F"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18</w:t>
            </w:r>
          </w:p>
        </w:tc>
        <w:tc>
          <w:tcPr>
            <w:tcW w:w="1812" w:type="dxa"/>
            <w:tcBorders>
              <w:top w:val="nil"/>
              <w:left w:val="nil"/>
              <w:bottom w:val="nil"/>
              <w:right w:val="single" w:sz="8" w:space="0" w:color="auto"/>
            </w:tcBorders>
            <w:shd w:val="clear" w:color="000000" w:fill="DDEBF7"/>
            <w:noWrap/>
            <w:vAlign w:val="bottom"/>
            <w:hideMark/>
          </w:tcPr>
          <w:p w14:paraId="4670F074"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-6</w:t>
            </w:r>
          </w:p>
        </w:tc>
        <w:tc>
          <w:tcPr>
            <w:tcW w:w="222" w:type="dxa"/>
            <w:tcBorders>
              <w:top w:val="nil"/>
              <w:left w:val="nil"/>
              <w:bottom w:val="nil"/>
              <w:right w:val="nil"/>
            </w:tcBorders>
            <w:shd w:val="clear" w:color="auto" w:fill="auto"/>
            <w:noWrap/>
            <w:vAlign w:val="bottom"/>
            <w:hideMark/>
          </w:tcPr>
          <w:p w14:paraId="75C56648" w14:textId="77777777" w:rsidR="00EC4460" w:rsidRPr="00EC4460" w:rsidRDefault="00EC4460" w:rsidP="00EC4460">
            <w:pPr>
              <w:spacing w:after="0" w:line="240" w:lineRule="auto"/>
              <w:jc w:val="center"/>
              <w:rPr>
                <w:rFonts w:ascii="Calibri" w:eastAsia="Times New Roman" w:hAnsi="Calibri" w:cs="Calibri"/>
                <w:color w:val="000000"/>
                <w:lang w:eastAsia="en-GB"/>
              </w:rPr>
            </w:pPr>
          </w:p>
        </w:tc>
      </w:tr>
      <w:tr w:rsidR="00EC4460" w:rsidRPr="00EC4460" w14:paraId="3C27BCF4" w14:textId="77777777" w:rsidTr="00E86245">
        <w:trPr>
          <w:trHeight w:val="300"/>
        </w:trPr>
        <w:tc>
          <w:tcPr>
            <w:tcW w:w="2298" w:type="dxa"/>
            <w:tcBorders>
              <w:top w:val="nil"/>
              <w:left w:val="single" w:sz="8" w:space="0" w:color="auto"/>
              <w:bottom w:val="single" w:sz="8" w:space="0" w:color="auto"/>
              <w:right w:val="nil"/>
            </w:tcBorders>
            <w:shd w:val="clear" w:color="000000" w:fill="DDEBF7"/>
            <w:noWrap/>
            <w:vAlign w:val="bottom"/>
            <w:hideMark/>
          </w:tcPr>
          <w:p w14:paraId="48EC3468" w14:textId="77777777" w:rsidR="00EC4460" w:rsidRPr="00EC4460" w:rsidRDefault="00EC4460" w:rsidP="00EC4460">
            <w:pPr>
              <w:spacing w:after="0" w:line="240" w:lineRule="auto"/>
              <w:rPr>
                <w:rFonts w:ascii="Calibri" w:eastAsia="Times New Roman" w:hAnsi="Calibri" w:cs="Calibri"/>
                <w:color w:val="000000"/>
                <w:lang w:eastAsia="en-GB"/>
              </w:rPr>
            </w:pPr>
            <w:r w:rsidRPr="00EC4460">
              <w:rPr>
                <w:rFonts w:ascii="Calibri" w:eastAsia="Times New Roman" w:hAnsi="Calibri" w:cs="Calibri"/>
                <w:color w:val="000000"/>
                <w:lang w:eastAsia="en-GB"/>
              </w:rPr>
              <w:t>Togo</w:t>
            </w:r>
          </w:p>
        </w:tc>
        <w:tc>
          <w:tcPr>
            <w:tcW w:w="1450" w:type="dxa"/>
            <w:tcBorders>
              <w:top w:val="nil"/>
              <w:left w:val="nil"/>
              <w:bottom w:val="single" w:sz="8" w:space="0" w:color="auto"/>
              <w:right w:val="nil"/>
            </w:tcBorders>
            <w:shd w:val="clear" w:color="000000" w:fill="DDEBF7"/>
            <w:noWrap/>
            <w:vAlign w:val="bottom"/>
            <w:hideMark/>
          </w:tcPr>
          <w:p w14:paraId="28A35FD6"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4</w:t>
            </w:r>
          </w:p>
        </w:tc>
        <w:tc>
          <w:tcPr>
            <w:tcW w:w="1679" w:type="dxa"/>
            <w:tcBorders>
              <w:top w:val="nil"/>
              <w:left w:val="nil"/>
              <w:bottom w:val="single" w:sz="8" w:space="0" w:color="auto"/>
              <w:right w:val="single" w:sz="4" w:space="0" w:color="auto"/>
            </w:tcBorders>
            <w:shd w:val="clear" w:color="000000" w:fill="DDEBF7"/>
            <w:noWrap/>
            <w:vAlign w:val="bottom"/>
            <w:hideMark/>
          </w:tcPr>
          <w:p w14:paraId="1EA0575B"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-9</w:t>
            </w:r>
          </w:p>
        </w:tc>
        <w:tc>
          <w:tcPr>
            <w:tcW w:w="1565" w:type="dxa"/>
            <w:tcBorders>
              <w:top w:val="nil"/>
              <w:left w:val="nil"/>
              <w:bottom w:val="single" w:sz="8" w:space="0" w:color="auto"/>
              <w:right w:val="nil"/>
            </w:tcBorders>
            <w:shd w:val="clear" w:color="000000" w:fill="DDEBF7"/>
            <w:noWrap/>
            <w:vAlign w:val="bottom"/>
            <w:hideMark/>
          </w:tcPr>
          <w:p w14:paraId="084403E5"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10</w:t>
            </w:r>
          </w:p>
        </w:tc>
        <w:tc>
          <w:tcPr>
            <w:tcW w:w="1812" w:type="dxa"/>
            <w:tcBorders>
              <w:top w:val="nil"/>
              <w:left w:val="nil"/>
              <w:bottom w:val="single" w:sz="8" w:space="0" w:color="auto"/>
              <w:right w:val="single" w:sz="8" w:space="0" w:color="auto"/>
            </w:tcBorders>
            <w:shd w:val="clear" w:color="000000" w:fill="DDEBF7"/>
            <w:noWrap/>
            <w:vAlign w:val="bottom"/>
            <w:hideMark/>
          </w:tcPr>
          <w:p w14:paraId="345626C2" w14:textId="77777777" w:rsidR="00EC4460" w:rsidRPr="00EC4460" w:rsidRDefault="00EC4460" w:rsidP="00EC4460">
            <w:pPr>
              <w:spacing w:after="0" w:line="240" w:lineRule="auto"/>
              <w:jc w:val="center"/>
              <w:rPr>
                <w:rFonts w:ascii="Calibri" w:eastAsia="Times New Roman" w:hAnsi="Calibri" w:cs="Calibri"/>
                <w:color w:val="000000"/>
                <w:lang w:eastAsia="en-GB"/>
              </w:rPr>
            </w:pPr>
            <w:r w:rsidRPr="00EC4460">
              <w:rPr>
                <w:rFonts w:ascii="Calibri" w:eastAsia="Times New Roman" w:hAnsi="Calibri" w:cs="Calibri"/>
                <w:color w:val="000000"/>
                <w:lang w:eastAsia="en-GB"/>
              </w:rPr>
              <w:t>-11</w:t>
            </w:r>
          </w:p>
        </w:tc>
        <w:tc>
          <w:tcPr>
            <w:tcW w:w="222" w:type="dxa"/>
            <w:tcBorders>
              <w:top w:val="nil"/>
              <w:left w:val="nil"/>
              <w:bottom w:val="nil"/>
              <w:right w:val="nil"/>
            </w:tcBorders>
            <w:shd w:val="clear" w:color="auto" w:fill="auto"/>
            <w:noWrap/>
            <w:vAlign w:val="bottom"/>
            <w:hideMark/>
          </w:tcPr>
          <w:p w14:paraId="6819ADA7" w14:textId="77777777" w:rsidR="00EC4460" w:rsidRPr="00EC4460" w:rsidRDefault="00EC4460" w:rsidP="00EC4460">
            <w:pPr>
              <w:spacing w:after="0" w:line="240" w:lineRule="auto"/>
              <w:jc w:val="center"/>
              <w:rPr>
                <w:rFonts w:ascii="Calibri" w:eastAsia="Times New Roman" w:hAnsi="Calibri" w:cs="Calibri"/>
                <w:color w:val="000000"/>
                <w:lang w:eastAsia="en-GB"/>
              </w:rPr>
            </w:pPr>
          </w:p>
        </w:tc>
      </w:tr>
    </w:tbl>
    <w:p w14:paraId="5B88BBF3" w14:textId="77777777" w:rsidR="003832D8" w:rsidRDefault="003832D8" w:rsidP="001D15BD">
      <w:pPr>
        <w:jc w:val="both"/>
        <w:rPr>
          <w:sz w:val="28"/>
          <w:szCs w:val="28"/>
        </w:rPr>
      </w:pPr>
    </w:p>
    <w:p w14:paraId="279F34EB" w14:textId="77777777" w:rsidR="003832D8" w:rsidRDefault="003832D8">
      <w:pPr>
        <w:rPr>
          <w:sz w:val="28"/>
          <w:szCs w:val="28"/>
        </w:rPr>
      </w:pPr>
      <w:r>
        <w:rPr>
          <w:sz w:val="28"/>
          <w:szCs w:val="28"/>
        </w:rPr>
        <w:br w:type="page"/>
      </w:r>
    </w:p>
    <w:p w14:paraId="21BDD478" w14:textId="77777777" w:rsidR="003E7C95" w:rsidRDefault="003832D8" w:rsidP="001D15BD">
      <w:pPr>
        <w:jc w:val="both"/>
        <w:rPr>
          <w:sz w:val="28"/>
          <w:szCs w:val="28"/>
        </w:rPr>
      </w:pPr>
      <w:r>
        <w:rPr>
          <w:noProof/>
          <w:lang w:eastAsia="en-GB"/>
        </w:rPr>
        <w:lastRenderedPageBreak/>
        <w:drawing>
          <wp:inline distT="0" distB="0" distL="0" distR="0" wp14:anchorId="68B24D0B" wp14:editId="1B429589">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8CC2CF" w14:textId="77777777" w:rsidR="00A56D1D" w:rsidRDefault="00A56D1D" w:rsidP="001D15BD">
      <w:pPr>
        <w:jc w:val="both"/>
        <w:rPr>
          <w:sz w:val="28"/>
          <w:szCs w:val="28"/>
        </w:rPr>
      </w:pPr>
    </w:p>
    <w:p w14:paraId="551A300D" w14:textId="77777777" w:rsidR="00A56D1D" w:rsidRDefault="00A56D1D" w:rsidP="001D15BD">
      <w:pPr>
        <w:jc w:val="both"/>
        <w:rPr>
          <w:sz w:val="28"/>
          <w:szCs w:val="28"/>
        </w:rPr>
      </w:pPr>
      <w:r>
        <w:rPr>
          <w:noProof/>
          <w:lang w:eastAsia="en-GB"/>
        </w:rPr>
        <w:drawing>
          <wp:inline distT="0" distB="0" distL="0" distR="0" wp14:anchorId="646F69E1" wp14:editId="213DD70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A56D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48BF2" w14:textId="77777777" w:rsidR="00154A5F" w:rsidRDefault="00154A5F" w:rsidP="009D604C">
      <w:pPr>
        <w:spacing w:after="0" w:line="240" w:lineRule="auto"/>
      </w:pPr>
      <w:r>
        <w:separator/>
      </w:r>
    </w:p>
  </w:endnote>
  <w:endnote w:type="continuationSeparator" w:id="0">
    <w:p w14:paraId="6677A3B9" w14:textId="77777777" w:rsidR="00154A5F" w:rsidRDefault="00154A5F" w:rsidP="009D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0E664" w14:textId="77777777" w:rsidR="00154A5F" w:rsidRDefault="00154A5F" w:rsidP="009D604C">
      <w:pPr>
        <w:spacing w:after="0" w:line="240" w:lineRule="auto"/>
      </w:pPr>
      <w:r>
        <w:separator/>
      </w:r>
    </w:p>
  </w:footnote>
  <w:footnote w:type="continuationSeparator" w:id="0">
    <w:p w14:paraId="1DB73F2F" w14:textId="77777777" w:rsidR="00154A5F" w:rsidRDefault="00154A5F" w:rsidP="009D604C">
      <w:pPr>
        <w:spacing w:after="0" w:line="240" w:lineRule="auto"/>
      </w:pPr>
      <w:r>
        <w:continuationSeparator/>
      </w:r>
    </w:p>
  </w:footnote>
  <w:footnote w:id="1">
    <w:p w14:paraId="7C118848" w14:textId="77777777" w:rsidR="00FC7877" w:rsidRPr="00C52673" w:rsidRDefault="00FC7877" w:rsidP="00832138">
      <w:pPr>
        <w:pStyle w:val="FootnoteText"/>
        <w:jc w:val="both"/>
        <w:rPr>
          <w:rFonts w:asciiTheme="majorHAnsi" w:hAnsiTheme="majorHAnsi" w:cstheme="majorHAnsi"/>
          <w:sz w:val="24"/>
          <w:szCs w:val="24"/>
        </w:rPr>
      </w:pPr>
      <w:r w:rsidRPr="00C52673">
        <w:rPr>
          <w:rStyle w:val="FootnoteReference"/>
          <w:rFonts w:asciiTheme="majorHAnsi" w:hAnsiTheme="majorHAnsi" w:cstheme="majorHAnsi"/>
          <w:sz w:val="24"/>
          <w:szCs w:val="24"/>
        </w:rPr>
        <w:footnoteRef/>
      </w:r>
      <w:r w:rsidRPr="00C52673">
        <w:rPr>
          <w:rFonts w:asciiTheme="majorHAnsi" w:hAnsiTheme="majorHAnsi" w:cstheme="majorHAnsi"/>
          <w:sz w:val="24"/>
          <w:szCs w:val="24"/>
        </w:rPr>
        <w:t xml:space="preserve"> The PASEC central survey team is based in Dakar, Senegal and operates under the organisational auspices of Conference des </w:t>
      </w:r>
      <w:proofErr w:type="spellStart"/>
      <w:r w:rsidRPr="00C52673">
        <w:rPr>
          <w:rFonts w:asciiTheme="majorHAnsi" w:hAnsiTheme="majorHAnsi" w:cstheme="majorHAnsi"/>
          <w:sz w:val="24"/>
          <w:szCs w:val="24"/>
        </w:rPr>
        <w:t>ministres</w:t>
      </w:r>
      <w:proofErr w:type="spellEnd"/>
      <w:r w:rsidRPr="00C52673">
        <w:rPr>
          <w:rFonts w:asciiTheme="majorHAnsi" w:hAnsiTheme="majorHAnsi" w:cstheme="majorHAnsi"/>
          <w:sz w:val="24"/>
          <w:szCs w:val="24"/>
        </w:rPr>
        <w:t xml:space="preserve"> de </w:t>
      </w:r>
      <w:proofErr w:type="spellStart"/>
      <w:r w:rsidRPr="00C52673">
        <w:rPr>
          <w:rFonts w:asciiTheme="majorHAnsi" w:hAnsiTheme="majorHAnsi" w:cstheme="majorHAnsi"/>
          <w:sz w:val="24"/>
          <w:szCs w:val="24"/>
        </w:rPr>
        <w:t>l’Education</w:t>
      </w:r>
      <w:proofErr w:type="spellEnd"/>
      <w:r w:rsidRPr="00C52673">
        <w:rPr>
          <w:rFonts w:asciiTheme="majorHAnsi" w:hAnsiTheme="majorHAnsi" w:cstheme="majorHAnsi"/>
          <w:sz w:val="24"/>
          <w:szCs w:val="24"/>
        </w:rPr>
        <w:t xml:space="preserve"> des </w:t>
      </w:r>
      <w:proofErr w:type="spellStart"/>
      <w:r w:rsidRPr="00C52673">
        <w:rPr>
          <w:rFonts w:asciiTheme="majorHAnsi" w:hAnsiTheme="majorHAnsi" w:cstheme="majorHAnsi"/>
          <w:sz w:val="24"/>
          <w:szCs w:val="24"/>
        </w:rPr>
        <w:t>Etats</w:t>
      </w:r>
      <w:proofErr w:type="spellEnd"/>
      <w:r w:rsidRPr="00C52673">
        <w:rPr>
          <w:rFonts w:asciiTheme="majorHAnsi" w:hAnsiTheme="majorHAnsi" w:cstheme="majorHAnsi"/>
          <w:sz w:val="24"/>
          <w:szCs w:val="24"/>
        </w:rPr>
        <w:t xml:space="preserve"> </w:t>
      </w:r>
      <w:proofErr w:type="spellStart"/>
      <w:r w:rsidRPr="00C52673">
        <w:rPr>
          <w:rFonts w:asciiTheme="majorHAnsi" w:hAnsiTheme="majorHAnsi" w:cstheme="majorHAnsi"/>
          <w:sz w:val="24"/>
          <w:szCs w:val="24"/>
        </w:rPr>
        <w:t>gouvernements</w:t>
      </w:r>
      <w:proofErr w:type="spellEnd"/>
      <w:r w:rsidRPr="00C52673">
        <w:rPr>
          <w:rFonts w:asciiTheme="majorHAnsi" w:hAnsiTheme="majorHAnsi" w:cstheme="majorHAnsi"/>
          <w:sz w:val="24"/>
          <w:szCs w:val="24"/>
        </w:rPr>
        <w:t xml:space="preserve"> de la Francophonie (</w:t>
      </w:r>
      <w:proofErr w:type="spellStart"/>
      <w:r w:rsidRPr="00C52673">
        <w:rPr>
          <w:rFonts w:asciiTheme="majorHAnsi" w:hAnsiTheme="majorHAnsi" w:cstheme="majorHAnsi"/>
          <w:sz w:val="24"/>
          <w:szCs w:val="24"/>
        </w:rPr>
        <w:t>Confemen</w:t>
      </w:r>
      <w:proofErr w:type="spellEnd"/>
      <w:r w:rsidRPr="00C52673">
        <w:rPr>
          <w:rFonts w:asciiTheme="majorHAnsi" w:hAnsiTheme="majorHAnsi" w:cstheme="majorHAnsi"/>
          <w:sz w:val="24"/>
          <w:szCs w:val="24"/>
        </w:rPr>
        <w:t xml:space="preserve">). </w:t>
      </w:r>
    </w:p>
  </w:footnote>
  <w:footnote w:id="2">
    <w:p w14:paraId="09E239B7" w14:textId="0EF7B2D3" w:rsidR="00FC7877" w:rsidRPr="00434A3F" w:rsidRDefault="00FC7877" w:rsidP="008C6891">
      <w:pPr>
        <w:pStyle w:val="FootnoteText"/>
        <w:jc w:val="both"/>
        <w:rPr>
          <w:rFonts w:asciiTheme="majorHAnsi" w:hAnsiTheme="majorHAnsi" w:cstheme="majorHAnsi"/>
          <w:sz w:val="24"/>
          <w:szCs w:val="24"/>
        </w:rPr>
      </w:pPr>
      <w:r w:rsidRPr="00434A3F">
        <w:rPr>
          <w:rStyle w:val="FootnoteReference"/>
          <w:rFonts w:asciiTheme="majorHAnsi" w:hAnsiTheme="majorHAnsi" w:cstheme="majorHAnsi"/>
        </w:rPr>
        <w:footnoteRef/>
      </w:r>
      <w:r w:rsidRPr="00434A3F">
        <w:rPr>
          <w:rFonts w:asciiTheme="majorHAnsi" w:hAnsiTheme="majorHAnsi" w:cstheme="majorHAnsi"/>
        </w:rPr>
        <w:t xml:space="preserve"> </w:t>
      </w:r>
      <w:r w:rsidR="00B343A7">
        <w:rPr>
          <w:rFonts w:asciiTheme="majorHAnsi" w:hAnsiTheme="majorHAnsi" w:cstheme="majorHAnsi"/>
          <w:sz w:val="24"/>
          <w:szCs w:val="24"/>
        </w:rPr>
        <w:t>Only five</w:t>
      </w:r>
      <w:r w:rsidRPr="00434A3F">
        <w:rPr>
          <w:rFonts w:asciiTheme="majorHAnsi" w:hAnsiTheme="majorHAnsi" w:cstheme="majorHAnsi"/>
          <w:sz w:val="24"/>
          <w:szCs w:val="24"/>
        </w:rPr>
        <w:t xml:space="preserve"> publications on private tutoring in Francophone West Africa are cited in the Bray review out of a total of over 50 country-specific studies in Africa as a whole. Only one of these has tutor</w:t>
      </w:r>
      <w:r>
        <w:rPr>
          <w:rFonts w:asciiTheme="majorHAnsi" w:hAnsiTheme="majorHAnsi" w:cstheme="majorHAnsi"/>
          <w:sz w:val="24"/>
          <w:szCs w:val="24"/>
        </w:rPr>
        <w:t>ing</w:t>
      </w:r>
      <w:r w:rsidRPr="00434A3F">
        <w:rPr>
          <w:rFonts w:asciiTheme="majorHAnsi" w:hAnsiTheme="majorHAnsi" w:cstheme="majorHAnsi"/>
          <w:sz w:val="24"/>
          <w:szCs w:val="24"/>
        </w:rPr>
        <w:t xml:space="preserve"> incidence statistics which are based on a small survey of 177 students in the senior grades in handful of elementary schools in Ouagadougou, Burkina Faso (</w:t>
      </w:r>
      <w:proofErr w:type="spellStart"/>
      <w:r w:rsidRPr="00434A3F">
        <w:rPr>
          <w:rFonts w:asciiTheme="majorHAnsi" w:hAnsiTheme="majorHAnsi" w:cstheme="majorHAnsi"/>
          <w:sz w:val="24"/>
          <w:szCs w:val="24"/>
        </w:rPr>
        <w:t>Ouattara</w:t>
      </w:r>
      <w:proofErr w:type="spellEnd"/>
      <w:r w:rsidRPr="00434A3F">
        <w:rPr>
          <w:rFonts w:asciiTheme="majorHAnsi" w:hAnsiTheme="majorHAnsi" w:cstheme="majorHAnsi"/>
          <w:sz w:val="24"/>
          <w:szCs w:val="24"/>
        </w:rPr>
        <w:t xml:space="preserve"> 2017). The remaining </w:t>
      </w:r>
      <w:r w:rsidR="00F53784">
        <w:rPr>
          <w:rFonts w:asciiTheme="majorHAnsi" w:hAnsiTheme="majorHAnsi" w:cstheme="majorHAnsi"/>
          <w:sz w:val="24"/>
          <w:szCs w:val="24"/>
        </w:rPr>
        <w:t>four s</w:t>
      </w:r>
      <w:r w:rsidRPr="00434A3F">
        <w:rPr>
          <w:rFonts w:asciiTheme="majorHAnsi" w:hAnsiTheme="majorHAnsi" w:cstheme="majorHAnsi"/>
          <w:sz w:val="24"/>
          <w:szCs w:val="24"/>
        </w:rPr>
        <w:t>tudies (in Togo (2) and Benin</w:t>
      </w:r>
      <w:r w:rsidR="00B343A7">
        <w:rPr>
          <w:rFonts w:asciiTheme="majorHAnsi" w:hAnsiTheme="majorHAnsi" w:cstheme="majorHAnsi"/>
          <w:sz w:val="24"/>
          <w:szCs w:val="24"/>
        </w:rPr>
        <w:t xml:space="preserve"> (2)</w:t>
      </w:r>
      <w:r w:rsidRPr="00434A3F">
        <w:rPr>
          <w:rFonts w:asciiTheme="majorHAnsi" w:hAnsiTheme="majorHAnsi" w:cstheme="majorHAnsi"/>
          <w:sz w:val="24"/>
          <w:szCs w:val="24"/>
        </w:rPr>
        <w:t xml:space="preserve">) rely mainly on anecdotal evidence on the incidence and patterns of tuition provision. See </w:t>
      </w:r>
      <w:proofErr w:type="spellStart"/>
      <w:r w:rsidRPr="00434A3F">
        <w:rPr>
          <w:rFonts w:asciiTheme="majorHAnsi" w:hAnsiTheme="majorHAnsi" w:cstheme="majorHAnsi"/>
          <w:sz w:val="24"/>
          <w:szCs w:val="24"/>
        </w:rPr>
        <w:t>Amouzou-Glikpa</w:t>
      </w:r>
      <w:proofErr w:type="spellEnd"/>
      <w:r w:rsidRPr="00434A3F">
        <w:rPr>
          <w:rFonts w:asciiTheme="majorHAnsi" w:hAnsiTheme="majorHAnsi" w:cstheme="majorHAnsi"/>
          <w:sz w:val="24"/>
          <w:szCs w:val="24"/>
        </w:rPr>
        <w:t xml:space="preserve"> 2018, </w:t>
      </w:r>
      <w:proofErr w:type="spellStart"/>
      <w:r w:rsidRPr="00434A3F">
        <w:rPr>
          <w:rFonts w:asciiTheme="majorHAnsi" w:hAnsiTheme="majorHAnsi" w:cstheme="majorHAnsi"/>
          <w:sz w:val="24"/>
          <w:szCs w:val="24"/>
        </w:rPr>
        <w:t>Yabouri</w:t>
      </w:r>
      <w:proofErr w:type="spellEnd"/>
      <w:r w:rsidRPr="00434A3F">
        <w:rPr>
          <w:rFonts w:asciiTheme="majorHAnsi" w:hAnsiTheme="majorHAnsi" w:cstheme="majorHAnsi"/>
          <w:sz w:val="24"/>
          <w:szCs w:val="24"/>
        </w:rPr>
        <w:t xml:space="preserve"> et al. 2010, </w:t>
      </w:r>
      <w:proofErr w:type="spellStart"/>
      <w:r w:rsidR="00B343A7">
        <w:rPr>
          <w:rFonts w:asciiTheme="majorHAnsi" w:hAnsiTheme="majorHAnsi" w:cstheme="majorHAnsi"/>
          <w:sz w:val="24"/>
          <w:szCs w:val="24"/>
        </w:rPr>
        <w:t>Napporn</w:t>
      </w:r>
      <w:proofErr w:type="spellEnd"/>
      <w:r w:rsidR="00B343A7">
        <w:rPr>
          <w:rFonts w:asciiTheme="majorHAnsi" w:hAnsiTheme="majorHAnsi" w:cstheme="majorHAnsi"/>
          <w:sz w:val="24"/>
          <w:szCs w:val="24"/>
        </w:rPr>
        <w:t xml:space="preserve">, </w:t>
      </w:r>
      <w:proofErr w:type="spellStart"/>
      <w:r w:rsidR="00F53784">
        <w:rPr>
          <w:rFonts w:asciiTheme="majorHAnsi" w:hAnsiTheme="majorHAnsi" w:cstheme="majorHAnsi"/>
          <w:sz w:val="24"/>
          <w:szCs w:val="24"/>
        </w:rPr>
        <w:t>Rahamane</w:t>
      </w:r>
      <w:proofErr w:type="spellEnd"/>
      <w:r w:rsidR="00F53784">
        <w:rPr>
          <w:rFonts w:asciiTheme="majorHAnsi" w:hAnsiTheme="majorHAnsi" w:cstheme="majorHAnsi"/>
          <w:sz w:val="24"/>
          <w:szCs w:val="24"/>
        </w:rPr>
        <w:t xml:space="preserve"> </w:t>
      </w:r>
      <w:r w:rsidR="00B343A7">
        <w:rPr>
          <w:rFonts w:asciiTheme="majorHAnsi" w:hAnsiTheme="majorHAnsi" w:cstheme="majorHAnsi"/>
          <w:sz w:val="24"/>
          <w:szCs w:val="24"/>
        </w:rPr>
        <w:t xml:space="preserve">2013 </w:t>
      </w:r>
      <w:r w:rsidRPr="00434A3F">
        <w:rPr>
          <w:rFonts w:asciiTheme="majorHAnsi" w:hAnsiTheme="majorHAnsi" w:cstheme="majorHAnsi"/>
          <w:sz w:val="24"/>
          <w:szCs w:val="24"/>
        </w:rPr>
        <w:t xml:space="preserve">and </w:t>
      </w:r>
      <w:proofErr w:type="spellStart"/>
      <w:r w:rsidRPr="00434A3F">
        <w:rPr>
          <w:rFonts w:asciiTheme="majorHAnsi" w:hAnsiTheme="majorHAnsi" w:cstheme="majorHAnsi"/>
          <w:sz w:val="24"/>
          <w:szCs w:val="24"/>
        </w:rPr>
        <w:t>Houessou</w:t>
      </w:r>
      <w:proofErr w:type="spellEnd"/>
      <w:r w:rsidRPr="00434A3F">
        <w:rPr>
          <w:rFonts w:asciiTheme="majorHAnsi" w:hAnsiTheme="majorHAnsi" w:cstheme="majorHAnsi"/>
          <w:sz w:val="24"/>
          <w:szCs w:val="24"/>
        </w:rPr>
        <w:t xml:space="preserve"> 2014.</w:t>
      </w:r>
      <w:r w:rsidR="000F0500">
        <w:rPr>
          <w:rFonts w:asciiTheme="majorHAnsi" w:hAnsiTheme="majorHAnsi" w:cstheme="majorHAnsi"/>
          <w:sz w:val="24"/>
          <w:szCs w:val="24"/>
        </w:rPr>
        <w:t xml:space="preserve"> </w:t>
      </w:r>
    </w:p>
  </w:footnote>
  <w:footnote w:id="3">
    <w:p w14:paraId="0A87E37C" w14:textId="3331B93A" w:rsidR="00FC7877" w:rsidRPr="00434A3F" w:rsidRDefault="00FC7877" w:rsidP="00355F33">
      <w:pPr>
        <w:pStyle w:val="FootnoteText"/>
        <w:jc w:val="both"/>
        <w:rPr>
          <w:rFonts w:asciiTheme="majorHAnsi" w:hAnsiTheme="majorHAnsi" w:cstheme="majorHAnsi"/>
          <w:sz w:val="24"/>
          <w:szCs w:val="24"/>
        </w:rPr>
      </w:pPr>
      <w:r w:rsidRPr="00434A3F">
        <w:rPr>
          <w:rStyle w:val="FootnoteReference"/>
          <w:rFonts w:asciiTheme="majorHAnsi" w:hAnsiTheme="majorHAnsi" w:cstheme="majorHAnsi"/>
          <w:sz w:val="24"/>
          <w:szCs w:val="24"/>
        </w:rPr>
        <w:footnoteRef/>
      </w:r>
      <w:r w:rsidRPr="00434A3F">
        <w:rPr>
          <w:rFonts w:asciiTheme="majorHAnsi" w:hAnsiTheme="majorHAnsi" w:cstheme="majorHAnsi"/>
          <w:sz w:val="24"/>
          <w:szCs w:val="24"/>
        </w:rPr>
        <w:t xml:space="preserve"> </w:t>
      </w:r>
      <w:r>
        <w:rPr>
          <w:rFonts w:asciiTheme="majorHAnsi" w:hAnsiTheme="majorHAnsi" w:cstheme="majorHAnsi"/>
          <w:sz w:val="24"/>
          <w:szCs w:val="24"/>
        </w:rPr>
        <w:t xml:space="preserve">These </w:t>
      </w:r>
      <w:r w:rsidRPr="00434A3F">
        <w:rPr>
          <w:rFonts w:asciiTheme="majorHAnsi" w:hAnsiTheme="majorHAnsi" w:cstheme="majorHAnsi"/>
          <w:sz w:val="24"/>
          <w:szCs w:val="24"/>
        </w:rPr>
        <w:t>surveys were undertaken under the auspices of the Southern and Central Africa Consortium for the Monitoring of Educational Quality (SACMEQ). Data from these surveys has never been made publically available.</w:t>
      </w:r>
    </w:p>
  </w:footnote>
  <w:footnote w:id="4">
    <w:p w14:paraId="45716C87" w14:textId="7C1F6571" w:rsidR="00FC7877" w:rsidRPr="008C6891" w:rsidRDefault="00FC7877">
      <w:pPr>
        <w:pStyle w:val="FootnoteText"/>
        <w:rPr>
          <w:rFonts w:asciiTheme="majorHAnsi" w:hAnsiTheme="majorHAnsi" w:cstheme="majorHAnsi"/>
          <w:sz w:val="24"/>
          <w:szCs w:val="24"/>
        </w:rPr>
      </w:pPr>
      <w:r w:rsidRPr="008C6891">
        <w:rPr>
          <w:rStyle w:val="FootnoteReference"/>
          <w:rFonts w:asciiTheme="majorHAnsi" w:hAnsiTheme="majorHAnsi" w:cstheme="majorHAnsi"/>
          <w:sz w:val="24"/>
          <w:szCs w:val="24"/>
        </w:rPr>
        <w:footnoteRef/>
      </w:r>
      <w:r w:rsidRPr="008C6891">
        <w:rPr>
          <w:rFonts w:asciiTheme="majorHAnsi" w:hAnsiTheme="majorHAnsi" w:cstheme="majorHAnsi"/>
          <w:sz w:val="24"/>
          <w:szCs w:val="24"/>
        </w:rPr>
        <w:t xml:space="preserve"> The eight survey countries are Botswana, </w:t>
      </w:r>
      <w:proofErr w:type="spellStart"/>
      <w:r w:rsidRPr="008C6891">
        <w:rPr>
          <w:rFonts w:asciiTheme="majorHAnsi" w:hAnsiTheme="majorHAnsi" w:cstheme="majorHAnsi"/>
          <w:sz w:val="24"/>
          <w:szCs w:val="24"/>
        </w:rPr>
        <w:t>Eswatini</w:t>
      </w:r>
      <w:proofErr w:type="spellEnd"/>
      <w:r w:rsidRPr="008C6891">
        <w:rPr>
          <w:rFonts w:asciiTheme="majorHAnsi" w:hAnsiTheme="majorHAnsi" w:cstheme="majorHAnsi"/>
          <w:sz w:val="24"/>
          <w:szCs w:val="24"/>
        </w:rPr>
        <w:t xml:space="preserve">, Namibia and South Africa in Southern Africa and </w:t>
      </w:r>
      <w:r>
        <w:rPr>
          <w:rFonts w:asciiTheme="majorHAnsi" w:hAnsiTheme="majorHAnsi" w:cstheme="majorHAnsi"/>
          <w:sz w:val="24"/>
          <w:szCs w:val="24"/>
        </w:rPr>
        <w:t xml:space="preserve">Malawi, </w:t>
      </w:r>
      <w:r w:rsidR="00F53784">
        <w:rPr>
          <w:rFonts w:asciiTheme="majorHAnsi" w:hAnsiTheme="majorHAnsi" w:cstheme="majorHAnsi"/>
          <w:sz w:val="24"/>
          <w:szCs w:val="24"/>
        </w:rPr>
        <w:t xml:space="preserve">Mauritius, Mozambique </w:t>
      </w:r>
      <w:r w:rsidRPr="008C6891">
        <w:rPr>
          <w:rFonts w:asciiTheme="majorHAnsi" w:hAnsiTheme="majorHAnsi" w:cstheme="majorHAnsi"/>
          <w:sz w:val="24"/>
          <w:szCs w:val="24"/>
        </w:rPr>
        <w:t>and Seychelles</w:t>
      </w:r>
      <w:r>
        <w:rPr>
          <w:rFonts w:asciiTheme="majorHAnsi" w:hAnsiTheme="majorHAnsi" w:cstheme="majorHAnsi"/>
          <w:sz w:val="24"/>
          <w:szCs w:val="24"/>
        </w:rPr>
        <w:t xml:space="preserve"> in East and Central Africa</w:t>
      </w:r>
      <w:r w:rsidRPr="008C6891">
        <w:rPr>
          <w:rFonts w:asciiTheme="majorHAnsi" w:hAnsiTheme="majorHAnsi" w:cstheme="majorHAnsi"/>
          <w:sz w:val="24"/>
          <w:szCs w:val="24"/>
        </w:rPr>
        <w:t xml:space="preserve">. All the surveys were conducted in 2013. </w:t>
      </w:r>
    </w:p>
  </w:footnote>
  <w:footnote w:id="5">
    <w:p w14:paraId="4344D263" w14:textId="65DD10F5" w:rsidR="00FC7877" w:rsidRPr="008844A3" w:rsidRDefault="00FC7877" w:rsidP="00C11910">
      <w:pPr>
        <w:pStyle w:val="FootnoteText"/>
        <w:jc w:val="both"/>
        <w:rPr>
          <w:rFonts w:asciiTheme="majorHAnsi" w:hAnsiTheme="majorHAnsi" w:cstheme="majorHAnsi"/>
          <w:sz w:val="24"/>
          <w:szCs w:val="24"/>
        </w:rPr>
      </w:pPr>
      <w:r w:rsidRPr="008844A3">
        <w:rPr>
          <w:rStyle w:val="FootnoteReference"/>
          <w:rFonts w:asciiTheme="majorHAnsi" w:hAnsiTheme="majorHAnsi" w:cstheme="majorHAnsi"/>
          <w:sz w:val="24"/>
          <w:szCs w:val="24"/>
        </w:rPr>
        <w:footnoteRef/>
      </w:r>
      <w:r w:rsidRPr="008844A3">
        <w:rPr>
          <w:rFonts w:asciiTheme="majorHAnsi" w:hAnsiTheme="majorHAnsi" w:cstheme="majorHAnsi"/>
          <w:sz w:val="24"/>
          <w:szCs w:val="24"/>
        </w:rPr>
        <w:t xml:space="preserve"> The two questions on private tuition are only included in the Grade 6 student questionnaire. However, all teachers and school directors are asked about their involvemen</w:t>
      </w:r>
      <w:r>
        <w:rPr>
          <w:rFonts w:asciiTheme="majorHAnsi" w:hAnsiTheme="majorHAnsi" w:cstheme="majorHAnsi"/>
          <w:sz w:val="24"/>
          <w:szCs w:val="24"/>
        </w:rPr>
        <w:t>t in private tuition activities</w:t>
      </w:r>
      <w:r w:rsidRPr="008844A3">
        <w:rPr>
          <w:rFonts w:asciiTheme="majorHAnsi" w:hAnsiTheme="majorHAnsi" w:cstheme="majorHAnsi"/>
          <w:sz w:val="24"/>
          <w:szCs w:val="24"/>
        </w:rPr>
        <w:t>.</w:t>
      </w:r>
    </w:p>
  </w:footnote>
  <w:footnote w:id="6">
    <w:p w14:paraId="4247F47C" w14:textId="77777777" w:rsidR="00FC7877" w:rsidRPr="000A64B8" w:rsidRDefault="00FC7877" w:rsidP="000A64B8">
      <w:pPr>
        <w:pStyle w:val="FootnoteText"/>
        <w:jc w:val="both"/>
        <w:rPr>
          <w:rFonts w:asciiTheme="majorHAnsi" w:hAnsiTheme="majorHAnsi" w:cstheme="majorHAnsi"/>
          <w:sz w:val="24"/>
          <w:szCs w:val="24"/>
        </w:rPr>
      </w:pPr>
      <w:r w:rsidRPr="000A64B8">
        <w:rPr>
          <w:rStyle w:val="FootnoteReference"/>
          <w:rFonts w:asciiTheme="majorHAnsi" w:hAnsiTheme="majorHAnsi" w:cstheme="majorHAnsi"/>
          <w:sz w:val="24"/>
          <w:szCs w:val="24"/>
        </w:rPr>
        <w:footnoteRef/>
      </w:r>
      <w:r w:rsidRPr="000A64B8">
        <w:rPr>
          <w:rFonts w:asciiTheme="majorHAnsi" w:hAnsiTheme="majorHAnsi" w:cstheme="majorHAnsi"/>
          <w:sz w:val="24"/>
          <w:szCs w:val="24"/>
        </w:rPr>
        <w:t xml:space="preserve"> Burundi, was also surveyed in 2014 but since this country is not in West Africa it has not been included in this analysis. The remaining two Francophone West African countries, namely Guinea and Mali, do not belong to CONFEMEN and do not, therefore, participate in the PASEC surveys.</w:t>
      </w:r>
    </w:p>
  </w:footnote>
  <w:footnote w:id="7">
    <w:p w14:paraId="5D7B0EB0" w14:textId="2CC11CA7" w:rsidR="00FC7877" w:rsidRPr="000A64B8" w:rsidRDefault="00FC7877" w:rsidP="000A64B8">
      <w:pPr>
        <w:pStyle w:val="FootnoteText"/>
        <w:jc w:val="both"/>
        <w:rPr>
          <w:rFonts w:asciiTheme="majorHAnsi" w:hAnsiTheme="majorHAnsi" w:cstheme="majorHAnsi"/>
          <w:sz w:val="24"/>
          <w:szCs w:val="24"/>
        </w:rPr>
      </w:pPr>
      <w:r w:rsidRPr="000A64B8">
        <w:rPr>
          <w:rStyle w:val="FootnoteReference"/>
          <w:rFonts w:asciiTheme="majorHAnsi" w:hAnsiTheme="majorHAnsi" w:cstheme="majorHAnsi"/>
          <w:sz w:val="24"/>
          <w:szCs w:val="24"/>
        </w:rPr>
        <w:footnoteRef/>
      </w:r>
      <w:r w:rsidRPr="000A64B8">
        <w:rPr>
          <w:rFonts w:asciiTheme="majorHAnsi" w:hAnsiTheme="majorHAnsi" w:cstheme="majorHAnsi"/>
          <w:sz w:val="24"/>
          <w:szCs w:val="24"/>
        </w:rPr>
        <w:t xml:space="preserve">  Primary school enrolments at private schools typically account for more than one-third of total enrolments in major cities in Anglophone Africa. In Nairobi, they are around one-half and in Kampala over 70% (see Author). </w:t>
      </w:r>
    </w:p>
  </w:footnote>
  <w:footnote w:id="8">
    <w:p w14:paraId="554D31F5" w14:textId="77777777" w:rsidR="00FC7877" w:rsidRPr="000A64B8" w:rsidRDefault="00FC7877" w:rsidP="00940D13">
      <w:pPr>
        <w:jc w:val="both"/>
        <w:rPr>
          <w:rFonts w:asciiTheme="majorHAnsi" w:hAnsiTheme="majorHAnsi" w:cstheme="majorHAnsi"/>
          <w:sz w:val="24"/>
          <w:szCs w:val="24"/>
        </w:rPr>
      </w:pPr>
      <w:r w:rsidRPr="000A64B8">
        <w:rPr>
          <w:rStyle w:val="FootnoteReference"/>
          <w:rFonts w:asciiTheme="majorHAnsi" w:hAnsiTheme="majorHAnsi" w:cstheme="majorHAnsi"/>
          <w:sz w:val="24"/>
          <w:szCs w:val="24"/>
        </w:rPr>
        <w:footnoteRef/>
      </w:r>
      <w:r w:rsidRPr="000A64B8">
        <w:rPr>
          <w:rFonts w:asciiTheme="majorHAnsi" w:hAnsiTheme="majorHAnsi" w:cstheme="majorHAnsi"/>
          <w:sz w:val="24"/>
          <w:szCs w:val="24"/>
        </w:rPr>
        <w:t xml:space="preserve"> The nationa</w:t>
      </w:r>
      <w:r>
        <w:rPr>
          <w:rFonts w:asciiTheme="majorHAnsi" w:hAnsiTheme="majorHAnsi" w:cstheme="majorHAnsi"/>
          <w:sz w:val="24"/>
          <w:szCs w:val="24"/>
        </w:rPr>
        <w:t xml:space="preserve">l profile incidence among the </w:t>
      </w:r>
      <w:r w:rsidRPr="000A64B8">
        <w:rPr>
          <w:rFonts w:asciiTheme="majorHAnsi" w:hAnsiTheme="majorHAnsi" w:cstheme="majorHAnsi"/>
          <w:sz w:val="24"/>
          <w:szCs w:val="24"/>
        </w:rPr>
        <w:t xml:space="preserve">SACMEQ countries is also quite similar. In only four out of 13 countries (Botswana, Kenya, Mauritius and South Africa) were Grade 6 tutorial incidence rates higher than 25% in either 2007 or 2013.   </w:t>
      </w:r>
    </w:p>
    <w:p w14:paraId="0D82790C" w14:textId="77777777" w:rsidR="00FC7877" w:rsidRDefault="00FC7877" w:rsidP="00940D13">
      <w:pPr>
        <w:pStyle w:val="FootnoteText"/>
      </w:pPr>
      <w:r>
        <w:t xml:space="preserve"> </w:t>
      </w:r>
    </w:p>
  </w:footnote>
  <w:footnote w:id="9">
    <w:p w14:paraId="616A6A32" w14:textId="0789D565" w:rsidR="00FC7877" w:rsidRPr="009651A4" w:rsidRDefault="00FC7877" w:rsidP="00940D13">
      <w:pPr>
        <w:pStyle w:val="FootnoteText"/>
        <w:rPr>
          <w:rFonts w:asciiTheme="majorHAnsi" w:hAnsiTheme="majorHAnsi" w:cstheme="majorHAnsi"/>
          <w:sz w:val="24"/>
          <w:szCs w:val="24"/>
        </w:rPr>
      </w:pPr>
      <w:r w:rsidRPr="009651A4">
        <w:rPr>
          <w:rStyle w:val="FootnoteReference"/>
          <w:rFonts w:asciiTheme="majorHAnsi" w:hAnsiTheme="majorHAnsi" w:cstheme="majorHAnsi"/>
          <w:sz w:val="24"/>
          <w:szCs w:val="24"/>
        </w:rPr>
        <w:footnoteRef/>
      </w:r>
      <w:r w:rsidRPr="009651A4">
        <w:rPr>
          <w:rFonts w:asciiTheme="majorHAnsi" w:hAnsiTheme="majorHAnsi" w:cstheme="majorHAnsi"/>
          <w:sz w:val="24"/>
          <w:szCs w:val="24"/>
        </w:rPr>
        <w:t xml:space="preserve"> The R-square value for tuition incidence and GDP per capita is 0.27 and for urbanisation </w:t>
      </w:r>
      <w:r>
        <w:rPr>
          <w:rFonts w:asciiTheme="majorHAnsi" w:hAnsiTheme="majorHAnsi" w:cstheme="majorHAnsi"/>
          <w:sz w:val="24"/>
          <w:szCs w:val="24"/>
        </w:rPr>
        <w:t xml:space="preserve">it </w:t>
      </w:r>
      <w:r w:rsidRPr="009651A4">
        <w:rPr>
          <w:rFonts w:asciiTheme="majorHAnsi" w:hAnsiTheme="majorHAnsi" w:cstheme="majorHAnsi"/>
          <w:sz w:val="24"/>
          <w:szCs w:val="24"/>
        </w:rPr>
        <w:t xml:space="preserve">is 0.33.  </w:t>
      </w:r>
    </w:p>
  </w:footnote>
  <w:footnote w:id="10">
    <w:p w14:paraId="4A78D9C7" w14:textId="77777777" w:rsidR="00FC7877" w:rsidRPr="00DA1736" w:rsidRDefault="00FC7877" w:rsidP="00940D13">
      <w:pPr>
        <w:pStyle w:val="FootnoteText"/>
        <w:jc w:val="both"/>
        <w:rPr>
          <w:rFonts w:asciiTheme="majorHAnsi" w:hAnsiTheme="majorHAnsi" w:cstheme="majorHAnsi"/>
          <w:sz w:val="24"/>
          <w:szCs w:val="24"/>
        </w:rPr>
      </w:pPr>
      <w:r w:rsidRPr="00DA1736">
        <w:rPr>
          <w:rStyle w:val="FootnoteReference"/>
          <w:rFonts w:asciiTheme="majorHAnsi" w:hAnsiTheme="majorHAnsi" w:cstheme="majorHAnsi"/>
          <w:sz w:val="24"/>
          <w:szCs w:val="24"/>
        </w:rPr>
        <w:footnoteRef/>
      </w:r>
      <w:r w:rsidRPr="00DA1736">
        <w:rPr>
          <w:rFonts w:asciiTheme="majorHAnsi" w:hAnsiTheme="majorHAnsi" w:cstheme="majorHAnsi"/>
          <w:sz w:val="24"/>
          <w:szCs w:val="24"/>
        </w:rPr>
        <w:t xml:space="preserve"> However, the limited variation in the share of private secular enrolments means that this may not be true when this enrolment share is much higher</w:t>
      </w:r>
      <w:r>
        <w:rPr>
          <w:rFonts w:asciiTheme="majorHAnsi" w:hAnsiTheme="majorHAnsi" w:cstheme="majorHAnsi"/>
          <w:sz w:val="24"/>
          <w:szCs w:val="24"/>
        </w:rPr>
        <w:t>,</w:t>
      </w:r>
      <w:r w:rsidRPr="00DA1736">
        <w:rPr>
          <w:rFonts w:asciiTheme="majorHAnsi" w:hAnsiTheme="majorHAnsi" w:cstheme="majorHAnsi"/>
          <w:sz w:val="24"/>
          <w:szCs w:val="24"/>
        </w:rPr>
        <w:t xml:space="preserve"> which is </w:t>
      </w:r>
      <w:r>
        <w:rPr>
          <w:rFonts w:asciiTheme="majorHAnsi" w:hAnsiTheme="majorHAnsi" w:cstheme="majorHAnsi"/>
          <w:sz w:val="24"/>
          <w:szCs w:val="24"/>
        </w:rPr>
        <w:t xml:space="preserve">now </w:t>
      </w:r>
      <w:r w:rsidRPr="00DA1736">
        <w:rPr>
          <w:rFonts w:asciiTheme="majorHAnsi" w:hAnsiTheme="majorHAnsi" w:cstheme="majorHAnsi"/>
          <w:sz w:val="24"/>
          <w:szCs w:val="24"/>
        </w:rPr>
        <w:t>commonly the case in cities across in SSA.</w:t>
      </w:r>
    </w:p>
  </w:footnote>
  <w:footnote w:id="11">
    <w:p w14:paraId="19478A6D" w14:textId="77777777" w:rsidR="00FC7877" w:rsidRPr="00DA1736" w:rsidRDefault="00FC7877" w:rsidP="00940D13">
      <w:pPr>
        <w:pStyle w:val="FootnoteText"/>
        <w:rPr>
          <w:rFonts w:asciiTheme="majorHAnsi" w:hAnsiTheme="majorHAnsi" w:cstheme="majorHAnsi"/>
          <w:sz w:val="24"/>
          <w:szCs w:val="24"/>
        </w:rPr>
      </w:pPr>
      <w:r w:rsidRPr="00DA1736">
        <w:rPr>
          <w:rStyle w:val="FootnoteReference"/>
          <w:rFonts w:asciiTheme="majorHAnsi" w:hAnsiTheme="majorHAnsi" w:cstheme="majorHAnsi"/>
          <w:sz w:val="24"/>
          <w:szCs w:val="24"/>
        </w:rPr>
        <w:footnoteRef/>
      </w:r>
      <w:r w:rsidRPr="00DA1736">
        <w:rPr>
          <w:rFonts w:asciiTheme="majorHAnsi" w:hAnsiTheme="majorHAnsi" w:cstheme="majorHAnsi"/>
          <w:sz w:val="24"/>
          <w:szCs w:val="24"/>
        </w:rPr>
        <w:t xml:space="preserve"> A very similar pattern is observable with respect to gender enrolment rates for for-profit private schooling.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F3AF8"/>
    <w:multiLevelType w:val="multilevel"/>
    <w:tmpl w:val="D2EAEE30"/>
    <w:lvl w:ilvl="0">
      <w:start w:val="2"/>
      <w:numFmt w:val="decimal"/>
      <w:lvlText w:val="%1"/>
      <w:lvlJc w:val="left"/>
      <w:pPr>
        <w:ind w:left="360" w:hanging="360"/>
      </w:pPr>
      <w:rPr>
        <w:rFonts w:hint="default"/>
      </w:rPr>
    </w:lvl>
    <w:lvl w:ilvl="1">
      <w:start w:val="2"/>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1" w15:restartNumberingAfterBreak="0">
    <w:nsid w:val="7366587E"/>
    <w:multiLevelType w:val="multilevel"/>
    <w:tmpl w:val="B0729C48"/>
    <w:lvl w:ilvl="0">
      <w:start w:val="1"/>
      <w:numFmt w:val="decimal"/>
      <w:lvlText w:val="%1."/>
      <w:lvlJc w:val="left"/>
      <w:pPr>
        <w:ind w:left="432" w:hanging="360"/>
      </w:pPr>
      <w:rPr>
        <w:rFonts w:hint="default"/>
      </w:rPr>
    </w:lvl>
    <w:lvl w:ilvl="1">
      <w:start w:val="1"/>
      <w:numFmt w:val="decimal"/>
      <w:isLgl/>
      <w:lvlText w:val="%1.%2"/>
      <w:lvlJc w:val="left"/>
      <w:pPr>
        <w:ind w:left="492" w:hanging="42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22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02"/>
    <w:rsid w:val="00001E59"/>
    <w:rsid w:val="000052F6"/>
    <w:rsid w:val="00014988"/>
    <w:rsid w:val="00051644"/>
    <w:rsid w:val="00055CE6"/>
    <w:rsid w:val="0005724B"/>
    <w:rsid w:val="00070BDC"/>
    <w:rsid w:val="000776E9"/>
    <w:rsid w:val="00081A95"/>
    <w:rsid w:val="000A64B8"/>
    <w:rsid w:val="000B10B0"/>
    <w:rsid w:val="000C1911"/>
    <w:rsid w:val="000D1486"/>
    <w:rsid w:val="000D44F6"/>
    <w:rsid w:val="000E170D"/>
    <w:rsid w:val="000F0500"/>
    <w:rsid w:val="00111694"/>
    <w:rsid w:val="001137AA"/>
    <w:rsid w:val="001153DB"/>
    <w:rsid w:val="00116AB9"/>
    <w:rsid w:val="00140464"/>
    <w:rsid w:val="001413A8"/>
    <w:rsid w:val="00152627"/>
    <w:rsid w:val="00154A5F"/>
    <w:rsid w:val="00156744"/>
    <w:rsid w:val="00157EE2"/>
    <w:rsid w:val="00160947"/>
    <w:rsid w:val="00171B68"/>
    <w:rsid w:val="0017289E"/>
    <w:rsid w:val="0018374B"/>
    <w:rsid w:val="00193AD4"/>
    <w:rsid w:val="001951D0"/>
    <w:rsid w:val="001B218B"/>
    <w:rsid w:val="001B50EB"/>
    <w:rsid w:val="001D15BD"/>
    <w:rsid w:val="001E6180"/>
    <w:rsid w:val="001E651A"/>
    <w:rsid w:val="001F0275"/>
    <w:rsid w:val="001F5366"/>
    <w:rsid w:val="0020295C"/>
    <w:rsid w:val="002041B4"/>
    <w:rsid w:val="002111A1"/>
    <w:rsid w:val="00214F28"/>
    <w:rsid w:val="00215A66"/>
    <w:rsid w:val="00225D5E"/>
    <w:rsid w:val="002344CC"/>
    <w:rsid w:val="0023757F"/>
    <w:rsid w:val="00256868"/>
    <w:rsid w:val="00256890"/>
    <w:rsid w:val="00295711"/>
    <w:rsid w:val="0029626E"/>
    <w:rsid w:val="002B0725"/>
    <w:rsid w:val="002B1D29"/>
    <w:rsid w:val="002B77B1"/>
    <w:rsid w:val="002C6290"/>
    <w:rsid w:val="002C7D05"/>
    <w:rsid w:val="002D122A"/>
    <w:rsid w:val="002D69B0"/>
    <w:rsid w:val="002E3F21"/>
    <w:rsid w:val="00314DAA"/>
    <w:rsid w:val="003201DA"/>
    <w:rsid w:val="00336E5C"/>
    <w:rsid w:val="00344B0C"/>
    <w:rsid w:val="00354C25"/>
    <w:rsid w:val="00355F33"/>
    <w:rsid w:val="00361AE8"/>
    <w:rsid w:val="00377862"/>
    <w:rsid w:val="003832D8"/>
    <w:rsid w:val="003868EE"/>
    <w:rsid w:val="003A23FC"/>
    <w:rsid w:val="003C17BC"/>
    <w:rsid w:val="003D13F3"/>
    <w:rsid w:val="003E4AE2"/>
    <w:rsid w:val="003E4B91"/>
    <w:rsid w:val="003E4FA2"/>
    <w:rsid w:val="003E5F32"/>
    <w:rsid w:val="003E7C95"/>
    <w:rsid w:val="00401B35"/>
    <w:rsid w:val="00434A3F"/>
    <w:rsid w:val="004410D4"/>
    <w:rsid w:val="00450D13"/>
    <w:rsid w:val="004520CC"/>
    <w:rsid w:val="004545BF"/>
    <w:rsid w:val="00474F2B"/>
    <w:rsid w:val="0048434D"/>
    <w:rsid w:val="00490015"/>
    <w:rsid w:val="004A282D"/>
    <w:rsid w:val="004B415E"/>
    <w:rsid w:val="004B4518"/>
    <w:rsid w:val="004C31ED"/>
    <w:rsid w:val="004C7638"/>
    <w:rsid w:val="004E134C"/>
    <w:rsid w:val="004F2178"/>
    <w:rsid w:val="00516BED"/>
    <w:rsid w:val="00521719"/>
    <w:rsid w:val="00534F8F"/>
    <w:rsid w:val="005354B2"/>
    <w:rsid w:val="00562911"/>
    <w:rsid w:val="00567CF4"/>
    <w:rsid w:val="005816C5"/>
    <w:rsid w:val="005833B8"/>
    <w:rsid w:val="00587248"/>
    <w:rsid w:val="005A382A"/>
    <w:rsid w:val="005A4B9A"/>
    <w:rsid w:val="005B6C42"/>
    <w:rsid w:val="005C0B0B"/>
    <w:rsid w:val="005D2E27"/>
    <w:rsid w:val="005D71AE"/>
    <w:rsid w:val="005E1F27"/>
    <w:rsid w:val="005F50BD"/>
    <w:rsid w:val="00621366"/>
    <w:rsid w:val="006253D4"/>
    <w:rsid w:val="00625BAD"/>
    <w:rsid w:val="00637FE7"/>
    <w:rsid w:val="00640FD0"/>
    <w:rsid w:val="006473F9"/>
    <w:rsid w:val="00666BCA"/>
    <w:rsid w:val="006A414B"/>
    <w:rsid w:val="006A4BD7"/>
    <w:rsid w:val="006B7317"/>
    <w:rsid w:val="006B7B33"/>
    <w:rsid w:val="006C1CA9"/>
    <w:rsid w:val="006C1FE4"/>
    <w:rsid w:val="006C4AC0"/>
    <w:rsid w:val="006C7E5B"/>
    <w:rsid w:val="006D07A0"/>
    <w:rsid w:val="006D08A8"/>
    <w:rsid w:val="006E300C"/>
    <w:rsid w:val="006F28FE"/>
    <w:rsid w:val="00702DAB"/>
    <w:rsid w:val="00714319"/>
    <w:rsid w:val="00714F47"/>
    <w:rsid w:val="00741A05"/>
    <w:rsid w:val="00760979"/>
    <w:rsid w:val="0076250F"/>
    <w:rsid w:val="00766675"/>
    <w:rsid w:val="00771CA8"/>
    <w:rsid w:val="0077651C"/>
    <w:rsid w:val="007821EC"/>
    <w:rsid w:val="00792EE7"/>
    <w:rsid w:val="007936C6"/>
    <w:rsid w:val="007A3E07"/>
    <w:rsid w:val="007B6CC5"/>
    <w:rsid w:val="007C4ABA"/>
    <w:rsid w:val="007D339F"/>
    <w:rsid w:val="007E2CCC"/>
    <w:rsid w:val="008135AE"/>
    <w:rsid w:val="0082117A"/>
    <w:rsid w:val="008263B0"/>
    <w:rsid w:val="0082746A"/>
    <w:rsid w:val="00827A94"/>
    <w:rsid w:val="00832138"/>
    <w:rsid w:val="008360A2"/>
    <w:rsid w:val="00837EFE"/>
    <w:rsid w:val="00845F2E"/>
    <w:rsid w:val="00852882"/>
    <w:rsid w:val="0086797C"/>
    <w:rsid w:val="00871683"/>
    <w:rsid w:val="008739BA"/>
    <w:rsid w:val="00875988"/>
    <w:rsid w:val="0087598B"/>
    <w:rsid w:val="008844A3"/>
    <w:rsid w:val="00885AED"/>
    <w:rsid w:val="008925D4"/>
    <w:rsid w:val="008A06E5"/>
    <w:rsid w:val="008A7E14"/>
    <w:rsid w:val="008B4C03"/>
    <w:rsid w:val="008B7F35"/>
    <w:rsid w:val="008C4327"/>
    <w:rsid w:val="008C6891"/>
    <w:rsid w:val="008D0704"/>
    <w:rsid w:val="008D1045"/>
    <w:rsid w:val="008D1579"/>
    <w:rsid w:val="008D3C43"/>
    <w:rsid w:val="008E68C8"/>
    <w:rsid w:val="008E742A"/>
    <w:rsid w:val="008F5027"/>
    <w:rsid w:val="0090368B"/>
    <w:rsid w:val="009152C1"/>
    <w:rsid w:val="009309D4"/>
    <w:rsid w:val="0094004C"/>
    <w:rsid w:val="00940D13"/>
    <w:rsid w:val="009623FB"/>
    <w:rsid w:val="00964F95"/>
    <w:rsid w:val="009651A4"/>
    <w:rsid w:val="009661DA"/>
    <w:rsid w:val="009665E2"/>
    <w:rsid w:val="00966EDD"/>
    <w:rsid w:val="00967F3F"/>
    <w:rsid w:val="00970C84"/>
    <w:rsid w:val="00982314"/>
    <w:rsid w:val="00986E99"/>
    <w:rsid w:val="00992DE2"/>
    <w:rsid w:val="009940BA"/>
    <w:rsid w:val="009A27F3"/>
    <w:rsid w:val="009A6F5F"/>
    <w:rsid w:val="009A78E9"/>
    <w:rsid w:val="009A7FAC"/>
    <w:rsid w:val="009B25AD"/>
    <w:rsid w:val="009C5214"/>
    <w:rsid w:val="009D2496"/>
    <w:rsid w:val="009D604C"/>
    <w:rsid w:val="009E7217"/>
    <w:rsid w:val="009E7402"/>
    <w:rsid w:val="009F1CE5"/>
    <w:rsid w:val="009F7256"/>
    <w:rsid w:val="00A05DDC"/>
    <w:rsid w:val="00A13889"/>
    <w:rsid w:val="00A26302"/>
    <w:rsid w:val="00A27C99"/>
    <w:rsid w:val="00A30767"/>
    <w:rsid w:val="00A47315"/>
    <w:rsid w:val="00A55B8A"/>
    <w:rsid w:val="00A56D1D"/>
    <w:rsid w:val="00A7158C"/>
    <w:rsid w:val="00A768A9"/>
    <w:rsid w:val="00A93189"/>
    <w:rsid w:val="00A96D97"/>
    <w:rsid w:val="00AA4328"/>
    <w:rsid w:val="00AC1993"/>
    <w:rsid w:val="00AE1E15"/>
    <w:rsid w:val="00AE6C01"/>
    <w:rsid w:val="00AF2674"/>
    <w:rsid w:val="00AF365C"/>
    <w:rsid w:val="00AF38B0"/>
    <w:rsid w:val="00AF4DE0"/>
    <w:rsid w:val="00B2297D"/>
    <w:rsid w:val="00B302F4"/>
    <w:rsid w:val="00B3084A"/>
    <w:rsid w:val="00B343A7"/>
    <w:rsid w:val="00B347D2"/>
    <w:rsid w:val="00B505ED"/>
    <w:rsid w:val="00B525CF"/>
    <w:rsid w:val="00B61CCF"/>
    <w:rsid w:val="00B6304E"/>
    <w:rsid w:val="00B70865"/>
    <w:rsid w:val="00B72760"/>
    <w:rsid w:val="00B91643"/>
    <w:rsid w:val="00B91F9F"/>
    <w:rsid w:val="00BA5B8C"/>
    <w:rsid w:val="00BE6295"/>
    <w:rsid w:val="00C036FC"/>
    <w:rsid w:val="00C11910"/>
    <w:rsid w:val="00C122D1"/>
    <w:rsid w:val="00C13B28"/>
    <w:rsid w:val="00C167DF"/>
    <w:rsid w:val="00C245A1"/>
    <w:rsid w:val="00C27735"/>
    <w:rsid w:val="00C40EA5"/>
    <w:rsid w:val="00C44129"/>
    <w:rsid w:val="00C50B22"/>
    <w:rsid w:val="00C52673"/>
    <w:rsid w:val="00C5321F"/>
    <w:rsid w:val="00C82B08"/>
    <w:rsid w:val="00C87C7E"/>
    <w:rsid w:val="00C925F9"/>
    <w:rsid w:val="00C9335B"/>
    <w:rsid w:val="00CA4714"/>
    <w:rsid w:val="00CA5195"/>
    <w:rsid w:val="00CB4C5D"/>
    <w:rsid w:val="00CC228B"/>
    <w:rsid w:val="00CC53AC"/>
    <w:rsid w:val="00CD0208"/>
    <w:rsid w:val="00CE2469"/>
    <w:rsid w:val="00CF10C9"/>
    <w:rsid w:val="00CF4D17"/>
    <w:rsid w:val="00CF66B7"/>
    <w:rsid w:val="00CF6F58"/>
    <w:rsid w:val="00D117C6"/>
    <w:rsid w:val="00D43138"/>
    <w:rsid w:val="00D750C7"/>
    <w:rsid w:val="00D75EA3"/>
    <w:rsid w:val="00D76DF6"/>
    <w:rsid w:val="00D95392"/>
    <w:rsid w:val="00DA1736"/>
    <w:rsid w:val="00DA2BBA"/>
    <w:rsid w:val="00DD1264"/>
    <w:rsid w:val="00DD5861"/>
    <w:rsid w:val="00DF4288"/>
    <w:rsid w:val="00DF46CE"/>
    <w:rsid w:val="00DF7225"/>
    <w:rsid w:val="00E13FD1"/>
    <w:rsid w:val="00E2052C"/>
    <w:rsid w:val="00E27A36"/>
    <w:rsid w:val="00E324CD"/>
    <w:rsid w:val="00E3686D"/>
    <w:rsid w:val="00E40335"/>
    <w:rsid w:val="00E565F1"/>
    <w:rsid w:val="00E57097"/>
    <w:rsid w:val="00E62050"/>
    <w:rsid w:val="00E70893"/>
    <w:rsid w:val="00E86245"/>
    <w:rsid w:val="00E94C47"/>
    <w:rsid w:val="00EA5EF5"/>
    <w:rsid w:val="00EB4082"/>
    <w:rsid w:val="00EC4460"/>
    <w:rsid w:val="00ED5400"/>
    <w:rsid w:val="00EE6142"/>
    <w:rsid w:val="00F04D58"/>
    <w:rsid w:val="00F13274"/>
    <w:rsid w:val="00F20E8A"/>
    <w:rsid w:val="00F217EE"/>
    <w:rsid w:val="00F251D5"/>
    <w:rsid w:val="00F43567"/>
    <w:rsid w:val="00F448E8"/>
    <w:rsid w:val="00F53784"/>
    <w:rsid w:val="00F55551"/>
    <w:rsid w:val="00F64B39"/>
    <w:rsid w:val="00F75FB4"/>
    <w:rsid w:val="00F91CA5"/>
    <w:rsid w:val="00FA2783"/>
    <w:rsid w:val="00FA77FA"/>
    <w:rsid w:val="00FC2A03"/>
    <w:rsid w:val="00FC3916"/>
    <w:rsid w:val="00FC7877"/>
    <w:rsid w:val="00FD7513"/>
    <w:rsid w:val="00FE12F7"/>
    <w:rsid w:val="00FF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CA0D"/>
  <w15:chartTrackingRefBased/>
  <w15:docId w15:val="{BF5F9C8D-ED1D-4469-87AE-750A51F8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402"/>
    <w:pPr>
      <w:ind w:left="720"/>
      <w:contextualSpacing/>
    </w:pPr>
  </w:style>
  <w:style w:type="paragraph" w:styleId="FootnoteText">
    <w:name w:val="footnote text"/>
    <w:basedOn w:val="Normal"/>
    <w:link w:val="FootnoteTextChar"/>
    <w:uiPriority w:val="99"/>
    <w:semiHidden/>
    <w:unhideWhenUsed/>
    <w:rsid w:val="009D60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04C"/>
    <w:rPr>
      <w:sz w:val="20"/>
      <w:szCs w:val="20"/>
    </w:rPr>
  </w:style>
  <w:style w:type="character" w:styleId="FootnoteReference">
    <w:name w:val="footnote reference"/>
    <w:basedOn w:val="DefaultParagraphFont"/>
    <w:uiPriority w:val="99"/>
    <w:semiHidden/>
    <w:unhideWhenUsed/>
    <w:rsid w:val="009D604C"/>
    <w:rPr>
      <w:vertAlign w:val="superscript"/>
    </w:rPr>
  </w:style>
  <w:style w:type="paragraph" w:styleId="BalloonText">
    <w:name w:val="Balloon Text"/>
    <w:basedOn w:val="Normal"/>
    <w:link w:val="BalloonTextChar"/>
    <w:uiPriority w:val="99"/>
    <w:semiHidden/>
    <w:unhideWhenUsed/>
    <w:rsid w:val="00CA4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768">
      <w:bodyDiv w:val="1"/>
      <w:marLeft w:val="0"/>
      <w:marRight w:val="0"/>
      <w:marTop w:val="0"/>
      <w:marBottom w:val="0"/>
      <w:divBdr>
        <w:top w:val="none" w:sz="0" w:space="0" w:color="auto"/>
        <w:left w:val="none" w:sz="0" w:space="0" w:color="auto"/>
        <w:bottom w:val="none" w:sz="0" w:space="0" w:color="auto"/>
        <w:right w:val="none" w:sz="0" w:space="0" w:color="auto"/>
      </w:divBdr>
    </w:div>
    <w:div w:id="162093189">
      <w:bodyDiv w:val="1"/>
      <w:marLeft w:val="0"/>
      <w:marRight w:val="0"/>
      <w:marTop w:val="0"/>
      <w:marBottom w:val="0"/>
      <w:divBdr>
        <w:top w:val="none" w:sz="0" w:space="0" w:color="auto"/>
        <w:left w:val="none" w:sz="0" w:space="0" w:color="auto"/>
        <w:bottom w:val="none" w:sz="0" w:space="0" w:color="auto"/>
        <w:right w:val="none" w:sz="0" w:space="0" w:color="auto"/>
      </w:divBdr>
    </w:div>
    <w:div w:id="252278522">
      <w:bodyDiv w:val="1"/>
      <w:marLeft w:val="0"/>
      <w:marRight w:val="0"/>
      <w:marTop w:val="0"/>
      <w:marBottom w:val="0"/>
      <w:divBdr>
        <w:top w:val="none" w:sz="0" w:space="0" w:color="auto"/>
        <w:left w:val="none" w:sz="0" w:space="0" w:color="auto"/>
        <w:bottom w:val="none" w:sz="0" w:space="0" w:color="auto"/>
        <w:right w:val="none" w:sz="0" w:space="0" w:color="auto"/>
      </w:divBdr>
    </w:div>
    <w:div w:id="448281926">
      <w:bodyDiv w:val="1"/>
      <w:marLeft w:val="0"/>
      <w:marRight w:val="0"/>
      <w:marTop w:val="0"/>
      <w:marBottom w:val="0"/>
      <w:divBdr>
        <w:top w:val="none" w:sz="0" w:space="0" w:color="auto"/>
        <w:left w:val="none" w:sz="0" w:space="0" w:color="auto"/>
        <w:bottom w:val="none" w:sz="0" w:space="0" w:color="auto"/>
        <w:right w:val="none" w:sz="0" w:space="0" w:color="auto"/>
      </w:divBdr>
    </w:div>
    <w:div w:id="470564397">
      <w:bodyDiv w:val="1"/>
      <w:marLeft w:val="0"/>
      <w:marRight w:val="0"/>
      <w:marTop w:val="0"/>
      <w:marBottom w:val="0"/>
      <w:divBdr>
        <w:top w:val="none" w:sz="0" w:space="0" w:color="auto"/>
        <w:left w:val="none" w:sz="0" w:space="0" w:color="auto"/>
        <w:bottom w:val="none" w:sz="0" w:space="0" w:color="auto"/>
        <w:right w:val="none" w:sz="0" w:space="0" w:color="auto"/>
      </w:divBdr>
    </w:div>
    <w:div w:id="573470053">
      <w:bodyDiv w:val="1"/>
      <w:marLeft w:val="0"/>
      <w:marRight w:val="0"/>
      <w:marTop w:val="0"/>
      <w:marBottom w:val="0"/>
      <w:divBdr>
        <w:top w:val="none" w:sz="0" w:space="0" w:color="auto"/>
        <w:left w:val="none" w:sz="0" w:space="0" w:color="auto"/>
        <w:bottom w:val="none" w:sz="0" w:space="0" w:color="auto"/>
        <w:right w:val="none" w:sz="0" w:space="0" w:color="auto"/>
      </w:divBdr>
    </w:div>
    <w:div w:id="722755310">
      <w:bodyDiv w:val="1"/>
      <w:marLeft w:val="0"/>
      <w:marRight w:val="0"/>
      <w:marTop w:val="0"/>
      <w:marBottom w:val="0"/>
      <w:divBdr>
        <w:top w:val="none" w:sz="0" w:space="0" w:color="auto"/>
        <w:left w:val="none" w:sz="0" w:space="0" w:color="auto"/>
        <w:bottom w:val="none" w:sz="0" w:space="0" w:color="auto"/>
        <w:right w:val="none" w:sz="0" w:space="0" w:color="auto"/>
      </w:divBdr>
    </w:div>
    <w:div w:id="1047603681">
      <w:bodyDiv w:val="1"/>
      <w:marLeft w:val="0"/>
      <w:marRight w:val="0"/>
      <w:marTop w:val="0"/>
      <w:marBottom w:val="0"/>
      <w:divBdr>
        <w:top w:val="none" w:sz="0" w:space="0" w:color="auto"/>
        <w:left w:val="none" w:sz="0" w:space="0" w:color="auto"/>
        <w:bottom w:val="none" w:sz="0" w:space="0" w:color="auto"/>
        <w:right w:val="none" w:sz="0" w:space="0" w:color="auto"/>
      </w:divBdr>
    </w:div>
    <w:div w:id="1080714634">
      <w:bodyDiv w:val="1"/>
      <w:marLeft w:val="0"/>
      <w:marRight w:val="0"/>
      <w:marTop w:val="0"/>
      <w:marBottom w:val="0"/>
      <w:divBdr>
        <w:top w:val="none" w:sz="0" w:space="0" w:color="auto"/>
        <w:left w:val="none" w:sz="0" w:space="0" w:color="auto"/>
        <w:bottom w:val="none" w:sz="0" w:space="0" w:color="auto"/>
        <w:right w:val="none" w:sz="0" w:space="0" w:color="auto"/>
      </w:divBdr>
    </w:div>
    <w:div w:id="1142578371">
      <w:bodyDiv w:val="1"/>
      <w:marLeft w:val="0"/>
      <w:marRight w:val="0"/>
      <w:marTop w:val="0"/>
      <w:marBottom w:val="0"/>
      <w:divBdr>
        <w:top w:val="none" w:sz="0" w:space="0" w:color="auto"/>
        <w:left w:val="none" w:sz="0" w:space="0" w:color="auto"/>
        <w:bottom w:val="none" w:sz="0" w:space="0" w:color="auto"/>
        <w:right w:val="none" w:sz="0" w:space="0" w:color="auto"/>
      </w:divBdr>
    </w:div>
    <w:div w:id="1151675093">
      <w:bodyDiv w:val="1"/>
      <w:marLeft w:val="0"/>
      <w:marRight w:val="0"/>
      <w:marTop w:val="0"/>
      <w:marBottom w:val="0"/>
      <w:divBdr>
        <w:top w:val="none" w:sz="0" w:space="0" w:color="auto"/>
        <w:left w:val="none" w:sz="0" w:space="0" w:color="auto"/>
        <w:bottom w:val="none" w:sz="0" w:space="0" w:color="auto"/>
        <w:right w:val="none" w:sz="0" w:space="0" w:color="auto"/>
      </w:divBdr>
    </w:div>
    <w:div w:id="1170828370">
      <w:bodyDiv w:val="1"/>
      <w:marLeft w:val="0"/>
      <w:marRight w:val="0"/>
      <w:marTop w:val="0"/>
      <w:marBottom w:val="0"/>
      <w:divBdr>
        <w:top w:val="none" w:sz="0" w:space="0" w:color="auto"/>
        <w:left w:val="none" w:sz="0" w:space="0" w:color="auto"/>
        <w:bottom w:val="none" w:sz="0" w:space="0" w:color="auto"/>
        <w:right w:val="none" w:sz="0" w:space="0" w:color="auto"/>
      </w:divBdr>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
    <w:div w:id="1240402835">
      <w:bodyDiv w:val="1"/>
      <w:marLeft w:val="0"/>
      <w:marRight w:val="0"/>
      <w:marTop w:val="0"/>
      <w:marBottom w:val="0"/>
      <w:divBdr>
        <w:top w:val="none" w:sz="0" w:space="0" w:color="auto"/>
        <w:left w:val="none" w:sz="0" w:space="0" w:color="auto"/>
        <w:bottom w:val="none" w:sz="0" w:space="0" w:color="auto"/>
        <w:right w:val="none" w:sz="0" w:space="0" w:color="auto"/>
      </w:divBdr>
    </w:div>
    <w:div w:id="1257784528">
      <w:bodyDiv w:val="1"/>
      <w:marLeft w:val="0"/>
      <w:marRight w:val="0"/>
      <w:marTop w:val="0"/>
      <w:marBottom w:val="0"/>
      <w:divBdr>
        <w:top w:val="none" w:sz="0" w:space="0" w:color="auto"/>
        <w:left w:val="none" w:sz="0" w:space="0" w:color="auto"/>
        <w:bottom w:val="none" w:sz="0" w:space="0" w:color="auto"/>
        <w:right w:val="none" w:sz="0" w:space="0" w:color="auto"/>
      </w:divBdr>
    </w:div>
    <w:div w:id="1464928622">
      <w:bodyDiv w:val="1"/>
      <w:marLeft w:val="0"/>
      <w:marRight w:val="0"/>
      <w:marTop w:val="0"/>
      <w:marBottom w:val="0"/>
      <w:divBdr>
        <w:top w:val="none" w:sz="0" w:space="0" w:color="auto"/>
        <w:left w:val="none" w:sz="0" w:space="0" w:color="auto"/>
        <w:bottom w:val="none" w:sz="0" w:space="0" w:color="auto"/>
        <w:right w:val="none" w:sz="0" w:space="0" w:color="auto"/>
      </w:divBdr>
    </w:div>
    <w:div w:id="1707289696">
      <w:bodyDiv w:val="1"/>
      <w:marLeft w:val="0"/>
      <w:marRight w:val="0"/>
      <w:marTop w:val="0"/>
      <w:marBottom w:val="0"/>
      <w:divBdr>
        <w:top w:val="none" w:sz="0" w:space="0" w:color="auto"/>
        <w:left w:val="none" w:sz="0" w:space="0" w:color="auto"/>
        <w:bottom w:val="none" w:sz="0" w:space="0" w:color="auto"/>
        <w:right w:val="none" w:sz="0" w:space="0" w:color="auto"/>
      </w:divBdr>
    </w:div>
    <w:div w:id="1718553114">
      <w:bodyDiv w:val="1"/>
      <w:marLeft w:val="0"/>
      <w:marRight w:val="0"/>
      <w:marTop w:val="0"/>
      <w:marBottom w:val="0"/>
      <w:divBdr>
        <w:top w:val="none" w:sz="0" w:space="0" w:color="auto"/>
        <w:left w:val="none" w:sz="0" w:space="0" w:color="auto"/>
        <w:bottom w:val="none" w:sz="0" w:space="0" w:color="auto"/>
        <w:right w:val="none" w:sz="0" w:space="0" w:color="auto"/>
      </w:divBdr>
    </w:div>
    <w:div w:id="1806193360">
      <w:bodyDiv w:val="1"/>
      <w:marLeft w:val="0"/>
      <w:marRight w:val="0"/>
      <w:marTop w:val="0"/>
      <w:marBottom w:val="0"/>
      <w:divBdr>
        <w:top w:val="none" w:sz="0" w:space="0" w:color="auto"/>
        <w:left w:val="none" w:sz="0" w:space="0" w:color="auto"/>
        <w:bottom w:val="none" w:sz="0" w:space="0" w:color="auto"/>
        <w:right w:val="none" w:sz="0" w:space="0" w:color="auto"/>
      </w:divBdr>
    </w:div>
    <w:div w:id="1911453151">
      <w:bodyDiv w:val="1"/>
      <w:marLeft w:val="0"/>
      <w:marRight w:val="0"/>
      <w:marTop w:val="0"/>
      <w:marBottom w:val="0"/>
      <w:divBdr>
        <w:top w:val="none" w:sz="0" w:space="0" w:color="auto"/>
        <w:left w:val="none" w:sz="0" w:space="0" w:color="auto"/>
        <w:bottom w:val="none" w:sz="0" w:space="0" w:color="auto"/>
        <w:right w:val="none" w:sz="0" w:space="0" w:color="auto"/>
      </w:divBdr>
    </w:div>
    <w:div w:id="1917350898">
      <w:bodyDiv w:val="1"/>
      <w:marLeft w:val="0"/>
      <w:marRight w:val="0"/>
      <w:marTop w:val="0"/>
      <w:marBottom w:val="0"/>
      <w:divBdr>
        <w:top w:val="none" w:sz="0" w:space="0" w:color="auto"/>
        <w:left w:val="none" w:sz="0" w:space="0" w:color="auto"/>
        <w:bottom w:val="none" w:sz="0" w:space="0" w:color="auto"/>
        <w:right w:val="none" w:sz="0" w:space="0" w:color="auto"/>
      </w:divBdr>
    </w:div>
    <w:div w:id="1930040781">
      <w:bodyDiv w:val="1"/>
      <w:marLeft w:val="0"/>
      <w:marRight w:val="0"/>
      <w:marTop w:val="0"/>
      <w:marBottom w:val="0"/>
      <w:divBdr>
        <w:top w:val="none" w:sz="0" w:space="0" w:color="auto"/>
        <w:left w:val="none" w:sz="0" w:space="0" w:color="auto"/>
        <w:bottom w:val="none" w:sz="0" w:space="0" w:color="auto"/>
        <w:right w:val="none" w:sz="0" w:space="0" w:color="auto"/>
      </w:divBdr>
    </w:div>
    <w:div w:id="1994525129">
      <w:bodyDiv w:val="1"/>
      <w:marLeft w:val="0"/>
      <w:marRight w:val="0"/>
      <w:marTop w:val="0"/>
      <w:marBottom w:val="0"/>
      <w:divBdr>
        <w:top w:val="none" w:sz="0" w:space="0" w:color="auto"/>
        <w:left w:val="none" w:sz="0" w:space="0" w:color="auto"/>
        <w:bottom w:val="none" w:sz="0" w:space="0" w:color="auto"/>
        <w:right w:val="none" w:sz="0" w:space="0" w:color="auto"/>
      </w:divBdr>
    </w:div>
    <w:div w:id="2030568440">
      <w:bodyDiv w:val="1"/>
      <w:marLeft w:val="0"/>
      <w:marRight w:val="0"/>
      <w:marTop w:val="0"/>
      <w:marBottom w:val="0"/>
      <w:divBdr>
        <w:top w:val="none" w:sz="0" w:space="0" w:color="auto"/>
        <w:left w:val="none" w:sz="0" w:space="0" w:color="auto"/>
        <w:bottom w:val="none" w:sz="0" w:space="0" w:color="auto"/>
        <w:right w:val="none" w:sz="0" w:space="0" w:color="auto"/>
      </w:divBdr>
    </w:div>
    <w:div w:id="2034066490">
      <w:bodyDiv w:val="1"/>
      <w:marLeft w:val="0"/>
      <w:marRight w:val="0"/>
      <w:marTop w:val="0"/>
      <w:marBottom w:val="0"/>
      <w:divBdr>
        <w:top w:val="none" w:sz="0" w:space="0" w:color="auto"/>
        <w:left w:val="none" w:sz="0" w:space="0" w:color="auto"/>
        <w:bottom w:val="none" w:sz="0" w:space="0" w:color="auto"/>
        <w:right w:val="none" w:sz="0" w:space="0" w:color="auto"/>
      </w:divBdr>
    </w:div>
    <w:div w:id="21086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Documents\PrivatetuitionPASECMay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Documents\PrivatetuitionPASECMay1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 Scatter plots of Grade 6 tutorial incidence and grade 6 repetition rates in Francophone West Africa, 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Lbls>
            <c:dLbl>
              <c:idx val="0"/>
              <c:tx>
                <c:rich>
                  <a:bodyPr/>
                  <a:lstStyle/>
                  <a:p>
                    <a:fld id="{7195918C-1033-4A90-B8AA-54B23B48E50A}" type="CELLRANGE">
                      <a:rPr lang="en-GB"/>
                      <a:pPr/>
                      <a:t>[CELLRANGE]</a:t>
                    </a:fld>
                    <a:r>
                      <a:rPr lang="en-GB" baseline="0"/>
                      <a:t>, </a:t>
                    </a:r>
                    <a:fld id="{C6912106-E966-492C-AFCA-6EDF32038BD1}"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1"/>
              <c:tx>
                <c:rich>
                  <a:bodyPr/>
                  <a:lstStyle/>
                  <a:p>
                    <a:fld id="{0B1815CE-0AA4-4C3E-ADB4-8660A8774A63}" type="CELLRANGE">
                      <a:rPr lang="en-GB"/>
                      <a:pPr/>
                      <a:t>[CELLRANGE]</a:t>
                    </a:fld>
                    <a:r>
                      <a:rPr lang="en-GB" baseline="0"/>
                      <a:t>, </a:t>
                    </a:r>
                    <a:fld id="{F160F9BD-2919-4389-A95D-6AE865A58D8F}"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686839CD-5D12-4C99-8E6A-4098BFDE4558}" type="CELLRANGE">
                      <a:rPr lang="en-GB"/>
                      <a:pPr/>
                      <a:t>[CELLRANGE]</a:t>
                    </a:fld>
                    <a:r>
                      <a:rPr lang="en-GB" baseline="0"/>
                      <a:t>, </a:t>
                    </a:r>
                    <a:fld id="{8AD2955E-FFBA-4457-9476-913E3298F5FB}"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958931D0-6806-44A9-8BE5-4FD87D17A811}" type="CELLRANGE">
                      <a:rPr lang="en-GB"/>
                      <a:pPr/>
                      <a:t>[CELLRANGE]</a:t>
                    </a:fld>
                    <a:r>
                      <a:rPr lang="en-GB" baseline="0"/>
                      <a:t>, </a:t>
                    </a:r>
                    <a:fld id="{32C99DBB-1043-40E2-B2AF-0FC4B5B02737}"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8DAE9E1E-D0A9-4F44-B734-8BD65B4D56F2}" type="CELLRANGE">
                      <a:rPr lang="en-GB"/>
                      <a:pPr/>
                      <a:t>[CELLRANGE]</a:t>
                    </a:fld>
                    <a:r>
                      <a:rPr lang="en-GB" baseline="0"/>
                      <a:t>, </a:t>
                    </a:r>
                    <a:fld id="{121D6171-4F43-41F6-9F39-F5DCE21F25ED}"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2B91C3AC-D619-40E5-B178-5CFDAE7F2C22}" type="CELLRANGE">
                      <a:rPr lang="en-GB"/>
                      <a:pPr/>
                      <a:t>[CELLRANGE]</a:t>
                    </a:fld>
                    <a:r>
                      <a:rPr lang="en-GB" baseline="0"/>
                      <a:t>, </a:t>
                    </a:r>
                    <a:fld id="{EB26F296-A74F-40CE-A64E-36B5BA045BDD}"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6FBF11B9-BA54-46C5-805B-F77379524EE5}" type="CELLRANGE">
                      <a:rPr lang="en-GB"/>
                      <a:pPr/>
                      <a:t>[CELLRANGE]</a:t>
                    </a:fld>
                    <a:r>
                      <a:rPr lang="en-GB" baseline="0"/>
                      <a:t>, </a:t>
                    </a:r>
                    <a:fld id="{B9E1E0D7-439C-47A8-BDE3-D8EFAE0106FF}"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17B461D5-CA74-4633-93E4-955C8D4D2124}" type="CELLRANGE">
                      <a:rPr lang="en-GB"/>
                      <a:pPr/>
                      <a:t>[CELLRANGE]</a:t>
                    </a:fld>
                    <a:r>
                      <a:rPr lang="en-GB" baseline="0"/>
                      <a:t>, </a:t>
                    </a:r>
                    <a:fld id="{B90F2AC4-7E38-438C-A826-8C767281C872}"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4CA63AB4-9F17-4857-BBF1-931ABCD9C12C}" type="CELLRANGE">
                      <a:rPr lang="en-GB"/>
                      <a:pPr/>
                      <a:t>[CELLRANGE]</a:t>
                    </a:fld>
                    <a:r>
                      <a:rPr lang="en-GB" baseline="0"/>
                      <a:t>, </a:t>
                    </a:r>
                    <a:fld id="{95237C62-BF0C-4C01-AC29-E92ADF4018C2}"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tab2enrols!$J$15:$J$23</c:f>
              <c:numCache>
                <c:formatCode>0</c:formatCode>
                <c:ptCount val="9"/>
                <c:pt idx="0">
                  <c:v>0</c:v>
                </c:pt>
                <c:pt idx="1">
                  <c:v>22.7</c:v>
                </c:pt>
                <c:pt idx="2">
                  <c:v>12.4</c:v>
                </c:pt>
                <c:pt idx="3">
                  <c:v>15.5</c:v>
                </c:pt>
                <c:pt idx="4">
                  <c:v>23.9</c:v>
                </c:pt>
                <c:pt idx="5">
                  <c:v>12.8</c:v>
                </c:pt>
                <c:pt idx="6">
                  <c:v>4.0999999999999996</c:v>
                </c:pt>
                <c:pt idx="7">
                  <c:v>24.9</c:v>
                </c:pt>
                <c:pt idx="8">
                  <c:v>11.7</c:v>
                </c:pt>
              </c:numCache>
            </c:numRef>
          </c:xVal>
          <c:yVal>
            <c:numRef>
              <c:f>tab2enrols!$K$15:$K$23</c:f>
              <c:numCache>
                <c:formatCode>General</c:formatCode>
                <c:ptCount val="9"/>
                <c:pt idx="0">
                  <c:v>36</c:v>
                </c:pt>
                <c:pt idx="1">
                  <c:v>26</c:v>
                </c:pt>
                <c:pt idx="2">
                  <c:v>37</c:v>
                </c:pt>
                <c:pt idx="3">
                  <c:v>18</c:v>
                </c:pt>
                <c:pt idx="4">
                  <c:v>36</c:v>
                </c:pt>
                <c:pt idx="5">
                  <c:v>20</c:v>
                </c:pt>
                <c:pt idx="6">
                  <c:v>42</c:v>
                </c:pt>
                <c:pt idx="7">
                  <c:v>12</c:v>
                </c:pt>
                <c:pt idx="8">
                  <c:v>29</c:v>
                </c:pt>
              </c:numCache>
            </c:numRef>
          </c:yVal>
          <c:smooth val="0"/>
          <c:extLst xmlns:c16r2="http://schemas.microsoft.com/office/drawing/2015/06/chart">
            <c:ext xmlns:c16="http://schemas.microsoft.com/office/drawing/2014/chart" uri="{C3380CC4-5D6E-409C-BE32-E72D297353CC}">
              <c16:uniqueId val="{0000000A-8CA6-8949-9E45-A8977B6CAF35}"/>
            </c:ext>
            <c:ext xmlns:c15="http://schemas.microsoft.com/office/drawing/2012/chart" uri="{02D57815-91ED-43cb-92C2-25804820EDAC}">
              <c15:datalabelsRange>
                <c15:f>tab2enrols!$H$15:$H$23</c15:f>
                <c15:dlblRangeCache>
                  <c:ptCount val="9"/>
                  <c:pt idx="0">
                    <c:v>Benin</c:v>
                  </c:pt>
                  <c:pt idx="1">
                    <c:v>Burkina Faso</c:v>
                  </c:pt>
                  <c:pt idx="2">
                    <c:v>Cameroon</c:v>
                  </c:pt>
                  <c:pt idx="3">
                    <c:v>Congo</c:v>
                  </c:pt>
                  <c:pt idx="4">
                    <c:v>Cote d'Ivoire</c:v>
                  </c:pt>
                  <c:pt idx="5">
                    <c:v>Niger</c:v>
                  </c:pt>
                  <c:pt idx="6">
                    <c:v>Senegal</c:v>
                  </c:pt>
                  <c:pt idx="7">
                    <c:v>Tchad</c:v>
                  </c:pt>
                  <c:pt idx="8">
                    <c:v>Togo</c:v>
                  </c:pt>
                </c15:dlblRangeCache>
              </c15:datalabelsRange>
            </c:ext>
          </c:extLst>
        </c:ser>
        <c:dLbls>
          <c:showLegendKey val="0"/>
          <c:showVal val="1"/>
          <c:showCatName val="0"/>
          <c:showSerName val="0"/>
          <c:showPercent val="0"/>
          <c:showBubbleSize val="0"/>
        </c:dLbls>
        <c:axId val="-179270768"/>
        <c:axId val="-179273488"/>
      </c:scatterChart>
      <c:valAx>
        <c:axId val="-1792707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Grade 6 repetition rate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73488"/>
        <c:crosses val="autoZero"/>
        <c:crossBetween val="midCat"/>
      </c:valAx>
      <c:valAx>
        <c:axId val="-179273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Incidence of private tuition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707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a:t>
            </a:r>
            <a:r>
              <a:rPr lang="en-GB" baseline="0"/>
              <a:t> 2: Scatter plots of private tuition incidence and the overall enrolment share of secular private  primary schools, 2014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Lbl>
              <c:idx val="0"/>
              <c:tx>
                <c:rich>
                  <a:bodyPr/>
                  <a:lstStyle/>
                  <a:p>
                    <a:fld id="{B99CEBCE-77B4-441A-AE01-7725BFB96047}" type="CELLRANGE">
                      <a:rPr lang="en-GB"/>
                      <a:pPr/>
                      <a:t>[CELLRANGE]</a:t>
                    </a:fld>
                    <a:r>
                      <a:rPr lang="en-GB" baseline="0"/>
                      <a:t>, </a:t>
                    </a:r>
                    <a:fld id="{9413355E-C3B5-43A8-88CD-036D44C50F17}"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1"/>
              <c:tx>
                <c:rich>
                  <a:bodyPr/>
                  <a:lstStyle/>
                  <a:p>
                    <a:fld id="{5E9E0243-E080-4F8D-AD22-2CB2A6DFCED6}" type="CELLRANGE">
                      <a:rPr lang="en-GB"/>
                      <a:pPr/>
                      <a:t>[CELLRANGE]</a:t>
                    </a:fld>
                    <a:r>
                      <a:rPr lang="en-GB" baseline="0"/>
                      <a:t>, </a:t>
                    </a:r>
                    <a:fld id="{3F0F9D33-0C7B-4CF2-8A2D-C527FC25837C}"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7DFBCE34-BADC-49EF-84DB-554BFAD6FB24}" type="CELLRANGE">
                      <a:rPr lang="en-GB"/>
                      <a:pPr/>
                      <a:t>[CELLRANGE]</a:t>
                    </a:fld>
                    <a:r>
                      <a:rPr lang="en-GB" baseline="0"/>
                      <a:t>, </a:t>
                    </a:r>
                    <a:fld id="{E2D61FC1-EA95-4E44-A8AF-4058BBABEB43}"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8DF87A0D-2BF6-4119-96DE-D586C00B29F2}" type="CELLRANGE">
                      <a:rPr lang="en-GB"/>
                      <a:pPr/>
                      <a:t>[CELLRANGE]</a:t>
                    </a:fld>
                    <a:r>
                      <a:rPr lang="en-GB" baseline="0"/>
                      <a:t>, </a:t>
                    </a:r>
                    <a:fld id="{AF292948-C10B-4871-8723-AFE407485CB9}"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BE86F584-7B00-46B8-97D6-1DFCE150DF0E}" type="CELLRANGE">
                      <a:rPr lang="en-GB"/>
                      <a:pPr/>
                      <a:t>[CELLRANGE]</a:t>
                    </a:fld>
                    <a:r>
                      <a:rPr lang="en-GB" baseline="0"/>
                      <a:t>, </a:t>
                    </a:r>
                    <a:fld id="{5F946810-9598-4251-BE2C-DE0B8A04E0C7}"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9F95EF98-B5DF-4AF5-AC29-685E9AF3FB0B}" type="CELLRANGE">
                      <a:rPr lang="en-GB"/>
                      <a:pPr/>
                      <a:t>[CELLRANGE]</a:t>
                    </a:fld>
                    <a:r>
                      <a:rPr lang="en-GB" baseline="0"/>
                      <a:t>, </a:t>
                    </a:r>
                    <a:fld id="{01F8E956-AC69-4083-9AB8-35C0B7E6F2DE}"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78A9AEDC-1319-4C69-8101-82167C42EDDC}" type="CELLRANGE">
                      <a:rPr lang="en-GB"/>
                      <a:pPr/>
                      <a:t>[CELLRANGE]</a:t>
                    </a:fld>
                    <a:r>
                      <a:rPr lang="en-GB" baseline="0"/>
                      <a:t>, </a:t>
                    </a:r>
                    <a:fld id="{58509EA4-935D-4751-BA2C-0F6CB0873BF6}"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D702A0EF-E8A4-438C-9A72-079515C571E3}" type="CELLRANGE">
                      <a:rPr lang="en-GB"/>
                      <a:pPr/>
                      <a:t>[CELLRANGE]</a:t>
                    </a:fld>
                    <a:r>
                      <a:rPr lang="en-GB" baseline="0"/>
                      <a:t>, </a:t>
                    </a:r>
                    <a:fld id="{8C1B4DDA-25D6-4E3B-AD3E-8A5B0D1BC17B}"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11C8B413-6821-49F7-AC12-860BC535488E}" type="CELLRANGE">
                      <a:rPr lang="en-GB"/>
                      <a:pPr/>
                      <a:t>[CELLRANGE]</a:t>
                    </a:fld>
                    <a:r>
                      <a:rPr lang="en-GB" baseline="0"/>
                      <a:t>, </a:t>
                    </a:r>
                    <a:fld id="{2D307084-3384-479C-8B74-3C14AB8C89F0}" type="YVALUE">
                      <a:rPr lang="en-GB" baseline="0"/>
                      <a:pPr/>
                      <a:t>[Y VALUE]</a:t>
                    </a:fld>
                    <a:endParaRPr lang="en-GB" baseline="0"/>
                  </a:p>
                </c:rich>
              </c:tx>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tab2enrols!$D$15:$D$23</c:f>
              <c:numCache>
                <c:formatCode>0</c:formatCode>
                <c:ptCount val="9"/>
                <c:pt idx="0">
                  <c:v>10</c:v>
                </c:pt>
                <c:pt idx="1">
                  <c:v>6.5</c:v>
                </c:pt>
                <c:pt idx="2">
                  <c:v>12.9</c:v>
                </c:pt>
                <c:pt idx="3">
                  <c:v>2</c:v>
                </c:pt>
                <c:pt idx="4">
                  <c:v>2.5</c:v>
                </c:pt>
                <c:pt idx="5">
                  <c:v>1.8</c:v>
                </c:pt>
                <c:pt idx="6">
                  <c:v>10.5</c:v>
                </c:pt>
                <c:pt idx="7">
                  <c:v>6.7</c:v>
                </c:pt>
                <c:pt idx="8">
                  <c:v>13</c:v>
                </c:pt>
              </c:numCache>
            </c:numRef>
          </c:xVal>
          <c:yVal>
            <c:numRef>
              <c:f>tab2enrols!$E$15:$E$23</c:f>
              <c:numCache>
                <c:formatCode>General</c:formatCode>
                <c:ptCount val="9"/>
                <c:pt idx="0">
                  <c:v>36</c:v>
                </c:pt>
                <c:pt idx="1">
                  <c:v>26</c:v>
                </c:pt>
                <c:pt idx="2">
                  <c:v>37</c:v>
                </c:pt>
                <c:pt idx="3">
                  <c:v>18</c:v>
                </c:pt>
                <c:pt idx="4">
                  <c:v>36</c:v>
                </c:pt>
                <c:pt idx="5">
                  <c:v>20</c:v>
                </c:pt>
                <c:pt idx="6">
                  <c:v>42</c:v>
                </c:pt>
                <c:pt idx="7">
                  <c:v>12</c:v>
                </c:pt>
                <c:pt idx="8">
                  <c:v>29</c:v>
                </c:pt>
              </c:numCache>
            </c:numRef>
          </c:yVal>
          <c:smooth val="0"/>
          <c:extLst xmlns:c16r2="http://schemas.microsoft.com/office/drawing/2015/06/chart">
            <c:ext xmlns:c16="http://schemas.microsoft.com/office/drawing/2014/chart" uri="{C3380CC4-5D6E-409C-BE32-E72D297353CC}">
              <c16:uniqueId val="{0000000A-06BB-C54F-942A-DC8F0A3D248D}"/>
            </c:ext>
            <c:ext xmlns:c15="http://schemas.microsoft.com/office/drawing/2012/chart" uri="{02D57815-91ED-43cb-92C2-25804820EDAC}">
              <c15:datalabelsRange>
                <c15:f>tab2enrols!$C$15:$C$23</c15:f>
                <c15:dlblRangeCache>
                  <c:ptCount val="9"/>
                  <c:pt idx="0">
                    <c:v>Benin</c:v>
                  </c:pt>
                  <c:pt idx="1">
                    <c:v>Burkina Faso</c:v>
                  </c:pt>
                  <c:pt idx="2">
                    <c:v>Cameroon</c:v>
                  </c:pt>
                  <c:pt idx="3">
                    <c:v>Congo</c:v>
                  </c:pt>
                  <c:pt idx="4">
                    <c:v>Cote d'Ivoire</c:v>
                  </c:pt>
                  <c:pt idx="5">
                    <c:v>Niger</c:v>
                  </c:pt>
                  <c:pt idx="6">
                    <c:v>Senegal</c:v>
                  </c:pt>
                  <c:pt idx="7">
                    <c:v>Tchad</c:v>
                  </c:pt>
                  <c:pt idx="8">
                    <c:v>Togo</c:v>
                  </c:pt>
                </c15:dlblRangeCache>
              </c15:datalabelsRange>
            </c:ext>
          </c:extLst>
        </c:ser>
        <c:dLbls>
          <c:showLegendKey val="0"/>
          <c:showVal val="1"/>
          <c:showCatName val="0"/>
          <c:showSerName val="0"/>
          <c:showPercent val="0"/>
          <c:showBubbleSize val="0"/>
        </c:dLbls>
        <c:axId val="-128958768"/>
        <c:axId val="-128956592"/>
      </c:scatterChart>
      <c:valAx>
        <c:axId val="-1289587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private enrolments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956592"/>
        <c:crosses val="autoZero"/>
        <c:crossBetween val="midCat"/>
      </c:valAx>
      <c:valAx>
        <c:axId val="-128956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aseline="0"/>
                  <a:t> incidence of private tuition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9587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23F15-3172-4A7F-94C9-95F48168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5396</Words>
  <Characters>30759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cp:revision>
  <cp:lastPrinted>2021-05-21T10:51:00Z</cp:lastPrinted>
  <dcterms:created xsi:type="dcterms:W3CDTF">2021-07-06T11:31:00Z</dcterms:created>
  <dcterms:modified xsi:type="dcterms:W3CDTF">2021-07-06T12:13:00Z</dcterms:modified>
</cp:coreProperties>
</file>