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BC0AAA" w:rsidRPr="00DB4CBF" w:rsidRDefault="006D77F3" w:rsidP="006D77F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KSD Working Paper 14</w:t>
      </w: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DB4CBF" w:rsidRDefault="007A7EA0" w:rsidP="006D77F3">
      <w:pPr>
        <w:pBdr>
          <w:top w:val="single" w:sz="4" w:space="1" w:color="auto"/>
          <w:left w:val="single" w:sz="4" w:space="4" w:color="auto"/>
          <w:bottom w:val="single" w:sz="4" w:space="1" w:color="auto"/>
          <w:right w:val="single" w:sz="4" w:space="4" w:color="auto"/>
        </w:pBdr>
        <w:jc w:val="center"/>
        <w:rPr>
          <w:b/>
          <w:sz w:val="28"/>
          <w:szCs w:val="28"/>
        </w:rPr>
      </w:pPr>
      <w:r w:rsidRPr="00DB4CBF">
        <w:rPr>
          <w:b/>
          <w:sz w:val="28"/>
          <w:szCs w:val="28"/>
        </w:rPr>
        <w:t xml:space="preserve">RECENT </w:t>
      </w:r>
      <w:r w:rsidR="00BC0AAA" w:rsidRPr="00DB4CBF">
        <w:rPr>
          <w:b/>
          <w:sz w:val="28"/>
          <w:szCs w:val="28"/>
        </w:rPr>
        <w:t xml:space="preserve">TRENDS IN FEMALE AND MALE </w:t>
      </w:r>
      <w:r w:rsidR="002067B1" w:rsidRPr="00DB4CBF">
        <w:rPr>
          <w:b/>
          <w:sz w:val="28"/>
          <w:szCs w:val="28"/>
        </w:rPr>
        <w:t xml:space="preserve">EDUCATION </w:t>
      </w:r>
      <w:r w:rsidR="00E449FE">
        <w:rPr>
          <w:b/>
          <w:sz w:val="28"/>
          <w:szCs w:val="28"/>
        </w:rPr>
        <w:t>INEQUALITY</w:t>
      </w:r>
    </w:p>
    <w:p w:rsidR="00A30E12" w:rsidRPr="00DB4CBF" w:rsidRDefault="00BC0AAA" w:rsidP="006D77F3">
      <w:pPr>
        <w:pBdr>
          <w:top w:val="single" w:sz="4" w:space="1" w:color="auto"/>
          <w:left w:val="single" w:sz="4" w:space="4" w:color="auto"/>
          <w:bottom w:val="single" w:sz="4" w:space="1" w:color="auto"/>
          <w:right w:val="single" w:sz="4" w:space="4" w:color="auto"/>
        </w:pBdr>
        <w:jc w:val="center"/>
        <w:rPr>
          <w:b/>
          <w:sz w:val="28"/>
          <w:szCs w:val="28"/>
        </w:rPr>
      </w:pPr>
      <w:r w:rsidRPr="00DB4CBF">
        <w:rPr>
          <w:b/>
          <w:sz w:val="28"/>
          <w:szCs w:val="28"/>
        </w:rPr>
        <w:t>IN SUB-SAHARAN AFRICAN</w:t>
      </w:r>
    </w:p>
    <w:p w:rsidR="00BC0AAA" w:rsidRPr="00DB4CBF" w:rsidRDefault="00BC0AAA" w:rsidP="006D77F3">
      <w:pPr>
        <w:pBdr>
          <w:top w:val="single" w:sz="4" w:space="1" w:color="auto"/>
          <w:left w:val="single" w:sz="4" w:space="4" w:color="auto"/>
          <w:bottom w:val="single" w:sz="4" w:space="1" w:color="auto"/>
          <w:right w:val="single" w:sz="4" w:space="4" w:color="auto"/>
        </w:pBdr>
        <w:jc w:val="center"/>
        <w:rPr>
          <w:b/>
          <w:sz w:val="28"/>
          <w:szCs w:val="28"/>
        </w:rPr>
      </w:pPr>
    </w:p>
    <w:p w:rsidR="00BC0AAA" w:rsidRPr="00DB4CBF" w:rsidRDefault="00BC0AAA" w:rsidP="006D77F3">
      <w:pPr>
        <w:pBdr>
          <w:top w:val="single" w:sz="4" w:space="1" w:color="auto"/>
          <w:left w:val="single" w:sz="4" w:space="4" w:color="auto"/>
          <w:bottom w:val="single" w:sz="4" w:space="1" w:color="auto"/>
          <w:right w:val="single" w:sz="4" w:space="4" w:color="auto"/>
        </w:pBdr>
        <w:jc w:val="center"/>
        <w:rPr>
          <w:b/>
          <w:sz w:val="28"/>
          <w:szCs w:val="28"/>
        </w:rPr>
      </w:pPr>
      <w:r w:rsidRPr="00DB4CBF">
        <w:rPr>
          <w:b/>
          <w:sz w:val="28"/>
          <w:szCs w:val="28"/>
        </w:rPr>
        <w:t>PAUL BENNELL</w:t>
      </w:r>
    </w:p>
    <w:p w:rsidR="00BC0AAA" w:rsidRDefault="00BC0AAA" w:rsidP="006D77F3">
      <w:pPr>
        <w:pBdr>
          <w:top w:val="single" w:sz="4" w:space="1" w:color="auto"/>
          <w:left w:val="single" w:sz="4" w:space="4" w:color="auto"/>
          <w:bottom w:val="single" w:sz="4" w:space="1" w:color="auto"/>
          <w:right w:val="single" w:sz="4" w:space="4" w:color="auto"/>
        </w:pBdr>
        <w:jc w:val="center"/>
        <w:rPr>
          <w:b/>
          <w:sz w:val="28"/>
          <w:szCs w:val="28"/>
        </w:rPr>
      </w:pPr>
      <w:r w:rsidRPr="00DB4CBF">
        <w:rPr>
          <w:b/>
          <w:sz w:val="28"/>
          <w:szCs w:val="28"/>
        </w:rPr>
        <w:t>Senior Partner, Knowledge and Skills for Development, Brighton, UK</w:t>
      </w: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rsidP="006D77F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September 2021</w:t>
      </w:r>
    </w:p>
    <w:p w:rsidR="006D77F3" w:rsidRPr="00DB4CBF" w:rsidRDefault="006D77F3" w:rsidP="006D77F3">
      <w:pPr>
        <w:pBdr>
          <w:top w:val="single" w:sz="4" w:space="1" w:color="auto"/>
          <w:left w:val="single" w:sz="4" w:space="4" w:color="auto"/>
          <w:bottom w:val="single" w:sz="4" w:space="1" w:color="auto"/>
          <w:right w:val="single" w:sz="4" w:space="4" w:color="auto"/>
        </w:pBdr>
        <w:jc w:val="center"/>
        <w:rPr>
          <w:b/>
          <w:sz w:val="28"/>
          <w:szCs w:val="28"/>
        </w:rPr>
      </w:pPr>
    </w:p>
    <w:p w:rsidR="006D77F3" w:rsidRDefault="006D77F3">
      <w:pPr>
        <w:rPr>
          <w:sz w:val="28"/>
          <w:szCs w:val="28"/>
        </w:rPr>
      </w:pPr>
      <w:r>
        <w:rPr>
          <w:sz w:val="28"/>
          <w:szCs w:val="28"/>
        </w:rPr>
        <w:br w:type="page"/>
      </w:r>
    </w:p>
    <w:p w:rsidR="00BC0AAA" w:rsidRPr="002447BD" w:rsidRDefault="00BC0AAA" w:rsidP="002447BD">
      <w:pPr>
        <w:pStyle w:val="ListParagraph"/>
        <w:numPr>
          <w:ilvl w:val="0"/>
          <w:numId w:val="1"/>
        </w:numPr>
        <w:rPr>
          <w:b/>
          <w:sz w:val="28"/>
          <w:szCs w:val="28"/>
        </w:rPr>
      </w:pPr>
      <w:r w:rsidRPr="002447BD">
        <w:rPr>
          <w:b/>
          <w:sz w:val="28"/>
          <w:szCs w:val="28"/>
        </w:rPr>
        <w:lastRenderedPageBreak/>
        <w:t>Introduction</w:t>
      </w:r>
    </w:p>
    <w:p w:rsidR="008674CC" w:rsidRDefault="002C76B7" w:rsidP="002447BD">
      <w:pPr>
        <w:jc w:val="both"/>
        <w:rPr>
          <w:sz w:val="28"/>
          <w:szCs w:val="28"/>
        </w:rPr>
      </w:pPr>
      <w:r>
        <w:rPr>
          <w:sz w:val="28"/>
          <w:szCs w:val="28"/>
        </w:rPr>
        <w:t xml:space="preserve">A </w:t>
      </w:r>
      <w:r w:rsidR="00DB4CBF">
        <w:rPr>
          <w:sz w:val="28"/>
          <w:szCs w:val="28"/>
        </w:rPr>
        <w:t xml:space="preserve">key </w:t>
      </w:r>
      <w:r>
        <w:rPr>
          <w:sz w:val="28"/>
          <w:szCs w:val="28"/>
        </w:rPr>
        <w:t xml:space="preserve">Sustainable Development Goal </w:t>
      </w:r>
      <w:r w:rsidR="002447BD">
        <w:rPr>
          <w:sz w:val="28"/>
          <w:szCs w:val="28"/>
        </w:rPr>
        <w:t>target</w:t>
      </w:r>
      <w:r>
        <w:rPr>
          <w:sz w:val="28"/>
          <w:szCs w:val="28"/>
        </w:rPr>
        <w:t xml:space="preserve"> </w:t>
      </w:r>
      <w:r w:rsidR="00DB4CBF">
        <w:rPr>
          <w:sz w:val="28"/>
          <w:szCs w:val="28"/>
        </w:rPr>
        <w:t xml:space="preserve">is </w:t>
      </w:r>
      <w:r w:rsidR="00394FB1">
        <w:rPr>
          <w:sz w:val="28"/>
          <w:szCs w:val="28"/>
        </w:rPr>
        <w:t xml:space="preserve">to </w:t>
      </w:r>
      <w:r w:rsidR="002447BD">
        <w:rPr>
          <w:sz w:val="28"/>
          <w:szCs w:val="28"/>
        </w:rPr>
        <w:t xml:space="preserve">‘eliminate gender disparities in education’ by 2030. </w:t>
      </w:r>
      <w:r>
        <w:rPr>
          <w:sz w:val="28"/>
          <w:szCs w:val="28"/>
        </w:rPr>
        <w:t>The prevailing consensus is that considerable progress has been made in reducing gender schooling inequality during the last two decades. As t</w:t>
      </w:r>
      <w:r w:rsidR="00BC0AAA">
        <w:rPr>
          <w:sz w:val="28"/>
          <w:szCs w:val="28"/>
        </w:rPr>
        <w:t xml:space="preserve">he </w:t>
      </w:r>
      <w:r>
        <w:rPr>
          <w:sz w:val="28"/>
          <w:szCs w:val="28"/>
        </w:rPr>
        <w:t xml:space="preserve">2020 </w:t>
      </w:r>
      <w:r w:rsidR="00721B81">
        <w:rPr>
          <w:sz w:val="28"/>
          <w:szCs w:val="28"/>
        </w:rPr>
        <w:t xml:space="preserve">UNESCO </w:t>
      </w:r>
      <w:r w:rsidR="00BC0AAA">
        <w:rPr>
          <w:sz w:val="28"/>
          <w:szCs w:val="28"/>
        </w:rPr>
        <w:t xml:space="preserve">Global </w:t>
      </w:r>
      <w:r>
        <w:rPr>
          <w:sz w:val="28"/>
          <w:szCs w:val="28"/>
        </w:rPr>
        <w:t xml:space="preserve">Gender </w:t>
      </w:r>
      <w:r w:rsidR="00BC0AAA">
        <w:rPr>
          <w:sz w:val="28"/>
          <w:szCs w:val="28"/>
        </w:rPr>
        <w:t xml:space="preserve">Education Monitoring Report </w:t>
      </w:r>
      <w:r>
        <w:rPr>
          <w:sz w:val="28"/>
          <w:szCs w:val="28"/>
        </w:rPr>
        <w:t xml:space="preserve">notes that </w:t>
      </w:r>
      <w:r w:rsidR="00BC0AAA">
        <w:rPr>
          <w:sz w:val="28"/>
          <w:szCs w:val="28"/>
        </w:rPr>
        <w:t>‘there has been a generational leap in access to education for girls over the past 25 years</w:t>
      </w:r>
      <w:r w:rsidR="008674CC">
        <w:rPr>
          <w:sz w:val="28"/>
          <w:szCs w:val="28"/>
        </w:rPr>
        <w:t xml:space="preserve"> (2020:</w:t>
      </w:r>
      <w:r w:rsidR="00BC0AAA">
        <w:rPr>
          <w:sz w:val="28"/>
          <w:szCs w:val="28"/>
        </w:rPr>
        <w:t xml:space="preserve"> 1).</w:t>
      </w:r>
      <w:r>
        <w:rPr>
          <w:sz w:val="28"/>
          <w:szCs w:val="28"/>
        </w:rPr>
        <w:t xml:space="preserve"> However, it is also widely recognised that ‘d</w:t>
      </w:r>
      <w:r w:rsidR="008674CC">
        <w:rPr>
          <w:sz w:val="28"/>
          <w:szCs w:val="28"/>
        </w:rPr>
        <w:t>espite significant gains in recent years, education outcomes for girls in developing countries conti</w:t>
      </w:r>
      <w:r w:rsidR="00553DCE">
        <w:rPr>
          <w:sz w:val="28"/>
          <w:szCs w:val="28"/>
        </w:rPr>
        <w:t>nue to lag behind those of boys</w:t>
      </w:r>
      <w:r w:rsidR="008674CC">
        <w:rPr>
          <w:sz w:val="28"/>
          <w:szCs w:val="28"/>
        </w:rPr>
        <w:t>’ (GPE, 2018:2)</w:t>
      </w:r>
      <w:r w:rsidR="00553DCE">
        <w:rPr>
          <w:sz w:val="28"/>
          <w:szCs w:val="28"/>
        </w:rPr>
        <w:t>.</w:t>
      </w:r>
    </w:p>
    <w:p w:rsidR="003E71AA" w:rsidRDefault="00084C57" w:rsidP="002447BD">
      <w:pPr>
        <w:jc w:val="both"/>
        <w:rPr>
          <w:sz w:val="28"/>
          <w:szCs w:val="28"/>
        </w:rPr>
      </w:pPr>
      <w:r w:rsidRPr="002C76B7">
        <w:rPr>
          <w:sz w:val="28"/>
          <w:szCs w:val="28"/>
        </w:rPr>
        <w:t>The purpose of this research note</w:t>
      </w:r>
      <w:r w:rsidR="000463C6">
        <w:rPr>
          <w:rStyle w:val="FootnoteReference"/>
          <w:sz w:val="28"/>
          <w:szCs w:val="28"/>
        </w:rPr>
        <w:footnoteReference w:id="1"/>
      </w:r>
      <w:r w:rsidRPr="002C76B7">
        <w:rPr>
          <w:sz w:val="28"/>
          <w:szCs w:val="28"/>
        </w:rPr>
        <w:t xml:space="preserve"> is to review the most recent enrolment and household data on female and male </w:t>
      </w:r>
      <w:r w:rsidR="00DB4CBF">
        <w:rPr>
          <w:sz w:val="28"/>
          <w:szCs w:val="28"/>
        </w:rPr>
        <w:t xml:space="preserve">education </w:t>
      </w:r>
      <w:r w:rsidRPr="002C76B7">
        <w:rPr>
          <w:sz w:val="28"/>
          <w:szCs w:val="28"/>
        </w:rPr>
        <w:t xml:space="preserve">in SSA in order to provide </w:t>
      </w:r>
      <w:r w:rsidR="00DB4CBF">
        <w:rPr>
          <w:sz w:val="28"/>
          <w:szCs w:val="28"/>
        </w:rPr>
        <w:t xml:space="preserve">an </w:t>
      </w:r>
      <w:r w:rsidRPr="002C76B7">
        <w:rPr>
          <w:sz w:val="28"/>
          <w:szCs w:val="28"/>
        </w:rPr>
        <w:t>up-to-date assessment of the extent of gender inequality for each of the three main e</w:t>
      </w:r>
      <w:r w:rsidR="00DB4CBF">
        <w:rPr>
          <w:sz w:val="28"/>
          <w:szCs w:val="28"/>
        </w:rPr>
        <w:t xml:space="preserve">ducation levels namely primary and </w:t>
      </w:r>
      <w:r w:rsidRPr="002C76B7">
        <w:rPr>
          <w:sz w:val="28"/>
          <w:szCs w:val="28"/>
        </w:rPr>
        <w:t>secondary</w:t>
      </w:r>
      <w:r w:rsidR="00DB4CBF">
        <w:rPr>
          <w:sz w:val="28"/>
          <w:szCs w:val="28"/>
        </w:rPr>
        <w:t xml:space="preserve"> schooling</w:t>
      </w:r>
      <w:r w:rsidRPr="002C76B7">
        <w:rPr>
          <w:sz w:val="28"/>
          <w:szCs w:val="28"/>
        </w:rPr>
        <w:t xml:space="preserve"> and higher education.</w:t>
      </w:r>
      <w:r>
        <w:rPr>
          <w:sz w:val="28"/>
          <w:szCs w:val="28"/>
        </w:rPr>
        <w:t xml:space="preserve"> The main focus is on analysing primary and secondary school completion rates for girls and boys in around 35 mainland countries in the continent. </w:t>
      </w:r>
      <w:r w:rsidR="002067B1">
        <w:rPr>
          <w:sz w:val="28"/>
          <w:szCs w:val="28"/>
        </w:rPr>
        <w:t>Completion rates</w:t>
      </w:r>
      <w:r w:rsidR="00394FB1">
        <w:rPr>
          <w:sz w:val="28"/>
          <w:szCs w:val="28"/>
        </w:rPr>
        <w:t xml:space="preserve"> are a </w:t>
      </w:r>
      <w:r w:rsidR="003E71AA">
        <w:rPr>
          <w:sz w:val="28"/>
          <w:szCs w:val="28"/>
        </w:rPr>
        <w:t xml:space="preserve">more accurate measure of schooling attainment than gross enrolment rates (which are generally relied upon when analysing schooling gender inequality) given high drop-out rates in many countries </w:t>
      </w:r>
      <w:r w:rsidR="00721B81">
        <w:rPr>
          <w:sz w:val="28"/>
          <w:szCs w:val="28"/>
        </w:rPr>
        <w:t xml:space="preserve">in SSA </w:t>
      </w:r>
      <w:r w:rsidR="003E71AA">
        <w:rPr>
          <w:sz w:val="28"/>
          <w:szCs w:val="28"/>
        </w:rPr>
        <w:t xml:space="preserve">at both the primary and secondary school levels. </w:t>
      </w:r>
    </w:p>
    <w:p w:rsidR="00BC0AAA" w:rsidRPr="002447BD" w:rsidRDefault="002447BD" w:rsidP="006D77F3">
      <w:pPr>
        <w:rPr>
          <w:b/>
          <w:sz w:val="28"/>
          <w:szCs w:val="28"/>
        </w:rPr>
      </w:pPr>
      <w:r w:rsidRPr="002447BD">
        <w:rPr>
          <w:b/>
          <w:sz w:val="28"/>
          <w:szCs w:val="28"/>
        </w:rPr>
        <w:t>2. Methodology and d</w:t>
      </w:r>
      <w:r w:rsidR="00BC0AAA" w:rsidRPr="002447BD">
        <w:rPr>
          <w:b/>
          <w:sz w:val="28"/>
          <w:szCs w:val="28"/>
        </w:rPr>
        <w:t>ata sources</w:t>
      </w:r>
    </w:p>
    <w:p w:rsidR="003C4B35" w:rsidRDefault="00BC0AAA" w:rsidP="002447BD">
      <w:pPr>
        <w:jc w:val="both"/>
        <w:rPr>
          <w:sz w:val="28"/>
          <w:szCs w:val="28"/>
        </w:rPr>
      </w:pPr>
      <w:r>
        <w:rPr>
          <w:sz w:val="28"/>
          <w:szCs w:val="28"/>
        </w:rPr>
        <w:t>Two main sources of data have been drawn upon for this analysis</w:t>
      </w:r>
      <w:r w:rsidR="00AD47DC">
        <w:rPr>
          <w:sz w:val="28"/>
          <w:szCs w:val="28"/>
        </w:rPr>
        <w:t xml:space="preserve">; (i) National school census enrolment data collated by the UNESCO Institute of Statistics; </w:t>
      </w:r>
    </w:p>
    <w:p w:rsidR="00081597" w:rsidRDefault="00AD47DC" w:rsidP="002447BD">
      <w:pPr>
        <w:jc w:val="both"/>
        <w:rPr>
          <w:sz w:val="28"/>
          <w:szCs w:val="28"/>
        </w:rPr>
      </w:pPr>
      <w:r>
        <w:rPr>
          <w:sz w:val="28"/>
          <w:szCs w:val="28"/>
        </w:rPr>
        <w:t>(ii) H</w:t>
      </w:r>
      <w:r w:rsidR="00BC0AAA">
        <w:rPr>
          <w:sz w:val="28"/>
          <w:szCs w:val="28"/>
        </w:rPr>
        <w:t xml:space="preserve">ousehold survey data from </w:t>
      </w:r>
      <w:r w:rsidR="003E71AA">
        <w:rPr>
          <w:sz w:val="28"/>
          <w:szCs w:val="28"/>
        </w:rPr>
        <w:t xml:space="preserve">national </w:t>
      </w:r>
      <w:r w:rsidR="00BC0AAA">
        <w:rPr>
          <w:sz w:val="28"/>
          <w:szCs w:val="28"/>
        </w:rPr>
        <w:t xml:space="preserve">Demographic Health Surveys and Multi-Indicator Cluster surveys in </w:t>
      </w:r>
      <w:r w:rsidR="003E71AA">
        <w:rPr>
          <w:sz w:val="28"/>
          <w:szCs w:val="28"/>
        </w:rPr>
        <w:t>28</w:t>
      </w:r>
      <w:r w:rsidR="00BC0AAA">
        <w:rPr>
          <w:sz w:val="28"/>
          <w:szCs w:val="28"/>
        </w:rPr>
        <w:t xml:space="preserve"> countries in SSA.</w:t>
      </w:r>
      <w:r w:rsidR="00081597">
        <w:rPr>
          <w:sz w:val="28"/>
          <w:szCs w:val="28"/>
        </w:rPr>
        <w:t xml:space="preserve"> </w:t>
      </w:r>
    </w:p>
    <w:p w:rsidR="00B4597F" w:rsidRDefault="00081597" w:rsidP="002447BD">
      <w:pPr>
        <w:jc w:val="both"/>
        <w:rPr>
          <w:sz w:val="28"/>
          <w:szCs w:val="28"/>
        </w:rPr>
      </w:pPr>
      <w:r>
        <w:rPr>
          <w:sz w:val="28"/>
          <w:szCs w:val="28"/>
        </w:rPr>
        <w:t xml:space="preserve">UIS estimates primary and secondary school completion rates for most countries in SSA. However, these are likely to be less accurate than completion rates </w:t>
      </w:r>
      <w:r w:rsidR="00B4597F">
        <w:rPr>
          <w:sz w:val="28"/>
          <w:szCs w:val="28"/>
        </w:rPr>
        <w:t xml:space="preserve">based on household survey data mainly </w:t>
      </w:r>
      <w:r>
        <w:rPr>
          <w:sz w:val="28"/>
          <w:szCs w:val="28"/>
        </w:rPr>
        <w:t xml:space="preserve">because of </w:t>
      </w:r>
      <w:r w:rsidR="00B4597F">
        <w:rPr>
          <w:sz w:val="28"/>
          <w:szCs w:val="28"/>
        </w:rPr>
        <w:t xml:space="preserve">the </w:t>
      </w:r>
      <w:r>
        <w:rPr>
          <w:sz w:val="28"/>
          <w:szCs w:val="28"/>
        </w:rPr>
        <w:t>well-known challenges of collecting accurate enrolment data (including repetition and drop-outs) and because the relevant school-age population (the denominator in the completion rate) is derived from projected population estimates based on data from the most recent national population</w:t>
      </w:r>
      <w:r w:rsidR="00B4597F">
        <w:rPr>
          <w:sz w:val="28"/>
          <w:szCs w:val="28"/>
        </w:rPr>
        <w:t>. For this reason</w:t>
      </w:r>
      <w:r>
        <w:rPr>
          <w:sz w:val="28"/>
          <w:szCs w:val="28"/>
        </w:rPr>
        <w:t xml:space="preserve">, primary reliance is placed on DHS and MICS household survey </w:t>
      </w:r>
      <w:r w:rsidR="00394FB1">
        <w:rPr>
          <w:sz w:val="28"/>
          <w:szCs w:val="28"/>
        </w:rPr>
        <w:t>micro</w:t>
      </w:r>
      <w:r>
        <w:rPr>
          <w:sz w:val="28"/>
          <w:szCs w:val="28"/>
        </w:rPr>
        <w:t xml:space="preserve">data in order to compute primary school </w:t>
      </w:r>
      <w:r>
        <w:rPr>
          <w:sz w:val="28"/>
          <w:szCs w:val="28"/>
        </w:rPr>
        <w:lastRenderedPageBreak/>
        <w:t xml:space="preserve">completion rates for the 15-19 age cohort and </w:t>
      </w:r>
      <w:r w:rsidR="005F5999">
        <w:rPr>
          <w:sz w:val="28"/>
          <w:szCs w:val="28"/>
        </w:rPr>
        <w:t xml:space="preserve">for </w:t>
      </w:r>
      <w:r>
        <w:rPr>
          <w:sz w:val="28"/>
          <w:szCs w:val="28"/>
        </w:rPr>
        <w:t>secondary school</w:t>
      </w:r>
      <w:r w:rsidR="005F5999">
        <w:rPr>
          <w:sz w:val="28"/>
          <w:szCs w:val="28"/>
        </w:rPr>
        <w:t xml:space="preserve">ing among </w:t>
      </w:r>
      <w:r>
        <w:rPr>
          <w:sz w:val="28"/>
          <w:szCs w:val="28"/>
        </w:rPr>
        <w:t>the 20-24 age cohort.</w:t>
      </w:r>
      <w:r w:rsidR="00B4597F">
        <w:rPr>
          <w:sz w:val="28"/>
          <w:szCs w:val="28"/>
        </w:rPr>
        <w:t xml:space="preserve"> However, in the minority of countries where recent household survey completion rate estimates are not available, UIS estimates have been used. </w:t>
      </w:r>
      <w:r>
        <w:rPr>
          <w:sz w:val="28"/>
          <w:szCs w:val="28"/>
        </w:rPr>
        <w:t>In the absence of attainment/complet</w:t>
      </w:r>
      <w:r w:rsidR="00B4597F">
        <w:rPr>
          <w:sz w:val="28"/>
          <w:szCs w:val="28"/>
        </w:rPr>
        <w:t>ion</w:t>
      </w:r>
      <w:r>
        <w:rPr>
          <w:sz w:val="28"/>
          <w:szCs w:val="28"/>
        </w:rPr>
        <w:t xml:space="preserve"> survey data for higher education, ever-attended rates for this level of education are computed for the 20-24 age group. </w:t>
      </w:r>
    </w:p>
    <w:p w:rsidR="00BC0AAA" w:rsidRDefault="00BC0AAA" w:rsidP="002447BD">
      <w:pPr>
        <w:jc w:val="both"/>
        <w:rPr>
          <w:sz w:val="28"/>
          <w:szCs w:val="28"/>
        </w:rPr>
      </w:pPr>
      <w:r>
        <w:rPr>
          <w:sz w:val="28"/>
          <w:szCs w:val="28"/>
        </w:rPr>
        <w:t xml:space="preserve">Only </w:t>
      </w:r>
      <w:r w:rsidR="00DB4CBF">
        <w:rPr>
          <w:sz w:val="28"/>
          <w:szCs w:val="28"/>
        </w:rPr>
        <w:t xml:space="preserve">DHS and MICS </w:t>
      </w:r>
      <w:r>
        <w:rPr>
          <w:sz w:val="28"/>
          <w:szCs w:val="28"/>
        </w:rPr>
        <w:t xml:space="preserve">household surveys completed since 2015 have been included in this analysis. </w:t>
      </w:r>
      <w:r w:rsidR="00B4597F">
        <w:rPr>
          <w:sz w:val="28"/>
          <w:szCs w:val="28"/>
        </w:rPr>
        <w:t>UIS enrolment data and thus completion rate estimates are available for most countries in SSA for the period 2015-2018.</w:t>
      </w:r>
    </w:p>
    <w:p w:rsidR="005F5999" w:rsidRDefault="00B4597F" w:rsidP="002447BD">
      <w:pPr>
        <w:jc w:val="both"/>
        <w:rPr>
          <w:sz w:val="28"/>
          <w:szCs w:val="28"/>
        </w:rPr>
      </w:pPr>
      <w:r>
        <w:rPr>
          <w:sz w:val="28"/>
          <w:szCs w:val="28"/>
        </w:rPr>
        <w:t xml:space="preserve">Household survey or UIS </w:t>
      </w:r>
      <w:r w:rsidR="00DC0D5C">
        <w:rPr>
          <w:sz w:val="28"/>
          <w:szCs w:val="28"/>
        </w:rPr>
        <w:t xml:space="preserve">completion rate estimates </w:t>
      </w:r>
      <w:r>
        <w:rPr>
          <w:sz w:val="28"/>
          <w:szCs w:val="28"/>
        </w:rPr>
        <w:t>are unavailable in four</w:t>
      </w:r>
      <w:r w:rsidR="00DC0D5C">
        <w:rPr>
          <w:sz w:val="28"/>
          <w:szCs w:val="28"/>
        </w:rPr>
        <w:t xml:space="preserve"> countries (Angola, </w:t>
      </w:r>
      <w:r w:rsidR="003169D5">
        <w:rPr>
          <w:sz w:val="28"/>
          <w:szCs w:val="28"/>
        </w:rPr>
        <w:t xml:space="preserve">Gabon, </w:t>
      </w:r>
      <w:r w:rsidR="00DC0D5C">
        <w:rPr>
          <w:sz w:val="28"/>
          <w:szCs w:val="28"/>
        </w:rPr>
        <w:t>Somalia, South Sudan</w:t>
      </w:r>
      <w:r w:rsidR="003169D5">
        <w:rPr>
          <w:sz w:val="28"/>
          <w:szCs w:val="28"/>
        </w:rPr>
        <w:t xml:space="preserve">). </w:t>
      </w:r>
      <w:r>
        <w:rPr>
          <w:sz w:val="28"/>
          <w:szCs w:val="28"/>
        </w:rPr>
        <w:t>The analysis only covers mainland Africa and thus t</w:t>
      </w:r>
      <w:r w:rsidR="003169D5">
        <w:rPr>
          <w:sz w:val="28"/>
          <w:szCs w:val="28"/>
        </w:rPr>
        <w:t xml:space="preserve">he five island states of Cap Verde, Comoros, Mauritius, Seychelles and Sao Tome Principe have </w:t>
      </w:r>
      <w:r>
        <w:rPr>
          <w:sz w:val="28"/>
          <w:szCs w:val="28"/>
        </w:rPr>
        <w:t>been excluded</w:t>
      </w:r>
      <w:r w:rsidR="003169D5">
        <w:rPr>
          <w:sz w:val="28"/>
          <w:szCs w:val="28"/>
        </w:rPr>
        <w:t>.</w:t>
      </w:r>
    </w:p>
    <w:p w:rsidR="00DC0D5C" w:rsidRDefault="005F5999" w:rsidP="002447BD">
      <w:pPr>
        <w:jc w:val="both"/>
        <w:rPr>
          <w:sz w:val="28"/>
          <w:szCs w:val="28"/>
        </w:rPr>
      </w:pPr>
      <w:r>
        <w:rPr>
          <w:sz w:val="28"/>
          <w:szCs w:val="28"/>
        </w:rPr>
        <w:t>The main measures of completion rate gender inequality are the gender parity index (female completion rate/male completion rate) and the percentage point difference between female and male completion rates</w:t>
      </w:r>
      <w:r w:rsidR="00DB4CBF">
        <w:rPr>
          <w:rStyle w:val="FootnoteReference"/>
          <w:sz w:val="28"/>
          <w:szCs w:val="28"/>
        </w:rPr>
        <w:footnoteReference w:id="2"/>
      </w:r>
      <w:r>
        <w:rPr>
          <w:sz w:val="28"/>
          <w:szCs w:val="28"/>
        </w:rPr>
        <w:t xml:space="preserve">.  </w:t>
      </w:r>
      <w:r w:rsidR="003169D5">
        <w:rPr>
          <w:sz w:val="28"/>
          <w:szCs w:val="28"/>
        </w:rPr>
        <w:t xml:space="preserve"> </w:t>
      </w:r>
      <w:r w:rsidR="00DC0D5C">
        <w:rPr>
          <w:sz w:val="28"/>
          <w:szCs w:val="28"/>
        </w:rPr>
        <w:t xml:space="preserve">  </w:t>
      </w:r>
    </w:p>
    <w:p w:rsidR="002447BD" w:rsidRPr="00A22BD6" w:rsidRDefault="002447BD" w:rsidP="002447BD">
      <w:pPr>
        <w:jc w:val="both"/>
        <w:rPr>
          <w:b/>
          <w:i/>
          <w:sz w:val="28"/>
          <w:szCs w:val="28"/>
        </w:rPr>
      </w:pPr>
      <w:r>
        <w:rPr>
          <w:sz w:val="28"/>
          <w:szCs w:val="28"/>
        </w:rPr>
        <w:t xml:space="preserve"> </w:t>
      </w:r>
      <w:r w:rsidRPr="00A22BD6">
        <w:rPr>
          <w:b/>
          <w:i/>
          <w:sz w:val="28"/>
          <w:szCs w:val="28"/>
        </w:rPr>
        <w:t>3. Primary education</w:t>
      </w:r>
    </w:p>
    <w:p w:rsidR="00931AC2" w:rsidRDefault="003169D5" w:rsidP="00595BD7">
      <w:pPr>
        <w:jc w:val="both"/>
        <w:rPr>
          <w:sz w:val="28"/>
          <w:szCs w:val="28"/>
        </w:rPr>
      </w:pPr>
      <w:r>
        <w:rPr>
          <w:sz w:val="28"/>
          <w:szCs w:val="28"/>
        </w:rPr>
        <w:t xml:space="preserve">Primary school completion rates for females and males are available from 28 DHS and MICS household surveys which have been completed since 2015.  These have been supplemented with UIS enrolment-based data for another eight countries where recent DHS or MICS household surveys are not available </w:t>
      </w:r>
      <w:r w:rsidR="00595BD7">
        <w:rPr>
          <w:sz w:val="28"/>
          <w:szCs w:val="28"/>
        </w:rPr>
        <w:t xml:space="preserve">giving a total of 36 countries.  </w:t>
      </w:r>
    </w:p>
    <w:p w:rsidR="00931AC2" w:rsidRDefault="00931AC2" w:rsidP="00595BD7">
      <w:pPr>
        <w:jc w:val="both"/>
        <w:rPr>
          <w:sz w:val="28"/>
          <w:szCs w:val="28"/>
        </w:rPr>
      </w:pPr>
      <w:r w:rsidRPr="00931AC2">
        <w:rPr>
          <w:i/>
          <w:sz w:val="28"/>
          <w:szCs w:val="28"/>
        </w:rPr>
        <w:t>Female inequality</w:t>
      </w:r>
      <w:r>
        <w:rPr>
          <w:sz w:val="28"/>
          <w:szCs w:val="28"/>
        </w:rPr>
        <w:t xml:space="preserve">: </w:t>
      </w:r>
      <w:r w:rsidR="00595BD7">
        <w:rPr>
          <w:sz w:val="28"/>
          <w:szCs w:val="28"/>
        </w:rPr>
        <w:t xml:space="preserve">Two decades ago, there were only eight countries where the completion rate GPI </w:t>
      </w:r>
      <w:r w:rsidR="00375B84">
        <w:rPr>
          <w:sz w:val="28"/>
          <w:szCs w:val="28"/>
        </w:rPr>
        <w:t xml:space="preserve">for primary schooling </w:t>
      </w:r>
      <w:r w:rsidR="00721AA3">
        <w:rPr>
          <w:sz w:val="28"/>
          <w:szCs w:val="28"/>
        </w:rPr>
        <w:t>was greater than 0.97</w:t>
      </w:r>
      <w:r w:rsidR="00595BD7">
        <w:rPr>
          <w:sz w:val="28"/>
          <w:szCs w:val="28"/>
        </w:rPr>
        <w:t xml:space="preserve"> and w</w:t>
      </w:r>
      <w:r w:rsidR="00E051D6">
        <w:rPr>
          <w:sz w:val="28"/>
          <w:szCs w:val="28"/>
        </w:rPr>
        <w:t xml:space="preserve">here, therefore, </w:t>
      </w:r>
      <w:r w:rsidR="00595BD7">
        <w:rPr>
          <w:sz w:val="28"/>
          <w:szCs w:val="28"/>
        </w:rPr>
        <w:t>female gender equality in primary school</w:t>
      </w:r>
      <w:r w:rsidR="00394FB1">
        <w:rPr>
          <w:sz w:val="28"/>
          <w:szCs w:val="28"/>
        </w:rPr>
        <w:t>ing</w:t>
      </w:r>
      <w:r w:rsidR="00595BD7">
        <w:rPr>
          <w:sz w:val="28"/>
          <w:szCs w:val="28"/>
        </w:rPr>
        <w:t xml:space="preserve"> attainment existed. By the late 2010s, this figure </w:t>
      </w:r>
      <w:r w:rsidR="00595BD7" w:rsidRPr="00E051D6">
        <w:rPr>
          <w:sz w:val="28"/>
          <w:szCs w:val="28"/>
        </w:rPr>
        <w:t>had increased</w:t>
      </w:r>
      <w:r w:rsidR="00595BD7">
        <w:rPr>
          <w:sz w:val="28"/>
          <w:szCs w:val="28"/>
        </w:rPr>
        <w:t xml:space="preserve"> </w:t>
      </w:r>
      <w:r w:rsidR="00375B84">
        <w:rPr>
          <w:sz w:val="28"/>
          <w:szCs w:val="28"/>
        </w:rPr>
        <w:t xml:space="preserve">by over threefold </w:t>
      </w:r>
      <w:r w:rsidR="00595BD7">
        <w:rPr>
          <w:sz w:val="28"/>
          <w:szCs w:val="28"/>
        </w:rPr>
        <w:t>to 25</w:t>
      </w:r>
      <w:r w:rsidR="00721AA3">
        <w:rPr>
          <w:sz w:val="28"/>
          <w:szCs w:val="28"/>
        </w:rPr>
        <w:t xml:space="preserve"> (see figure 1</w:t>
      </w:r>
      <w:r w:rsidR="005F5999">
        <w:rPr>
          <w:sz w:val="28"/>
          <w:szCs w:val="28"/>
        </w:rPr>
        <w:t xml:space="preserve"> and table 1)</w:t>
      </w:r>
      <w:r w:rsidR="00595BD7">
        <w:rPr>
          <w:sz w:val="28"/>
          <w:szCs w:val="28"/>
        </w:rPr>
        <w:t>.</w:t>
      </w:r>
      <w:r w:rsidR="00721AA3">
        <w:rPr>
          <w:sz w:val="28"/>
          <w:szCs w:val="28"/>
        </w:rPr>
        <w:t xml:space="preserve"> Similarly, there </w:t>
      </w:r>
      <w:r w:rsidR="005F5999">
        <w:rPr>
          <w:sz w:val="28"/>
          <w:szCs w:val="28"/>
        </w:rPr>
        <w:t xml:space="preserve">are </w:t>
      </w:r>
      <w:r w:rsidR="00721AA3">
        <w:rPr>
          <w:sz w:val="28"/>
          <w:szCs w:val="28"/>
        </w:rPr>
        <w:t>only 11 countries where the male primary completion</w:t>
      </w:r>
      <w:r w:rsidR="00595BD7">
        <w:rPr>
          <w:sz w:val="28"/>
          <w:szCs w:val="28"/>
        </w:rPr>
        <w:t xml:space="preserve"> </w:t>
      </w:r>
      <w:r w:rsidR="005F5999">
        <w:rPr>
          <w:sz w:val="28"/>
          <w:szCs w:val="28"/>
        </w:rPr>
        <w:t>rate i</w:t>
      </w:r>
      <w:r w:rsidR="00721AA3">
        <w:rPr>
          <w:sz w:val="28"/>
          <w:szCs w:val="28"/>
        </w:rPr>
        <w:t xml:space="preserve">s greater than five percentage points higher than for females (see table 2). </w:t>
      </w:r>
      <w:r w:rsidR="00595BD7">
        <w:rPr>
          <w:sz w:val="28"/>
          <w:szCs w:val="28"/>
        </w:rPr>
        <w:t xml:space="preserve">Serious female gender </w:t>
      </w:r>
      <w:r w:rsidR="005F5999">
        <w:rPr>
          <w:sz w:val="28"/>
          <w:szCs w:val="28"/>
        </w:rPr>
        <w:t xml:space="preserve">completion rate </w:t>
      </w:r>
      <w:r w:rsidR="00595BD7">
        <w:rPr>
          <w:sz w:val="28"/>
          <w:szCs w:val="28"/>
        </w:rPr>
        <w:t xml:space="preserve">inequality persists in </w:t>
      </w:r>
      <w:r>
        <w:rPr>
          <w:sz w:val="28"/>
          <w:szCs w:val="28"/>
        </w:rPr>
        <w:t xml:space="preserve">only </w:t>
      </w:r>
      <w:r w:rsidR="00595BD7">
        <w:rPr>
          <w:sz w:val="28"/>
          <w:szCs w:val="28"/>
        </w:rPr>
        <w:t xml:space="preserve">a relatively small number of mainly very poor, Francophone, and predominantly Muslim countries in West and Central Africa which account for less than 10% of the primary school age population in SSA. Moreover, almost all of the countries </w:t>
      </w:r>
      <w:r>
        <w:rPr>
          <w:sz w:val="28"/>
          <w:szCs w:val="28"/>
        </w:rPr>
        <w:lastRenderedPageBreak/>
        <w:t xml:space="preserve">in this group </w:t>
      </w:r>
      <w:r w:rsidR="00394FB1">
        <w:rPr>
          <w:sz w:val="28"/>
          <w:szCs w:val="28"/>
        </w:rPr>
        <w:t xml:space="preserve">have made </w:t>
      </w:r>
      <w:r w:rsidR="00595BD7">
        <w:rPr>
          <w:sz w:val="28"/>
          <w:szCs w:val="28"/>
        </w:rPr>
        <w:t>rapid progress in reducing primary schooling gender inequalities</w:t>
      </w:r>
      <w:r w:rsidR="00404C8A">
        <w:rPr>
          <w:sz w:val="28"/>
          <w:szCs w:val="28"/>
        </w:rPr>
        <w:t xml:space="preserve"> during the last 20 years (see below)</w:t>
      </w:r>
      <w:r w:rsidR="00595BD7">
        <w:rPr>
          <w:sz w:val="28"/>
          <w:szCs w:val="28"/>
        </w:rPr>
        <w:t>.</w:t>
      </w:r>
    </w:p>
    <w:p w:rsidR="002E5A73" w:rsidRDefault="002E5A73" w:rsidP="00595BD7">
      <w:pPr>
        <w:jc w:val="both"/>
        <w:rPr>
          <w:sz w:val="28"/>
          <w:szCs w:val="28"/>
        </w:rPr>
      </w:pPr>
      <w:r>
        <w:rPr>
          <w:noProof/>
          <w:lang w:eastAsia="en-GB"/>
        </w:rPr>
        <w:drawing>
          <wp:inline distT="0" distB="0" distL="0" distR="0" wp14:anchorId="5A771E0F" wp14:editId="19DE2CB9">
            <wp:extent cx="5436000" cy="27432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444" w:type="dxa"/>
        <w:tblLook w:val="04A0" w:firstRow="1" w:lastRow="0" w:firstColumn="1" w:lastColumn="0" w:noHBand="0" w:noVBand="1"/>
      </w:tblPr>
      <w:tblGrid>
        <w:gridCol w:w="222"/>
        <w:gridCol w:w="222"/>
      </w:tblGrid>
      <w:tr w:rsidR="00394FB1" w:rsidRPr="00E622FF" w:rsidTr="00394FB1">
        <w:trPr>
          <w:trHeight w:val="300"/>
        </w:trPr>
        <w:tc>
          <w:tcPr>
            <w:tcW w:w="222" w:type="dxa"/>
            <w:tcBorders>
              <w:top w:val="nil"/>
              <w:left w:val="nil"/>
              <w:bottom w:val="nil"/>
              <w:right w:val="nil"/>
            </w:tcBorders>
            <w:shd w:val="clear" w:color="auto" w:fill="auto"/>
            <w:noWrap/>
            <w:vAlign w:val="bottom"/>
            <w:hideMark/>
          </w:tcPr>
          <w:p w:rsidR="00394FB1" w:rsidRPr="00E622FF" w:rsidRDefault="00394FB1" w:rsidP="00E622FF">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394FB1" w:rsidRPr="00E622FF" w:rsidRDefault="00394FB1" w:rsidP="00E622FF">
            <w:pPr>
              <w:spacing w:after="0" w:line="240" w:lineRule="auto"/>
              <w:rPr>
                <w:rFonts w:ascii="Times New Roman" w:eastAsia="Times New Roman" w:hAnsi="Times New Roman" w:cs="Times New Roman"/>
                <w:sz w:val="20"/>
                <w:szCs w:val="20"/>
                <w:lang w:eastAsia="en-GB"/>
              </w:rPr>
            </w:pPr>
          </w:p>
        </w:tc>
      </w:tr>
    </w:tbl>
    <w:p w:rsidR="00DB4CBF" w:rsidRDefault="00DB4CBF" w:rsidP="00595BD7">
      <w:pPr>
        <w:jc w:val="both"/>
        <w:rPr>
          <w:sz w:val="28"/>
          <w:szCs w:val="28"/>
        </w:rPr>
      </w:pPr>
      <w:r>
        <w:rPr>
          <w:sz w:val="28"/>
          <w:szCs w:val="28"/>
        </w:rPr>
        <w:t>Ranking countries by the change in their completion rate GPIs</w:t>
      </w:r>
      <w:r>
        <w:rPr>
          <w:rStyle w:val="FootnoteReference"/>
          <w:sz w:val="28"/>
          <w:szCs w:val="28"/>
        </w:rPr>
        <w:footnoteReference w:id="3"/>
      </w:r>
      <w:r>
        <w:rPr>
          <w:sz w:val="28"/>
          <w:szCs w:val="28"/>
        </w:rPr>
        <w:t xml:space="preserve"> since 2000 shows that the change in favour of girls has been exceptionally high (i.e. over 0.25) in 16 of the 36 countries (see Table 3). The performance of Burkina Faso, Ethiopia, and Senegal is particularly noticeable. Clearly, the scope for change is much less in countries which had already eliminated sizeable primary school enrolment gender disparities during the early 2000s.</w:t>
      </w:r>
    </w:p>
    <w:tbl>
      <w:tblPr>
        <w:tblW w:w="8098" w:type="dxa"/>
        <w:tblLook w:val="04A0" w:firstRow="1" w:lastRow="0" w:firstColumn="1" w:lastColumn="0" w:noHBand="0" w:noVBand="1"/>
      </w:tblPr>
      <w:tblGrid>
        <w:gridCol w:w="1686"/>
        <w:gridCol w:w="734"/>
        <w:gridCol w:w="1341"/>
        <w:gridCol w:w="1341"/>
        <w:gridCol w:w="1537"/>
        <w:gridCol w:w="1015"/>
        <w:gridCol w:w="444"/>
      </w:tblGrid>
      <w:tr w:rsidR="00394FB1" w:rsidRPr="00E622FF" w:rsidTr="00394FB1">
        <w:trPr>
          <w:trHeight w:val="288"/>
        </w:trPr>
        <w:tc>
          <w:tcPr>
            <w:tcW w:w="8098" w:type="dxa"/>
            <w:gridSpan w:val="7"/>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Table 1: Percentage distribution of completion rate GPIs by education level, late 2010s</w:t>
            </w:r>
          </w:p>
        </w:tc>
      </w:tr>
      <w:tr w:rsidR="00394FB1" w:rsidRPr="00E622FF" w:rsidTr="00394FB1">
        <w:trPr>
          <w:gridAfter w:val="1"/>
          <w:wAfter w:w="444" w:type="dxa"/>
          <w:trHeight w:val="300"/>
        </w:trPr>
        <w:tc>
          <w:tcPr>
            <w:tcW w:w="2420" w:type="dxa"/>
            <w:gridSpan w:val="2"/>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(rounded %)</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Times New Roman" w:eastAsia="Times New Roman" w:hAnsi="Times New Roman" w:cs="Times New Roman"/>
                <w:sz w:val="20"/>
                <w:szCs w:val="20"/>
                <w:lang w:eastAsia="en-GB"/>
              </w:rPr>
            </w:pPr>
          </w:p>
        </w:tc>
        <w:tc>
          <w:tcPr>
            <w:tcW w:w="1537"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Times New Roman" w:eastAsia="Times New Roman" w:hAnsi="Times New Roman" w:cs="Times New Roman"/>
                <w:sz w:val="20"/>
                <w:szCs w:val="20"/>
                <w:lang w:eastAsia="en-GB"/>
              </w:rPr>
            </w:pPr>
          </w:p>
        </w:tc>
        <w:tc>
          <w:tcPr>
            <w:tcW w:w="1015"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Times New Roman" w:eastAsia="Times New Roman" w:hAnsi="Times New Roman" w:cs="Times New Roman"/>
                <w:sz w:val="20"/>
                <w:szCs w:val="20"/>
                <w:lang w:eastAsia="en-GB"/>
              </w:rPr>
            </w:pPr>
          </w:p>
        </w:tc>
      </w:tr>
      <w:tr w:rsidR="00394FB1" w:rsidRPr="00E622FF" w:rsidTr="00394FB1">
        <w:trPr>
          <w:gridAfter w:val="1"/>
          <w:wAfter w:w="444" w:type="dxa"/>
          <w:trHeight w:val="288"/>
        </w:trPr>
        <w:tc>
          <w:tcPr>
            <w:tcW w:w="1686" w:type="dxa"/>
            <w:tcBorders>
              <w:top w:val="single" w:sz="8" w:space="0" w:color="auto"/>
              <w:left w:val="single" w:sz="8" w:space="0" w:color="auto"/>
              <w:bottom w:val="single" w:sz="4" w:space="0" w:color="auto"/>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 </w:t>
            </w:r>
          </w:p>
        </w:tc>
        <w:tc>
          <w:tcPr>
            <w:tcW w:w="734" w:type="dxa"/>
            <w:tcBorders>
              <w:top w:val="single" w:sz="8" w:space="0" w:color="auto"/>
              <w:left w:val="nil"/>
              <w:bottom w:val="single" w:sz="4"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&lt;0.6</w:t>
            </w:r>
          </w:p>
        </w:tc>
        <w:tc>
          <w:tcPr>
            <w:tcW w:w="1341" w:type="dxa"/>
            <w:tcBorders>
              <w:top w:val="single" w:sz="8" w:space="0" w:color="auto"/>
              <w:left w:val="nil"/>
              <w:bottom w:val="single" w:sz="4"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0.6-0.79</w:t>
            </w:r>
          </w:p>
        </w:tc>
        <w:tc>
          <w:tcPr>
            <w:tcW w:w="1341" w:type="dxa"/>
            <w:tcBorders>
              <w:top w:val="single" w:sz="8" w:space="0" w:color="auto"/>
              <w:left w:val="nil"/>
              <w:bottom w:val="single" w:sz="4"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0.8-0.96</w:t>
            </w:r>
          </w:p>
        </w:tc>
        <w:tc>
          <w:tcPr>
            <w:tcW w:w="1537" w:type="dxa"/>
            <w:tcBorders>
              <w:top w:val="single" w:sz="8" w:space="0" w:color="auto"/>
              <w:left w:val="nil"/>
              <w:bottom w:val="single" w:sz="4"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0.97-1.03</w:t>
            </w:r>
          </w:p>
        </w:tc>
        <w:tc>
          <w:tcPr>
            <w:tcW w:w="1015" w:type="dxa"/>
            <w:tcBorders>
              <w:top w:val="single" w:sz="8" w:space="0" w:color="auto"/>
              <w:left w:val="nil"/>
              <w:bottom w:val="single" w:sz="4" w:space="0" w:color="auto"/>
              <w:right w:val="single" w:sz="8" w:space="0" w:color="auto"/>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1.05 &gt;</w:t>
            </w:r>
          </w:p>
        </w:tc>
      </w:tr>
      <w:tr w:rsidR="00394FB1" w:rsidRPr="00E622FF" w:rsidTr="00394FB1">
        <w:trPr>
          <w:gridAfter w:val="1"/>
          <w:wAfter w:w="444" w:type="dxa"/>
          <w:trHeight w:val="288"/>
        </w:trPr>
        <w:tc>
          <w:tcPr>
            <w:tcW w:w="1686" w:type="dxa"/>
            <w:tcBorders>
              <w:top w:val="nil"/>
              <w:left w:val="single" w:sz="8" w:space="0" w:color="auto"/>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Primary</w:t>
            </w:r>
          </w:p>
        </w:tc>
        <w:tc>
          <w:tcPr>
            <w:tcW w:w="734"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0</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9</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31</w:t>
            </w:r>
          </w:p>
        </w:tc>
        <w:tc>
          <w:tcPr>
            <w:tcW w:w="1537"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17</w:t>
            </w:r>
          </w:p>
        </w:tc>
        <w:tc>
          <w:tcPr>
            <w:tcW w:w="1015" w:type="dxa"/>
            <w:tcBorders>
              <w:top w:val="nil"/>
              <w:left w:val="nil"/>
              <w:bottom w:val="nil"/>
              <w:right w:val="single" w:sz="8" w:space="0" w:color="auto"/>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43</w:t>
            </w:r>
          </w:p>
        </w:tc>
      </w:tr>
      <w:tr w:rsidR="00394FB1" w:rsidRPr="00E622FF" w:rsidTr="00394FB1">
        <w:trPr>
          <w:gridAfter w:val="1"/>
          <w:wAfter w:w="444" w:type="dxa"/>
          <w:trHeight w:val="288"/>
        </w:trPr>
        <w:tc>
          <w:tcPr>
            <w:tcW w:w="1686" w:type="dxa"/>
            <w:tcBorders>
              <w:top w:val="nil"/>
              <w:left w:val="single" w:sz="8" w:space="0" w:color="auto"/>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Secondary</w:t>
            </w:r>
          </w:p>
        </w:tc>
        <w:tc>
          <w:tcPr>
            <w:tcW w:w="734"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12</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41</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32</w:t>
            </w:r>
          </w:p>
        </w:tc>
        <w:tc>
          <w:tcPr>
            <w:tcW w:w="1537"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0</w:t>
            </w:r>
          </w:p>
        </w:tc>
        <w:tc>
          <w:tcPr>
            <w:tcW w:w="1015" w:type="dxa"/>
            <w:tcBorders>
              <w:top w:val="nil"/>
              <w:left w:val="nil"/>
              <w:bottom w:val="nil"/>
              <w:right w:val="single" w:sz="8" w:space="0" w:color="auto"/>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15</w:t>
            </w:r>
          </w:p>
        </w:tc>
      </w:tr>
      <w:tr w:rsidR="00394FB1" w:rsidRPr="00E622FF" w:rsidTr="00394FB1">
        <w:trPr>
          <w:gridAfter w:val="1"/>
          <w:wAfter w:w="444" w:type="dxa"/>
          <w:trHeight w:val="300"/>
        </w:trPr>
        <w:tc>
          <w:tcPr>
            <w:tcW w:w="1686" w:type="dxa"/>
            <w:tcBorders>
              <w:top w:val="nil"/>
              <w:left w:val="single" w:sz="8" w:space="0" w:color="auto"/>
              <w:bottom w:val="single" w:sz="8" w:space="0" w:color="auto"/>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Higher</w:t>
            </w:r>
          </w:p>
        </w:tc>
        <w:tc>
          <w:tcPr>
            <w:tcW w:w="734" w:type="dxa"/>
            <w:tcBorders>
              <w:top w:val="nil"/>
              <w:left w:val="nil"/>
              <w:bottom w:val="single" w:sz="8"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20</w:t>
            </w:r>
          </w:p>
        </w:tc>
        <w:tc>
          <w:tcPr>
            <w:tcW w:w="1341" w:type="dxa"/>
            <w:tcBorders>
              <w:top w:val="nil"/>
              <w:left w:val="nil"/>
              <w:bottom w:val="single" w:sz="8"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32</w:t>
            </w:r>
          </w:p>
        </w:tc>
        <w:tc>
          <w:tcPr>
            <w:tcW w:w="1341" w:type="dxa"/>
            <w:tcBorders>
              <w:top w:val="nil"/>
              <w:left w:val="nil"/>
              <w:bottom w:val="single" w:sz="8"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32</w:t>
            </w:r>
          </w:p>
        </w:tc>
        <w:tc>
          <w:tcPr>
            <w:tcW w:w="1537" w:type="dxa"/>
            <w:tcBorders>
              <w:top w:val="nil"/>
              <w:left w:val="nil"/>
              <w:bottom w:val="single" w:sz="8" w:space="0" w:color="auto"/>
              <w:right w:val="nil"/>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4</w:t>
            </w:r>
          </w:p>
        </w:tc>
        <w:tc>
          <w:tcPr>
            <w:tcW w:w="1015" w:type="dxa"/>
            <w:tcBorders>
              <w:top w:val="nil"/>
              <w:left w:val="nil"/>
              <w:bottom w:val="single" w:sz="8" w:space="0" w:color="auto"/>
              <w:right w:val="single" w:sz="8" w:space="0" w:color="auto"/>
            </w:tcBorders>
            <w:shd w:val="clear" w:color="auto" w:fill="auto"/>
            <w:noWrap/>
            <w:vAlign w:val="bottom"/>
            <w:hideMark/>
          </w:tcPr>
          <w:p w:rsidR="00394FB1" w:rsidRPr="00E622FF" w:rsidRDefault="00394FB1" w:rsidP="00394FB1">
            <w:pPr>
              <w:spacing w:after="0" w:line="240" w:lineRule="auto"/>
              <w:jc w:val="center"/>
              <w:rPr>
                <w:rFonts w:ascii="Calibri" w:eastAsia="Times New Roman" w:hAnsi="Calibri" w:cs="Calibri"/>
                <w:color w:val="000000"/>
                <w:lang w:eastAsia="en-GB"/>
              </w:rPr>
            </w:pPr>
            <w:r w:rsidRPr="00E622FF">
              <w:rPr>
                <w:rFonts w:ascii="Calibri" w:eastAsia="Times New Roman" w:hAnsi="Calibri" w:cs="Calibri"/>
                <w:color w:val="000000"/>
                <w:lang w:eastAsia="en-GB"/>
              </w:rPr>
              <w:t>12</w:t>
            </w:r>
          </w:p>
        </w:tc>
      </w:tr>
      <w:tr w:rsidR="00394FB1" w:rsidRPr="00E622FF" w:rsidTr="00394FB1">
        <w:trPr>
          <w:gridAfter w:val="1"/>
          <w:wAfter w:w="444" w:type="dxa"/>
          <w:trHeight w:val="288"/>
        </w:trPr>
        <w:tc>
          <w:tcPr>
            <w:tcW w:w="3761" w:type="dxa"/>
            <w:gridSpan w:val="3"/>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r w:rsidRPr="00E622FF">
              <w:rPr>
                <w:rFonts w:ascii="Calibri" w:eastAsia="Times New Roman" w:hAnsi="Calibri" w:cs="Calibri"/>
                <w:color w:val="000000"/>
                <w:lang w:eastAsia="en-GB"/>
              </w:rPr>
              <w:t>Source: DHS, MICS and UIS</w:t>
            </w:r>
          </w:p>
        </w:tc>
        <w:tc>
          <w:tcPr>
            <w:tcW w:w="1341"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rPr>
                <w:rFonts w:ascii="Calibri" w:eastAsia="Times New Roman" w:hAnsi="Calibri" w:cs="Calibri"/>
                <w:color w:val="000000"/>
                <w:lang w:eastAsia="en-GB"/>
              </w:rPr>
            </w:pPr>
          </w:p>
        </w:tc>
        <w:tc>
          <w:tcPr>
            <w:tcW w:w="1537"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Times New Roman" w:eastAsia="Times New Roman" w:hAnsi="Times New Roman" w:cs="Times New Roman"/>
                <w:sz w:val="20"/>
                <w:szCs w:val="20"/>
                <w:lang w:eastAsia="en-GB"/>
              </w:rPr>
            </w:pPr>
          </w:p>
        </w:tc>
        <w:tc>
          <w:tcPr>
            <w:tcW w:w="1015" w:type="dxa"/>
            <w:tcBorders>
              <w:top w:val="nil"/>
              <w:left w:val="nil"/>
              <w:bottom w:val="nil"/>
              <w:right w:val="nil"/>
            </w:tcBorders>
            <w:shd w:val="clear" w:color="auto" w:fill="auto"/>
            <w:noWrap/>
            <w:vAlign w:val="bottom"/>
            <w:hideMark/>
          </w:tcPr>
          <w:p w:rsidR="00394FB1" w:rsidRPr="00E622FF" w:rsidRDefault="00394FB1" w:rsidP="00394FB1">
            <w:pPr>
              <w:spacing w:after="0" w:line="240" w:lineRule="auto"/>
              <w:jc w:val="center"/>
              <w:rPr>
                <w:rFonts w:ascii="Times New Roman" w:eastAsia="Times New Roman" w:hAnsi="Times New Roman" w:cs="Times New Roman"/>
                <w:sz w:val="20"/>
                <w:szCs w:val="20"/>
                <w:lang w:eastAsia="en-GB"/>
              </w:rPr>
            </w:pPr>
          </w:p>
        </w:tc>
      </w:tr>
    </w:tbl>
    <w:p w:rsidR="00394FB1" w:rsidRDefault="00394FB1" w:rsidP="00595BD7">
      <w:pPr>
        <w:jc w:val="both"/>
        <w:rPr>
          <w:sz w:val="28"/>
          <w:szCs w:val="28"/>
        </w:rPr>
      </w:pPr>
    </w:p>
    <w:p w:rsidR="00E46831" w:rsidRDefault="000B26C4" w:rsidP="00595BD7">
      <w:pPr>
        <w:jc w:val="both"/>
        <w:rPr>
          <w:sz w:val="28"/>
          <w:szCs w:val="28"/>
        </w:rPr>
      </w:pPr>
      <w:r>
        <w:rPr>
          <w:sz w:val="28"/>
          <w:szCs w:val="28"/>
        </w:rPr>
        <w:t xml:space="preserve">Virtually all gender-related education research to date has focused on the effectiveness of specific interventions in reducing female gender schooling inequality. </w:t>
      </w:r>
      <w:r w:rsidR="00B7463E">
        <w:rPr>
          <w:sz w:val="28"/>
          <w:szCs w:val="28"/>
        </w:rPr>
        <w:t xml:space="preserve">These include scholarships for girls, other financial incentives, changes in teaching practice and curricula and girl-friendly school facilities etc. </w:t>
      </w:r>
      <w:r>
        <w:rPr>
          <w:sz w:val="28"/>
          <w:szCs w:val="28"/>
        </w:rPr>
        <w:t>Most of these interventions have been quite limited with respect to the numbers of schools and children targeted and many have been experiments/</w:t>
      </w:r>
      <w:r w:rsidR="005F5999">
        <w:rPr>
          <w:sz w:val="28"/>
          <w:szCs w:val="28"/>
        </w:rPr>
        <w:t xml:space="preserve"> </w:t>
      </w:r>
      <w:r>
        <w:rPr>
          <w:sz w:val="28"/>
          <w:szCs w:val="28"/>
        </w:rPr>
        <w:lastRenderedPageBreak/>
        <w:t>randomised control trials</w:t>
      </w:r>
      <w:r w:rsidR="005F5999">
        <w:rPr>
          <w:sz w:val="28"/>
          <w:szCs w:val="28"/>
        </w:rPr>
        <w:t xml:space="preserve"> (see</w:t>
      </w:r>
      <w:r w:rsidR="00721B81">
        <w:rPr>
          <w:sz w:val="28"/>
          <w:szCs w:val="28"/>
        </w:rPr>
        <w:t xml:space="preserve"> Unterhalter et al. 2014; Sperling and Winthrop, 2015</w:t>
      </w:r>
      <w:r w:rsidR="005F5999">
        <w:rPr>
          <w:sz w:val="28"/>
          <w:szCs w:val="28"/>
        </w:rPr>
        <w:t>)</w:t>
      </w:r>
      <w:r>
        <w:rPr>
          <w:sz w:val="28"/>
          <w:szCs w:val="28"/>
        </w:rPr>
        <w:t>. What has not been investigated in any systematic fashion is the overall effectiveness</w:t>
      </w:r>
      <w:r w:rsidR="00E46831">
        <w:rPr>
          <w:sz w:val="28"/>
          <w:szCs w:val="28"/>
        </w:rPr>
        <w:t>/impact</w:t>
      </w:r>
      <w:r>
        <w:rPr>
          <w:sz w:val="28"/>
          <w:szCs w:val="28"/>
        </w:rPr>
        <w:t xml:space="preserve"> of national policy and practice with regard to eliminating </w:t>
      </w:r>
    </w:p>
    <w:tbl>
      <w:tblPr>
        <w:tblW w:w="9214" w:type="dxa"/>
        <w:tblLook w:val="04A0" w:firstRow="1" w:lastRow="0" w:firstColumn="1" w:lastColumn="0" w:noHBand="0" w:noVBand="1"/>
      </w:tblPr>
      <w:tblGrid>
        <w:gridCol w:w="1505"/>
        <w:gridCol w:w="1647"/>
        <w:gridCol w:w="1526"/>
        <w:gridCol w:w="1506"/>
        <w:gridCol w:w="1446"/>
        <w:gridCol w:w="1584"/>
      </w:tblGrid>
      <w:tr w:rsidR="007A57F2" w:rsidRPr="007A57F2" w:rsidTr="00721B81">
        <w:trPr>
          <w:trHeight w:val="288"/>
        </w:trPr>
        <w:tc>
          <w:tcPr>
            <w:tcW w:w="9214" w:type="dxa"/>
            <w:gridSpan w:val="6"/>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Table 2: Percentage point difference in female and male primary school completion rates </w:t>
            </w:r>
          </w:p>
        </w:tc>
      </w:tr>
      <w:tr w:rsidR="00721B81" w:rsidRPr="007A57F2" w:rsidTr="00721B81">
        <w:trPr>
          <w:trHeight w:val="300"/>
        </w:trPr>
        <w:tc>
          <w:tcPr>
            <w:tcW w:w="4678" w:type="dxa"/>
            <w:gridSpan w:val="3"/>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for countries in SSA, late 2010s.</w:t>
            </w:r>
          </w:p>
        </w:tc>
        <w:tc>
          <w:tcPr>
            <w:tcW w:w="150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721B81">
        <w:trPr>
          <w:trHeight w:val="288"/>
        </w:trPr>
        <w:tc>
          <w:tcPr>
            <w:tcW w:w="1505" w:type="dxa"/>
            <w:tcBorders>
              <w:top w:val="single" w:sz="8" w:space="0" w:color="auto"/>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single" w:sz="8" w:space="0" w:color="auto"/>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Female Inequality</w:t>
            </w:r>
          </w:p>
        </w:tc>
        <w:tc>
          <w:tcPr>
            <w:tcW w:w="1526" w:type="dxa"/>
            <w:tcBorders>
              <w:top w:val="single" w:sz="8" w:space="0" w:color="auto"/>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506" w:type="dxa"/>
            <w:tcBorders>
              <w:top w:val="single" w:sz="8" w:space="0" w:color="auto"/>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446" w:type="dxa"/>
            <w:tcBorders>
              <w:top w:val="single" w:sz="8" w:space="0" w:color="auto"/>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Male Inequality</w:t>
            </w:r>
          </w:p>
        </w:tc>
        <w:tc>
          <w:tcPr>
            <w:tcW w:w="1584" w:type="dxa"/>
            <w:tcBorders>
              <w:top w:val="single" w:sz="8" w:space="0" w:color="auto"/>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  minus &gt;10</w:t>
            </w:r>
          </w:p>
        </w:tc>
        <w:tc>
          <w:tcPr>
            <w:tcW w:w="1647" w:type="dxa"/>
            <w:tcBorders>
              <w:top w:val="nil"/>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minus 5-10</w:t>
            </w:r>
          </w:p>
        </w:tc>
        <w:tc>
          <w:tcPr>
            <w:tcW w:w="1526" w:type="dxa"/>
            <w:tcBorders>
              <w:top w:val="nil"/>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  minus &lt;5</w:t>
            </w:r>
          </w:p>
        </w:tc>
        <w:tc>
          <w:tcPr>
            <w:tcW w:w="1506" w:type="dxa"/>
            <w:tcBorders>
              <w:top w:val="nil"/>
              <w:left w:val="single" w:sz="4" w:space="0" w:color="auto"/>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 plus &lt;5</w:t>
            </w:r>
          </w:p>
        </w:tc>
        <w:tc>
          <w:tcPr>
            <w:tcW w:w="1446" w:type="dxa"/>
            <w:tcBorders>
              <w:top w:val="nil"/>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 plus 5.0 - 10.0</w:t>
            </w:r>
          </w:p>
        </w:tc>
        <w:tc>
          <w:tcPr>
            <w:tcW w:w="1584" w:type="dxa"/>
            <w:tcBorders>
              <w:top w:val="nil"/>
              <w:left w:val="nil"/>
              <w:bottom w:val="single" w:sz="4" w:space="0" w:color="auto"/>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plus &gt;10</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Benin</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Angola</w:t>
            </w: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Cameroon</w:t>
            </w: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Botswana*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Burundi*</w:t>
            </w: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Lesotho</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CAR</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Eritrea*</w:t>
            </w: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DRC</w:t>
            </w: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Eswatini*</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Burkina Faso*</w:t>
            </w: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Namibia</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Chad</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Mali</w:t>
            </w: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Guinea Bissau</w:t>
            </w: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Ethiopia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Congo*</w:t>
            </w: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Rwanda</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Cote d'Ivoire</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Niger*</w:t>
            </w: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Nigeria</w:t>
            </w: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Gambia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Liberia</w:t>
            </w: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Tanzania</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Guinea</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Togo</w:t>
            </w: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Ghana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Mozambique*</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Kenya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Madagascar</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Malawi</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Senegal</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Sierra Leone</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South Africa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1505"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2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Times New Roman" w:eastAsia="Times New Roman" w:hAnsi="Times New Roman" w:cs="Times New Roman"/>
                <w:sz w:val="20"/>
                <w:szCs w:val="20"/>
                <w:lang w:eastAsia="en-GB"/>
              </w:rPr>
            </w:pPr>
          </w:p>
        </w:tc>
        <w:tc>
          <w:tcPr>
            <w:tcW w:w="1506" w:type="dxa"/>
            <w:tcBorders>
              <w:top w:val="nil"/>
              <w:left w:val="single" w:sz="4" w:space="0" w:color="auto"/>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Uganda</w:t>
            </w:r>
          </w:p>
        </w:tc>
        <w:tc>
          <w:tcPr>
            <w:tcW w:w="1446"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1584"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300"/>
        </w:trPr>
        <w:tc>
          <w:tcPr>
            <w:tcW w:w="1505" w:type="dxa"/>
            <w:tcBorders>
              <w:top w:val="nil"/>
              <w:left w:val="single" w:sz="8" w:space="0" w:color="auto"/>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647" w:type="dxa"/>
            <w:tcBorders>
              <w:top w:val="nil"/>
              <w:left w:val="nil"/>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526" w:type="dxa"/>
            <w:tcBorders>
              <w:top w:val="nil"/>
              <w:left w:val="nil"/>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506" w:type="dxa"/>
            <w:tcBorders>
              <w:top w:val="nil"/>
              <w:left w:val="single" w:sz="4" w:space="0" w:color="auto"/>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Zambia</w:t>
            </w:r>
          </w:p>
        </w:tc>
        <w:tc>
          <w:tcPr>
            <w:tcW w:w="1446" w:type="dxa"/>
            <w:tcBorders>
              <w:top w:val="nil"/>
              <w:left w:val="nil"/>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c>
          <w:tcPr>
            <w:tcW w:w="1584" w:type="dxa"/>
            <w:tcBorders>
              <w:top w:val="nil"/>
              <w:left w:val="nil"/>
              <w:bottom w:val="single" w:sz="8" w:space="0" w:color="auto"/>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 </w:t>
            </w:r>
          </w:p>
        </w:tc>
      </w:tr>
      <w:tr w:rsidR="007A57F2" w:rsidRPr="007A57F2" w:rsidTr="00721B81">
        <w:trPr>
          <w:trHeight w:val="288"/>
        </w:trPr>
        <w:tc>
          <w:tcPr>
            <w:tcW w:w="9214" w:type="dxa"/>
            <w:gridSpan w:val="6"/>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Source: DHS and MICS household surveys and UIS enrolment data (countries with *)</w:t>
            </w:r>
          </w:p>
        </w:tc>
      </w:tr>
    </w:tbl>
    <w:p w:rsidR="00DB4CBF" w:rsidRDefault="00DB4CBF" w:rsidP="00595BD7">
      <w:pPr>
        <w:jc w:val="both"/>
        <w:rPr>
          <w:sz w:val="28"/>
          <w:szCs w:val="28"/>
        </w:rPr>
      </w:pPr>
    </w:p>
    <w:p w:rsidR="006D77F3" w:rsidRDefault="000463C6" w:rsidP="006D77F3">
      <w:pPr>
        <w:jc w:val="both"/>
        <w:rPr>
          <w:sz w:val="28"/>
          <w:szCs w:val="28"/>
        </w:rPr>
      </w:pPr>
      <w:r>
        <w:rPr>
          <w:sz w:val="28"/>
          <w:szCs w:val="28"/>
        </w:rPr>
        <w:t>education gender inequality along with other relevant wider political, economic and social factors across a wide range of countries which would provide the basis for an in-depth understanding of why some countries have performed so much better than others. As Evans and Yan (2018) point out, while not all these policies</w:t>
      </w:r>
      <w:r w:rsidR="006D77F3">
        <w:rPr>
          <w:sz w:val="28"/>
          <w:szCs w:val="28"/>
        </w:rPr>
        <w:t xml:space="preserve"> </w:t>
      </w:r>
      <w:r w:rsidR="006D77F3">
        <w:rPr>
          <w:sz w:val="28"/>
          <w:szCs w:val="28"/>
        </w:rPr>
        <w:t xml:space="preserve">are necessarily gender-specific, they can still have an equal if not greater impact than gender-specific policies in reducing gender inequality in the schooling system. </w:t>
      </w:r>
    </w:p>
    <w:p w:rsidR="006D77F3" w:rsidRDefault="006D77F3" w:rsidP="006D77F3">
      <w:pPr>
        <w:jc w:val="both"/>
        <w:rPr>
          <w:sz w:val="28"/>
          <w:szCs w:val="28"/>
        </w:rPr>
      </w:pPr>
      <w:r>
        <w:rPr>
          <w:sz w:val="28"/>
          <w:szCs w:val="28"/>
        </w:rPr>
        <w:t>The abolition of school fees for primary education coupled with increased enrolment capacity (more schools and classrooms) and the introduction of compulsory schooling legislation are likely to have had the greatest impact in reducing gender primary schooling inequality in the majority of countries in SSA.</w:t>
      </w:r>
    </w:p>
    <w:p w:rsidR="00394FB1" w:rsidRDefault="000463C6" w:rsidP="00595BD7">
      <w:pPr>
        <w:jc w:val="both"/>
        <w:rPr>
          <w:sz w:val="28"/>
          <w:szCs w:val="28"/>
        </w:rPr>
      </w:pPr>
      <w:r>
        <w:rPr>
          <w:sz w:val="28"/>
          <w:szCs w:val="28"/>
        </w:rPr>
        <w:t xml:space="preserve"> </w:t>
      </w:r>
    </w:p>
    <w:p w:rsidR="006D77F3" w:rsidRDefault="006D77F3">
      <w:r>
        <w:br w:type="page"/>
      </w:r>
    </w:p>
    <w:tbl>
      <w:tblPr>
        <w:tblW w:w="6782" w:type="dxa"/>
        <w:tblLook w:val="04A0" w:firstRow="1" w:lastRow="0" w:firstColumn="1" w:lastColumn="0" w:noHBand="0" w:noVBand="1"/>
      </w:tblPr>
      <w:tblGrid>
        <w:gridCol w:w="3111"/>
        <w:gridCol w:w="1117"/>
        <w:gridCol w:w="1117"/>
        <w:gridCol w:w="993"/>
        <w:gridCol w:w="222"/>
        <w:gridCol w:w="222"/>
      </w:tblGrid>
      <w:tr w:rsidR="007A57F2" w:rsidRPr="007A57F2" w:rsidTr="00394FB1">
        <w:trPr>
          <w:trHeight w:val="288"/>
        </w:trPr>
        <w:tc>
          <w:tcPr>
            <w:tcW w:w="6782" w:type="dxa"/>
            <w:gridSpan w:val="6"/>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lastRenderedPageBreak/>
              <w:t>Table 3: Change in completion rate GPIs between 2000 and 2018</w:t>
            </w:r>
          </w:p>
        </w:tc>
      </w:tr>
      <w:tr w:rsidR="007A57F2" w:rsidRPr="007A57F2" w:rsidTr="00394FB1">
        <w:trPr>
          <w:trHeight w:val="300"/>
        </w:trPr>
        <w:tc>
          <w:tcPr>
            <w:tcW w:w="4228" w:type="dxa"/>
            <w:gridSpan w:val="2"/>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 xml:space="preserve">for </w:t>
            </w:r>
            <w:r w:rsidR="00721B81">
              <w:rPr>
                <w:rFonts w:ascii="Calibri" w:eastAsia="Times New Roman" w:hAnsi="Calibri" w:cs="Calibri"/>
                <w:color w:val="000000"/>
                <w:lang w:eastAsia="en-GB"/>
              </w:rPr>
              <w:t xml:space="preserve">primary schooling in </w:t>
            </w:r>
            <w:r w:rsidRPr="007A57F2">
              <w:rPr>
                <w:rFonts w:ascii="Calibri" w:eastAsia="Times New Roman" w:hAnsi="Calibri" w:cs="Calibri"/>
                <w:color w:val="000000"/>
                <w:lang w:eastAsia="en-GB"/>
              </w:rPr>
              <w:t>countries in SSA</w:t>
            </w:r>
            <w:r w:rsidR="00721B81">
              <w:rPr>
                <w:rFonts w:ascii="Calibri" w:eastAsia="Times New Roman" w:hAnsi="Calibri" w:cs="Calibri"/>
                <w:color w:val="000000"/>
                <w:lang w:eastAsia="en-GB"/>
              </w:rPr>
              <w:t>.</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p>
        </w:tc>
        <w:tc>
          <w:tcPr>
            <w:tcW w:w="993"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single" w:sz="8" w:space="0" w:color="auto"/>
              <w:left w:val="single" w:sz="8" w:space="0" w:color="auto"/>
              <w:bottom w:val="single" w:sz="4" w:space="0" w:color="auto"/>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Country</w:t>
            </w:r>
          </w:p>
        </w:tc>
        <w:tc>
          <w:tcPr>
            <w:tcW w:w="1117" w:type="dxa"/>
            <w:tcBorders>
              <w:top w:val="single" w:sz="8" w:space="0" w:color="auto"/>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GPI2000</w:t>
            </w:r>
          </w:p>
        </w:tc>
        <w:tc>
          <w:tcPr>
            <w:tcW w:w="1117" w:type="dxa"/>
            <w:tcBorders>
              <w:top w:val="single" w:sz="8" w:space="0" w:color="auto"/>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GPI2018</w:t>
            </w: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Change</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Senegal</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0.73</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1.21</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0.48</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Burkina Faso</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0.70</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1.12</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0.42</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Ethiopia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0.55</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0.96</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0.41</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Benin</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0.53</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0.90</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0.38</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Togo</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0.59</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0.95</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0.36</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Burundi</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0.83</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1.19</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Gambia, The</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0.82</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1.14</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0.32</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Chad</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0.40</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0.31</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Guinea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0.45</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0.75</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0.31</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Rwanda</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0.85</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1.15</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0.30</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Cote d'Ivoire</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0.63</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0.28</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Mali</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0.63</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0.27</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Malawi</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0.87</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1.12</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Uganda</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0.80</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1.04</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Sierra Leone</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0.76</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Mozambique</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0.63</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0.88</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single" w:sz="4" w:space="0" w:color="auto"/>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Niger</w:t>
            </w:r>
          </w:p>
        </w:tc>
        <w:tc>
          <w:tcPr>
            <w:tcW w:w="1117" w:type="dxa"/>
            <w:tcBorders>
              <w:top w:val="single" w:sz="4" w:space="0" w:color="auto"/>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0.66</w:t>
            </w:r>
          </w:p>
        </w:tc>
        <w:tc>
          <w:tcPr>
            <w:tcW w:w="1117" w:type="dxa"/>
            <w:tcBorders>
              <w:top w:val="single" w:sz="4" w:space="0" w:color="auto"/>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0.85</w:t>
            </w:r>
          </w:p>
        </w:tc>
        <w:tc>
          <w:tcPr>
            <w:tcW w:w="993" w:type="dxa"/>
            <w:tcBorders>
              <w:top w:val="single" w:sz="4" w:space="0" w:color="auto"/>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0.20</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Guinea-Bissau</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0.55</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0.74</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0.19</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Congo, Dem. Rep.</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0.86</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0.15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Ghana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0.88</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1.02</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0.13</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Congo, Rep.</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1.04</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1.13</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0.09</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Zambia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0.83</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0.92</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0.09</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Tanzania</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1.03</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1.12</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0.09</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Zimbabwe</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0.94</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1.02</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0.08</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Liberia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0.84</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0.92</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0.08</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000000" w:fill="E2EFDA"/>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Madagascar</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1.01</w:t>
            </w:r>
          </w:p>
        </w:tc>
        <w:tc>
          <w:tcPr>
            <w:tcW w:w="1117" w:type="dxa"/>
            <w:tcBorders>
              <w:top w:val="nil"/>
              <w:left w:val="nil"/>
              <w:bottom w:val="nil"/>
              <w:right w:val="nil"/>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1.08</w:t>
            </w:r>
          </w:p>
        </w:tc>
        <w:tc>
          <w:tcPr>
            <w:tcW w:w="993" w:type="dxa"/>
            <w:tcBorders>
              <w:top w:val="nil"/>
              <w:left w:val="nil"/>
              <w:bottom w:val="nil"/>
              <w:right w:val="single" w:sz="8" w:space="0" w:color="auto"/>
            </w:tcBorders>
            <w:shd w:val="clear" w:color="000000" w:fill="E2EFDA"/>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0.07</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Eritrea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0.82</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0.88</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Kenya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0.96</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Cameroon</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0.87</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0.91</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0.04</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single" w:sz="4" w:space="0" w:color="auto"/>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South Africa</w:t>
            </w:r>
          </w:p>
        </w:tc>
        <w:tc>
          <w:tcPr>
            <w:tcW w:w="1117" w:type="dxa"/>
            <w:tcBorders>
              <w:top w:val="nil"/>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1.03</w:t>
            </w:r>
          </w:p>
        </w:tc>
        <w:tc>
          <w:tcPr>
            <w:tcW w:w="1117" w:type="dxa"/>
            <w:tcBorders>
              <w:top w:val="nil"/>
              <w:left w:val="nil"/>
              <w:bottom w:val="single" w:sz="4"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1.04</w:t>
            </w:r>
          </w:p>
        </w:tc>
        <w:tc>
          <w:tcPr>
            <w:tcW w:w="993" w:type="dxa"/>
            <w:tcBorders>
              <w:top w:val="nil"/>
              <w:left w:val="nil"/>
              <w:bottom w:val="single" w:sz="4" w:space="0" w:color="auto"/>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0.01</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Botswana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1.05</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1.03</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-0.02</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Eswatini</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1.05</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1.02</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-0.03</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Namibia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1.12</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1.07</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Nigeria</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0.82</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0.77</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-0.05</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Central African Republic</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0.58</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0.57</w:t>
            </w:r>
          </w:p>
        </w:tc>
        <w:tc>
          <w:tcPr>
            <w:tcW w:w="993" w:type="dxa"/>
            <w:tcBorders>
              <w:top w:val="nil"/>
              <w:left w:val="nil"/>
              <w:bottom w:val="nil"/>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-0.10</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300"/>
        </w:trPr>
        <w:tc>
          <w:tcPr>
            <w:tcW w:w="3111" w:type="dxa"/>
            <w:tcBorders>
              <w:top w:val="nil"/>
              <w:left w:val="single" w:sz="8" w:space="0" w:color="auto"/>
              <w:bottom w:val="single" w:sz="8" w:space="0" w:color="auto"/>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Lesotho</w:t>
            </w:r>
          </w:p>
        </w:tc>
        <w:tc>
          <w:tcPr>
            <w:tcW w:w="1117" w:type="dxa"/>
            <w:tcBorders>
              <w:top w:val="nil"/>
              <w:left w:val="nil"/>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1.37</w:t>
            </w:r>
          </w:p>
        </w:tc>
        <w:tc>
          <w:tcPr>
            <w:tcW w:w="1117" w:type="dxa"/>
            <w:tcBorders>
              <w:top w:val="nil"/>
              <w:left w:val="nil"/>
              <w:bottom w:val="single" w:sz="8" w:space="0" w:color="auto"/>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1.20</w:t>
            </w:r>
          </w:p>
        </w:tc>
        <w:tc>
          <w:tcPr>
            <w:tcW w:w="993" w:type="dxa"/>
            <w:tcBorders>
              <w:top w:val="nil"/>
              <w:left w:val="nil"/>
              <w:bottom w:val="single" w:sz="8" w:space="0" w:color="auto"/>
              <w:right w:val="single" w:sz="8" w:space="0" w:color="auto"/>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r w:rsidRPr="007A57F2">
              <w:rPr>
                <w:rFonts w:ascii="Calibri" w:eastAsia="Times New Roman" w:hAnsi="Calibri" w:cs="Calibri"/>
                <w:color w:val="000000"/>
                <w:lang w:eastAsia="en-GB"/>
              </w:rPr>
              <w:t>-0.17</w:t>
            </w: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r w:rsidR="007A57F2" w:rsidRPr="007A57F2" w:rsidTr="00394FB1">
        <w:trPr>
          <w:trHeight w:val="288"/>
        </w:trPr>
        <w:tc>
          <w:tcPr>
            <w:tcW w:w="3111" w:type="dxa"/>
            <w:tcBorders>
              <w:top w:val="nil"/>
              <w:left w:val="single" w:sz="8" w:space="0" w:color="auto"/>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r w:rsidRPr="007A57F2">
              <w:rPr>
                <w:rFonts w:ascii="Calibri" w:eastAsia="Times New Roman" w:hAnsi="Calibri" w:cs="Calibri"/>
                <w:color w:val="000000"/>
                <w:lang w:eastAsia="en-GB"/>
              </w:rPr>
              <w:t>Source: UIS</w:t>
            </w: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Calibri" w:eastAsia="Times New Roman" w:hAnsi="Calibri" w:cs="Calibri"/>
                <w:color w:val="000000"/>
                <w:lang w:eastAsia="en-GB"/>
              </w:rPr>
            </w:pPr>
          </w:p>
        </w:tc>
        <w:tc>
          <w:tcPr>
            <w:tcW w:w="1117"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7A57F2" w:rsidRPr="007A57F2" w:rsidRDefault="007A57F2" w:rsidP="007A57F2">
            <w:pPr>
              <w:spacing w:after="0" w:line="240" w:lineRule="auto"/>
              <w:rPr>
                <w:rFonts w:ascii="Times New Roman" w:eastAsia="Times New Roman" w:hAnsi="Times New Roman" w:cs="Times New Roman"/>
                <w:sz w:val="20"/>
                <w:szCs w:val="20"/>
                <w:lang w:eastAsia="en-GB"/>
              </w:rPr>
            </w:pPr>
          </w:p>
        </w:tc>
      </w:tr>
    </w:tbl>
    <w:p w:rsidR="007A57F2" w:rsidRDefault="007A57F2" w:rsidP="00595BD7">
      <w:pPr>
        <w:jc w:val="both"/>
        <w:rPr>
          <w:sz w:val="28"/>
          <w:szCs w:val="28"/>
        </w:rPr>
      </w:pPr>
    </w:p>
    <w:p w:rsidR="00C66692" w:rsidRDefault="00B7463E" w:rsidP="00595BD7">
      <w:pPr>
        <w:jc w:val="both"/>
        <w:rPr>
          <w:sz w:val="28"/>
          <w:szCs w:val="28"/>
        </w:rPr>
      </w:pPr>
      <w:r>
        <w:rPr>
          <w:sz w:val="28"/>
          <w:szCs w:val="28"/>
        </w:rPr>
        <w:t>Male inequality:</w:t>
      </w:r>
      <w:r w:rsidR="00E46831">
        <w:rPr>
          <w:sz w:val="28"/>
          <w:szCs w:val="28"/>
        </w:rPr>
        <w:t xml:space="preserve"> </w:t>
      </w:r>
      <w:r w:rsidR="00B2245A">
        <w:rPr>
          <w:sz w:val="28"/>
          <w:szCs w:val="28"/>
        </w:rPr>
        <w:t xml:space="preserve"> In nearly 60% of countries</w:t>
      </w:r>
      <w:r w:rsidR="00C37A84">
        <w:rPr>
          <w:sz w:val="28"/>
          <w:szCs w:val="28"/>
        </w:rPr>
        <w:t xml:space="preserve"> in SSA (which collectively account for </w:t>
      </w:r>
      <w:r w:rsidR="00431DA0">
        <w:rPr>
          <w:sz w:val="28"/>
          <w:szCs w:val="28"/>
        </w:rPr>
        <w:t>46</w:t>
      </w:r>
      <w:r w:rsidR="00C37A84">
        <w:rPr>
          <w:sz w:val="28"/>
          <w:szCs w:val="28"/>
        </w:rPr>
        <w:t xml:space="preserve">% of the total population) </w:t>
      </w:r>
      <w:r w:rsidR="00B2245A">
        <w:rPr>
          <w:sz w:val="28"/>
          <w:szCs w:val="28"/>
        </w:rPr>
        <w:t>female completion rates for primary schooling are now higher than</w:t>
      </w:r>
      <w:r w:rsidR="00E46831">
        <w:rPr>
          <w:sz w:val="28"/>
          <w:szCs w:val="28"/>
        </w:rPr>
        <w:t xml:space="preserve"> </w:t>
      </w:r>
      <w:r w:rsidR="00B2245A">
        <w:rPr>
          <w:sz w:val="28"/>
          <w:szCs w:val="28"/>
        </w:rPr>
        <w:t xml:space="preserve">for males compared with just 20% </w:t>
      </w:r>
      <w:r w:rsidR="00C37A84">
        <w:rPr>
          <w:sz w:val="28"/>
          <w:szCs w:val="28"/>
        </w:rPr>
        <w:t>of countries two decades ago</w:t>
      </w:r>
      <w:r w:rsidR="00B2245A">
        <w:rPr>
          <w:sz w:val="28"/>
          <w:szCs w:val="28"/>
        </w:rPr>
        <w:t xml:space="preserve">. Male inequality with regard to primary schooling attainment is not only </w:t>
      </w:r>
      <w:r w:rsidR="00B2245A">
        <w:rPr>
          <w:sz w:val="28"/>
          <w:szCs w:val="28"/>
        </w:rPr>
        <w:lastRenderedPageBreak/>
        <w:t xml:space="preserve">growing </w:t>
      </w:r>
      <w:r w:rsidR="00D42A64">
        <w:rPr>
          <w:sz w:val="28"/>
          <w:szCs w:val="28"/>
        </w:rPr>
        <w:t xml:space="preserve">quite </w:t>
      </w:r>
      <w:r w:rsidR="00B2245A">
        <w:rPr>
          <w:sz w:val="28"/>
          <w:szCs w:val="28"/>
        </w:rPr>
        <w:t>rapidly but is appreciable in a significant minority of countries</w:t>
      </w:r>
      <w:r w:rsidR="00C37A84">
        <w:rPr>
          <w:sz w:val="28"/>
          <w:szCs w:val="28"/>
        </w:rPr>
        <w:t xml:space="preserve">; the UIS computed completion rate </w:t>
      </w:r>
      <w:r w:rsidR="007E3F42">
        <w:rPr>
          <w:sz w:val="28"/>
          <w:szCs w:val="28"/>
        </w:rPr>
        <w:t xml:space="preserve">GPI </w:t>
      </w:r>
      <w:r w:rsidR="00C37A84">
        <w:rPr>
          <w:sz w:val="28"/>
          <w:szCs w:val="28"/>
        </w:rPr>
        <w:t xml:space="preserve">is </w:t>
      </w:r>
      <w:r w:rsidR="00C66692">
        <w:rPr>
          <w:sz w:val="28"/>
          <w:szCs w:val="28"/>
        </w:rPr>
        <w:t xml:space="preserve">now </w:t>
      </w:r>
      <w:r w:rsidR="00C37A84">
        <w:rPr>
          <w:sz w:val="28"/>
          <w:szCs w:val="28"/>
        </w:rPr>
        <w:t xml:space="preserve">over 1.05 in 11 countries (see table </w:t>
      </w:r>
      <w:r w:rsidR="00D42A64">
        <w:rPr>
          <w:sz w:val="28"/>
          <w:szCs w:val="28"/>
        </w:rPr>
        <w:t>3</w:t>
      </w:r>
      <w:r w:rsidR="00C37A84">
        <w:rPr>
          <w:sz w:val="28"/>
          <w:szCs w:val="28"/>
        </w:rPr>
        <w:t>). The switch from serious female primary school attainment inequality in 2000 to serious male inequality is particularly marked in seven countries, namely Burkina Faso, Burundi, Gambia, Malawi, Rwanda, Senegal and Uganda</w:t>
      </w:r>
      <w:r w:rsidR="00C3448C">
        <w:rPr>
          <w:rStyle w:val="FootnoteReference"/>
          <w:sz w:val="28"/>
          <w:szCs w:val="28"/>
        </w:rPr>
        <w:footnoteReference w:id="4"/>
      </w:r>
      <w:r w:rsidR="00C37A84">
        <w:rPr>
          <w:sz w:val="28"/>
          <w:szCs w:val="28"/>
        </w:rPr>
        <w:t xml:space="preserve">. </w:t>
      </w:r>
      <w:r w:rsidR="00C66692">
        <w:rPr>
          <w:sz w:val="28"/>
          <w:szCs w:val="28"/>
        </w:rPr>
        <w:t xml:space="preserve">In another three countries (Congo, Madagascar and Tanzania) where gender equality </w:t>
      </w:r>
      <w:r w:rsidR="007E3F42">
        <w:rPr>
          <w:sz w:val="28"/>
          <w:szCs w:val="28"/>
        </w:rPr>
        <w:t xml:space="preserve">largely </w:t>
      </w:r>
      <w:r w:rsidR="00C66692">
        <w:rPr>
          <w:sz w:val="28"/>
          <w:szCs w:val="28"/>
        </w:rPr>
        <w:t xml:space="preserve">prevailed in 2000, male inequality has also increased appreciably since then. In only two countries (Lesotho and Namibia) has there been an appreciable reduction in male inequality. </w:t>
      </w:r>
    </w:p>
    <w:p w:rsidR="008120BE" w:rsidRDefault="00D42A64" w:rsidP="00595BD7">
      <w:pPr>
        <w:jc w:val="both"/>
        <w:rPr>
          <w:sz w:val="28"/>
          <w:szCs w:val="28"/>
        </w:rPr>
      </w:pPr>
      <w:r>
        <w:rPr>
          <w:sz w:val="28"/>
          <w:szCs w:val="28"/>
        </w:rPr>
        <w:t xml:space="preserve">This significant </w:t>
      </w:r>
      <w:r w:rsidR="008120BE">
        <w:rPr>
          <w:sz w:val="28"/>
          <w:szCs w:val="28"/>
        </w:rPr>
        <w:t xml:space="preserve">shift in the profile of gender inequality for primary schooling in SSA has been largely obscured by the continued preoccupation with addressing female gender inequality among all key stakeholders including governments, donors and NGOs. It </w:t>
      </w:r>
      <w:r>
        <w:rPr>
          <w:sz w:val="28"/>
          <w:szCs w:val="28"/>
        </w:rPr>
        <w:t>should</w:t>
      </w:r>
      <w:r w:rsidR="008120BE">
        <w:rPr>
          <w:sz w:val="28"/>
          <w:szCs w:val="28"/>
        </w:rPr>
        <w:t xml:space="preserve">, however, </w:t>
      </w:r>
      <w:r>
        <w:rPr>
          <w:sz w:val="28"/>
          <w:szCs w:val="28"/>
        </w:rPr>
        <w:t xml:space="preserve">be </w:t>
      </w:r>
      <w:r w:rsidR="008120BE">
        <w:rPr>
          <w:sz w:val="28"/>
          <w:szCs w:val="28"/>
        </w:rPr>
        <w:t xml:space="preserve">a major concern just as it is in other countries, both developed and developing, where girls are </w:t>
      </w:r>
      <w:r w:rsidR="00084C57">
        <w:rPr>
          <w:sz w:val="28"/>
          <w:szCs w:val="28"/>
        </w:rPr>
        <w:t xml:space="preserve">increasingly </w:t>
      </w:r>
      <w:r w:rsidR="008120BE">
        <w:rPr>
          <w:sz w:val="28"/>
          <w:szCs w:val="28"/>
        </w:rPr>
        <w:t xml:space="preserve">outperforming girls with respect to both schooling completion and learning outcomes. A comprehensive research programme needs to investigate the reasons for the emergence of significant male inequality </w:t>
      </w:r>
      <w:r w:rsidR="007E3F42">
        <w:rPr>
          <w:sz w:val="28"/>
          <w:szCs w:val="28"/>
        </w:rPr>
        <w:t xml:space="preserve">in primary schooling </w:t>
      </w:r>
      <w:r>
        <w:rPr>
          <w:sz w:val="28"/>
          <w:szCs w:val="28"/>
        </w:rPr>
        <w:t xml:space="preserve">in SSA </w:t>
      </w:r>
      <w:r w:rsidR="008120BE">
        <w:rPr>
          <w:sz w:val="28"/>
          <w:szCs w:val="28"/>
        </w:rPr>
        <w:t>particularly in those countries where the gender inequality switch</w:t>
      </w:r>
      <w:r w:rsidR="00157E52">
        <w:rPr>
          <w:sz w:val="28"/>
          <w:szCs w:val="28"/>
        </w:rPr>
        <w:t xml:space="preserve"> has been particularly large.</w:t>
      </w:r>
      <w:r w:rsidR="008120BE">
        <w:rPr>
          <w:sz w:val="28"/>
          <w:szCs w:val="28"/>
        </w:rPr>
        <w:t xml:space="preserve">    </w:t>
      </w:r>
    </w:p>
    <w:p w:rsidR="00C66692" w:rsidRPr="00A22BD6" w:rsidRDefault="00A22BD6" w:rsidP="00595BD7">
      <w:pPr>
        <w:jc w:val="both"/>
        <w:rPr>
          <w:b/>
          <w:i/>
          <w:sz w:val="28"/>
          <w:szCs w:val="28"/>
        </w:rPr>
      </w:pPr>
      <w:r>
        <w:rPr>
          <w:b/>
          <w:i/>
          <w:sz w:val="28"/>
          <w:szCs w:val="28"/>
        </w:rPr>
        <w:t xml:space="preserve">4. </w:t>
      </w:r>
      <w:r w:rsidR="003C76E5" w:rsidRPr="00A22BD6">
        <w:rPr>
          <w:b/>
          <w:i/>
          <w:sz w:val="28"/>
          <w:szCs w:val="28"/>
        </w:rPr>
        <w:t xml:space="preserve">Secondary education </w:t>
      </w:r>
    </w:p>
    <w:p w:rsidR="00B7463E" w:rsidRDefault="00C37A84" w:rsidP="00595BD7">
      <w:pPr>
        <w:jc w:val="both"/>
        <w:rPr>
          <w:sz w:val="28"/>
          <w:szCs w:val="28"/>
        </w:rPr>
      </w:pPr>
      <w:r>
        <w:rPr>
          <w:sz w:val="28"/>
          <w:szCs w:val="28"/>
        </w:rPr>
        <w:t xml:space="preserve"> </w:t>
      </w:r>
      <w:r w:rsidR="006F0DD4">
        <w:rPr>
          <w:sz w:val="28"/>
          <w:szCs w:val="28"/>
        </w:rPr>
        <w:t xml:space="preserve">In marked contrast to primary schooling, </w:t>
      </w:r>
      <w:r w:rsidR="00E42C84">
        <w:rPr>
          <w:sz w:val="28"/>
          <w:szCs w:val="28"/>
        </w:rPr>
        <w:t xml:space="preserve">a </w:t>
      </w:r>
      <w:r w:rsidR="006F0DD4">
        <w:rPr>
          <w:sz w:val="28"/>
          <w:szCs w:val="28"/>
        </w:rPr>
        <w:t xml:space="preserve">high degree of female </w:t>
      </w:r>
      <w:r w:rsidR="00D42A64">
        <w:rPr>
          <w:sz w:val="28"/>
          <w:szCs w:val="28"/>
        </w:rPr>
        <w:t xml:space="preserve">completion rate </w:t>
      </w:r>
      <w:r w:rsidR="006F0DD4">
        <w:rPr>
          <w:sz w:val="28"/>
          <w:szCs w:val="28"/>
        </w:rPr>
        <w:t>inequality in secondary education remains the norm in much of SSA. This is particularly concerning since successful completion of the full secondary schooling cycle</w:t>
      </w:r>
      <w:r w:rsidR="00974AFA">
        <w:rPr>
          <w:rStyle w:val="FootnoteReference"/>
          <w:sz w:val="28"/>
          <w:szCs w:val="28"/>
        </w:rPr>
        <w:footnoteReference w:id="5"/>
      </w:r>
      <w:r w:rsidR="006F0DD4">
        <w:rPr>
          <w:sz w:val="28"/>
          <w:szCs w:val="28"/>
        </w:rPr>
        <w:t xml:space="preserve"> increasingly determines a young person’s </w:t>
      </w:r>
      <w:r w:rsidR="00084C57">
        <w:rPr>
          <w:sz w:val="28"/>
          <w:szCs w:val="28"/>
        </w:rPr>
        <w:t xml:space="preserve">overall </w:t>
      </w:r>
      <w:r w:rsidR="006F0DD4">
        <w:rPr>
          <w:sz w:val="28"/>
          <w:szCs w:val="28"/>
        </w:rPr>
        <w:t xml:space="preserve">life chances </w:t>
      </w:r>
      <w:r w:rsidR="00E42C84">
        <w:rPr>
          <w:sz w:val="28"/>
          <w:szCs w:val="28"/>
        </w:rPr>
        <w:t xml:space="preserve">in SSA </w:t>
      </w:r>
      <w:r w:rsidR="006F0DD4">
        <w:rPr>
          <w:sz w:val="28"/>
          <w:szCs w:val="28"/>
        </w:rPr>
        <w:t xml:space="preserve">particularly with regard to </w:t>
      </w:r>
      <w:r w:rsidR="00974AFA">
        <w:rPr>
          <w:sz w:val="28"/>
          <w:szCs w:val="28"/>
        </w:rPr>
        <w:t xml:space="preserve">accessing higher education as well as </w:t>
      </w:r>
      <w:r w:rsidR="006F0DD4">
        <w:rPr>
          <w:sz w:val="28"/>
          <w:szCs w:val="28"/>
        </w:rPr>
        <w:t xml:space="preserve">obtaining increasingly scarce employment in the formal sector. Figure 2 shows that the </w:t>
      </w:r>
      <w:r w:rsidR="00974AFA">
        <w:rPr>
          <w:sz w:val="28"/>
          <w:szCs w:val="28"/>
        </w:rPr>
        <w:t xml:space="preserve">secondary school </w:t>
      </w:r>
      <w:r w:rsidR="006F0DD4">
        <w:rPr>
          <w:sz w:val="28"/>
          <w:szCs w:val="28"/>
        </w:rPr>
        <w:t xml:space="preserve">completion rate GPI is below </w:t>
      </w:r>
      <w:r w:rsidR="00AB282A">
        <w:rPr>
          <w:sz w:val="28"/>
          <w:szCs w:val="28"/>
        </w:rPr>
        <w:t xml:space="preserve">0.8 </w:t>
      </w:r>
      <w:r w:rsidR="006F0DD4">
        <w:rPr>
          <w:sz w:val="28"/>
          <w:szCs w:val="28"/>
        </w:rPr>
        <w:t xml:space="preserve">in </w:t>
      </w:r>
      <w:r w:rsidR="00AB282A">
        <w:rPr>
          <w:sz w:val="28"/>
          <w:szCs w:val="28"/>
        </w:rPr>
        <w:t>18</w:t>
      </w:r>
      <w:r w:rsidR="00974AFA">
        <w:rPr>
          <w:sz w:val="28"/>
          <w:szCs w:val="28"/>
        </w:rPr>
        <w:t xml:space="preserve"> (52%) </w:t>
      </w:r>
      <w:r w:rsidR="006F0DD4">
        <w:rPr>
          <w:sz w:val="28"/>
          <w:szCs w:val="28"/>
        </w:rPr>
        <w:t>of the 34 countries where either household survey or school-based enrolment data is available.</w:t>
      </w:r>
      <w:r w:rsidR="00AB282A">
        <w:rPr>
          <w:sz w:val="28"/>
          <w:szCs w:val="28"/>
        </w:rPr>
        <w:t xml:space="preserve"> Nearly three-quarters of these countries are in Francophone and Lusophone Africa. </w:t>
      </w:r>
      <w:r w:rsidR="00974AFA">
        <w:rPr>
          <w:sz w:val="28"/>
          <w:szCs w:val="28"/>
        </w:rPr>
        <w:t>Another 11 countries (almost one-third</w:t>
      </w:r>
      <w:r w:rsidR="00AB282A">
        <w:rPr>
          <w:sz w:val="28"/>
          <w:szCs w:val="28"/>
        </w:rPr>
        <w:t xml:space="preserve"> of the total) have less marked gender </w:t>
      </w:r>
      <w:r w:rsidR="00974AFA">
        <w:rPr>
          <w:sz w:val="28"/>
          <w:szCs w:val="28"/>
        </w:rPr>
        <w:t>in</w:t>
      </w:r>
      <w:r w:rsidR="00AB282A">
        <w:rPr>
          <w:sz w:val="28"/>
          <w:szCs w:val="28"/>
        </w:rPr>
        <w:t xml:space="preserve">equality with completion rate GPIs in the region of 0.8 and </w:t>
      </w:r>
      <w:r w:rsidR="00AB282A">
        <w:rPr>
          <w:sz w:val="28"/>
          <w:szCs w:val="28"/>
        </w:rPr>
        <w:lastRenderedPageBreak/>
        <w:t xml:space="preserve">0.97. </w:t>
      </w:r>
      <w:r w:rsidR="00974AFA">
        <w:rPr>
          <w:sz w:val="28"/>
          <w:szCs w:val="28"/>
        </w:rPr>
        <w:t>T</w:t>
      </w:r>
      <w:r w:rsidR="00AB282A">
        <w:rPr>
          <w:sz w:val="28"/>
          <w:szCs w:val="28"/>
        </w:rPr>
        <w:t xml:space="preserve">he remaining five countries all have completion rate GPIs higher than 1.05 where, therefore, significantly more girls complete the full cycle of secondary school than boys. Surprisingly, there is not one country </w:t>
      </w:r>
      <w:r w:rsidR="00974AFA">
        <w:rPr>
          <w:sz w:val="28"/>
          <w:szCs w:val="28"/>
        </w:rPr>
        <w:t xml:space="preserve">in </w:t>
      </w:r>
      <w:r w:rsidR="00F47898">
        <w:rPr>
          <w:sz w:val="28"/>
          <w:szCs w:val="28"/>
        </w:rPr>
        <w:t xml:space="preserve">mainland </w:t>
      </w:r>
      <w:r w:rsidR="00974AFA">
        <w:rPr>
          <w:sz w:val="28"/>
          <w:szCs w:val="28"/>
        </w:rPr>
        <w:t xml:space="preserve">SSA </w:t>
      </w:r>
      <w:r w:rsidR="00AB282A">
        <w:rPr>
          <w:sz w:val="28"/>
          <w:szCs w:val="28"/>
        </w:rPr>
        <w:t xml:space="preserve">with complete gender equality </w:t>
      </w:r>
      <w:r w:rsidR="00974AFA">
        <w:rPr>
          <w:sz w:val="28"/>
          <w:szCs w:val="28"/>
        </w:rPr>
        <w:t>in secondary education (</w:t>
      </w:r>
      <w:r w:rsidR="00AB282A">
        <w:rPr>
          <w:sz w:val="28"/>
          <w:szCs w:val="28"/>
        </w:rPr>
        <w:t>with completion rate GPIs in the range of 0.97 and 1.03</w:t>
      </w:r>
      <w:r w:rsidR="00974AFA">
        <w:rPr>
          <w:sz w:val="28"/>
          <w:szCs w:val="28"/>
        </w:rPr>
        <w:t>)</w:t>
      </w:r>
      <w:r w:rsidR="00AB282A">
        <w:rPr>
          <w:sz w:val="28"/>
          <w:szCs w:val="28"/>
        </w:rPr>
        <w:t xml:space="preserve">.    </w:t>
      </w:r>
      <w:r w:rsidR="006F0DD4">
        <w:rPr>
          <w:sz w:val="28"/>
          <w:szCs w:val="28"/>
        </w:rPr>
        <w:t xml:space="preserve">    </w:t>
      </w:r>
    </w:p>
    <w:p w:rsidR="007A57F2" w:rsidRDefault="007A57F2" w:rsidP="00595BD7">
      <w:pPr>
        <w:jc w:val="both"/>
        <w:rPr>
          <w:sz w:val="28"/>
          <w:szCs w:val="28"/>
        </w:rPr>
      </w:pPr>
      <w:r>
        <w:rPr>
          <w:noProof/>
          <w:lang w:eastAsia="en-GB"/>
        </w:rPr>
        <w:drawing>
          <wp:inline distT="0" distB="0" distL="0" distR="0" wp14:anchorId="7B77E4A5" wp14:editId="6BFD96F4">
            <wp:extent cx="5292000" cy="2743200"/>
            <wp:effectExtent l="0" t="0" r="44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674B" w:rsidRDefault="0001674B" w:rsidP="00595BD7">
      <w:pPr>
        <w:jc w:val="both"/>
        <w:rPr>
          <w:sz w:val="28"/>
          <w:szCs w:val="28"/>
        </w:rPr>
      </w:pPr>
    </w:p>
    <w:p w:rsidR="006D77F3" w:rsidRPr="006D77F3" w:rsidRDefault="00084C57" w:rsidP="006D77F3">
      <w:pPr>
        <w:jc w:val="both"/>
        <w:rPr>
          <w:sz w:val="28"/>
          <w:szCs w:val="28"/>
        </w:rPr>
      </w:pPr>
      <w:r>
        <w:rPr>
          <w:sz w:val="28"/>
          <w:szCs w:val="28"/>
        </w:rPr>
        <w:t xml:space="preserve">The median country increase in the completion rate GPI </w:t>
      </w:r>
      <w:r w:rsidR="00D42A64">
        <w:rPr>
          <w:sz w:val="28"/>
          <w:szCs w:val="28"/>
        </w:rPr>
        <w:t xml:space="preserve">for secondary education </w:t>
      </w:r>
      <w:r>
        <w:rPr>
          <w:sz w:val="28"/>
          <w:szCs w:val="28"/>
        </w:rPr>
        <w:t xml:space="preserve">during the last 15-20 years has been just 0.13 (compared to </w:t>
      </w:r>
      <w:r w:rsidR="009E52A9">
        <w:rPr>
          <w:sz w:val="28"/>
          <w:szCs w:val="28"/>
        </w:rPr>
        <w:t>0.20</w:t>
      </w:r>
      <w:r>
        <w:rPr>
          <w:sz w:val="28"/>
          <w:szCs w:val="28"/>
        </w:rPr>
        <w:t xml:space="preserve"> for primary schooling). </w:t>
      </w:r>
      <w:r w:rsidR="00F47898">
        <w:rPr>
          <w:sz w:val="28"/>
          <w:szCs w:val="28"/>
        </w:rPr>
        <w:t xml:space="preserve">Only around one-third of countries in SSA have made appreciable progress </w:t>
      </w:r>
      <w:r w:rsidR="009E52A9">
        <w:rPr>
          <w:sz w:val="28"/>
          <w:szCs w:val="28"/>
        </w:rPr>
        <w:t xml:space="preserve">(i.e. where the completion rate GPI has increased by more than 0.25) </w:t>
      </w:r>
      <w:r w:rsidR="00F47898">
        <w:rPr>
          <w:sz w:val="28"/>
          <w:szCs w:val="28"/>
        </w:rPr>
        <w:t>in reducing female gender inequality in secondary education</w:t>
      </w:r>
      <w:r w:rsidR="00283A01">
        <w:rPr>
          <w:sz w:val="28"/>
          <w:szCs w:val="28"/>
        </w:rPr>
        <w:t xml:space="preserve"> (see Table </w:t>
      </w:r>
      <w:r w:rsidR="00D42A64">
        <w:rPr>
          <w:sz w:val="28"/>
          <w:szCs w:val="28"/>
        </w:rPr>
        <w:t>4</w:t>
      </w:r>
      <w:r w:rsidR="00283A01">
        <w:rPr>
          <w:sz w:val="28"/>
          <w:szCs w:val="28"/>
        </w:rPr>
        <w:t>).  Progress has been negligible in over half of all countries in SSA.</w:t>
      </w:r>
      <w:r w:rsidR="007A7EA0">
        <w:rPr>
          <w:sz w:val="28"/>
          <w:szCs w:val="28"/>
        </w:rPr>
        <w:t xml:space="preserve"> </w:t>
      </w:r>
      <w:r w:rsidR="00283A01">
        <w:rPr>
          <w:sz w:val="28"/>
          <w:szCs w:val="28"/>
        </w:rPr>
        <w:t xml:space="preserve"> Interestingly, </w:t>
      </w:r>
      <w:r w:rsidR="006D77F3">
        <w:rPr>
          <w:sz w:val="28"/>
          <w:szCs w:val="28"/>
        </w:rPr>
        <w:t xml:space="preserve">there is a considerable degree of overlap between countries that have achieved the greatest progress gender in equality in both primary and secondary education with Senegal, Ethiopia, Gambia and Guinea being the most consistent standout performers. However, as with primary education, no research has been undertaken which comprehensively investigates the key explanatory factors with regard to the relative progress countries have been made in reducing gender inequality in secondary education.  </w:t>
      </w:r>
      <w:r w:rsidR="006D77F3">
        <w:br w:type="page"/>
      </w:r>
    </w:p>
    <w:tbl>
      <w:tblPr>
        <w:tblW w:w="6434" w:type="dxa"/>
        <w:tblLook w:val="04A0" w:firstRow="1" w:lastRow="0" w:firstColumn="1" w:lastColumn="0" w:noHBand="0" w:noVBand="1"/>
      </w:tblPr>
      <w:tblGrid>
        <w:gridCol w:w="2998"/>
        <w:gridCol w:w="1145"/>
        <w:gridCol w:w="1145"/>
        <w:gridCol w:w="924"/>
        <w:gridCol w:w="222"/>
      </w:tblGrid>
      <w:tr w:rsidR="005C3E95" w:rsidRPr="005C3E95" w:rsidTr="00E449FE">
        <w:trPr>
          <w:trHeight w:val="288"/>
        </w:trPr>
        <w:tc>
          <w:tcPr>
            <w:tcW w:w="6434" w:type="dxa"/>
            <w:gridSpan w:val="5"/>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lastRenderedPageBreak/>
              <w:t>Table 4: Change in completion rate GPIs for senior secondary</w:t>
            </w:r>
          </w:p>
        </w:tc>
      </w:tr>
      <w:tr w:rsidR="005C3E95" w:rsidRPr="005C3E95" w:rsidTr="00E449FE">
        <w:trPr>
          <w:trHeight w:val="300"/>
        </w:trPr>
        <w:tc>
          <w:tcPr>
            <w:tcW w:w="4143" w:type="dxa"/>
            <w:gridSpan w:val="2"/>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schooling between 2000 and 2018</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r>
      <w:tr w:rsidR="005C3E95" w:rsidRPr="005C3E95" w:rsidTr="00E449FE">
        <w:trPr>
          <w:trHeight w:val="288"/>
        </w:trPr>
        <w:tc>
          <w:tcPr>
            <w:tcW w:w="2998" w:type="dxa"/>
            <w:tcBorders>
              <w:top w:val="single" w:sz="8" w:space="0" w:color="auto"/>
              <w:left w:val="single" w:sz="8" w:space="0" w:color="auto"/>
              <w:bottom w:val="single" w:sz="4" w:space="0" w:color="auto"/>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 xml:space="preserve">Country </w:t>
            </w:r>
          </w:p>
        </w:tc>
        <w:tc>
          <w:tcPr>
            <w:tcW w:w="1145" w:type="dxa"/>
            <w:tcBorders>
              <w:top w:val="single" w:sz="8" w:space="0" w:color="auto"/>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GPI 2000</w:t>
            </w:r>
          </w:p>
        </w:tc>
        <w:tc>
          <w:tcPr>
            <w:tcW w:w="1145" w:type="dxa"/>
            <w:tcBorders>
              <w:top w:val="single" w:sz="8" w:space="0" w:color="auto"/>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GPI 2018</w:t>
            </w:r>
          </w:p>
        </w:tc>
        <w:tc>
          <w:tcPr>
            <w:tcW w:w="924" w:type="dxa"/>
            <w:tcBorders>
              <w:top w:val="single" w:sz="8" w:space="0" w:color="auto"/>
              <w:left w:val="nil"/>
              <w:bottom w:val="single" w:sz="4"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change</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Senegal</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0.95</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0.65</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Guinea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0.52</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Ethiopia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0.70</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1.11</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Benin</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0.31</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Tanzania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0.52</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Guinea Bissau</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0.31</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Gambia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0.63</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0.93</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Zambia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0.50</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0.81</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Mozambique</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Côte d'Ivoire</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0.26</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single" w:sz="4" w:space="0" w:color="auto"/>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Cameroon</w:t>
            </w:r>
          </w:p>
        </w:tc>
        <w:tc>
          <w:tcPr>
            <w:tcW w:w="1145"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0.62</w:t>
            </w:r>
          </w:p>
        </w:tc>
        <w:tc>
          <w:tcPr>
            <w:tcW w:w="1145"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0.87</w:t>
            </w:r>
          </w:p>
        </w:tc>
        <w:tc>
          <w:tcPr>
            <w:tcW w:w="924" w:type="dxa"/>
            <w:tcBorders>
              <w:top w:val="nil"/>
              <w:left w:val="nil"/>
              <w:bottom w:val="single" w:sz="4"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0.25</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Congo</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0.46</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0.24</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Eswatini</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0.89</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1.07</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0.18</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South Africa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1.01</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1.16</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0.15</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Zimbabwe</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0.71</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0.84</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0.14</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Mali</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0.46</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0.14</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Togo</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0.32</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0.45</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0.13</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Chad</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0.22</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0.34</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0.12</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Niger</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0.19</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DRC</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0.61</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Central African Republic</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0.47</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0.54</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0.07</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Ghana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0.77</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0.84</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0.07</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Burundi</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0.77</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0.03</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Uganda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0.72</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0.73</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0.01</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single" w:sz="4" w:space="0" w:color="auto"/>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Kenya</w:t>
            </w:r>
          </w:p>
        </w:tc>
        <w:tc>
          <w:tcPr>
            <w:tcW w:w="1145"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0.85</w:t>
            </w:r>
          </w:p>
        </w:tc>
        <w:tc>
          <w:tcPr>
            <w:tcW w:w="1145"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0.85</w:t>
            </w:r>
          </w:p>
        </w:tc>
        <w:tc>
          <w:tcPr>
            <w:tcW w:w="924" w:type="dxa"/>
            <w:tcBorders>
              <w:top w:val="nil"/>
              <w:left w:val="nil"/>
              <w:bottom w:val="single" w:sz="4"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Sierra Leone</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0.65</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0.62</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-0.02</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Malawi</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0.76</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0.71</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-0.05</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Rwanda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0.88</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-0.06</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Nigeria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0.77</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-0.07</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Namibia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1.24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1.11</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-0.13</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Liberia</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0.94</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0.74</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2998" w:type="dxa"/>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Madagascar</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1.36</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1.10</w:t>
            </w:r>
          </w:p>
        </w:tc>
        <w:tc>
          <w:tcPr>
            <w:tcW w:w="924"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-0.26</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300"/>
        </w:trPr>
        <w:tc>
          <w:tcPr>
            <w:tcW w:w="2998" w:type="dxa"/>
            <w:tcBorders>
              <w:top w:val="nil"/>
              <w:left w:val="single" w:sz="8" w:space="0" w:color="auto"/>
              <w:bottom w:val="single" w:sz="8" w:space="0" w:color="auto"/>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Lesotho</w:t>
            </w:r>
          </w:p>
        </w:tc>
        <w:tc>
          <w:tcPr>
            <w:tcW w:w="1145"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1.42</w:t>
            </w:r>
          </w:p>
        </w:tc>
        <w:tc>
          <w:tcPr>
            <w:tcW w:w="1145"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0.82</w:t>
            </w:r>
          </w:p>
        </w:tc>
        <w:tc>
          <w:tcPr>
            <w:tcW w:w="924" w:type="dxa"/>
            <w:tcBorders>
              <w:top w:val="nil"/>
              <w:left w:val="nil"/>
              <w:bottom w:val="single" w:sz="8"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-0.60</w:t>
            </w: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p>
        </w:tc>
      </w:tr>
      <w:tr w:rsidR="005C3E95" w:rsidRPr="005C3E95" w:rsidTr="00E449FE">
        <w:trPr>
          <w:trHeight w:val="288"/>
        </w:trPr>
        <w:tc>
          <w:tcPr>
            <w:tcW w:w="4143" w:type="dxa"/>
            <w:gridSpan w:val="2"/>
            <w:tcBorders>
              <w:top w:val="nil"/>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Source: DHS, MICS and UIS</w:t>
            </w:r>
          </w:p>
        </w:tc>
        <w:tc>
          <w:tcPr>
            <w:tcW w:w="1145"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r>
    </w:tbl>
    <w:p w:rsidR="0001674B" w:rsidRDefault="0001674B" w:rsidP="00E449FE">
      <w:pPr>
        <w:jc w:val="both"/>
        <w:rPr>
          <w:sz w:val="28"/>
          <w:szCs w:val="28"/>
        </w:rPr>
      </w:pPr>
    </w:p>
    <w:p w:rsidR="0001674B" w:rsidRDefault="0001674B" w:rsidP="00E449FE">
      <w:pPr>
        <w:jc w:val="both"/>
        <w:rPr>
          <w:sz w:val="28"/>
          <w:szCs w:val="28"/>
        </w:rPr>
      </w:pPr>
    </w:p>
    <w:p w:rsidR="006D77F3" w:rsidRDefault="006D77F3">
      <w:r>
        <w:br w:type="page"/>
      </w:r>
    </w:p>
    <w:tbl>
      <w:tblPr>
        <w:tblW w:w="8776" w:type="dxa"/>
        <w:tblLook w:val="04A0" w:firstRow="1" w:lastRow="0" w:firstColumn="1" w:lastColumn="0" w:noHBand="0" w:noVBand="1"/>
      </w:tblPr>
      <w:tblGrid>
        <w:gridCol w:w="2104"/>
        <w:gridCol w:w="1452"/>
        <w:gridCol w:w="1031"/>
        <w:gridCol w:w="1269"/>
        <w:gridCol w:w="901"/>
        <w:gridCol w:w="928"/>
        <w:gridCol w:w="1091"/>
      </w:tblGrid>
      <w:tr w:rsidR="005C3E95" w:rsidRPr="005C3E95" w:rsidTr="005C3E95">
        <w:trPr>
          <w:trHeight w:val="288"/>
        </w:trPr>
        <w:tc>
          <w:tcPr>
            <w:tcW w:w="8776" w:type="dxa"/>
            <w:gridSpan w:val="7"/>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lastRenderedPageBreak/>
              <w:t xml:space="preserve">Table 5: Rural and urban completion rates and GPIs by gender for upper secondary  </w:t>
            </w:r>
          </w:p>
        </w:tc>
      </w:tr>
      <w:tr w:rsidR="005C3E95" w:rsidRPr="005C3E95" w:rsidTr="005C3E95">
        <w:trPr>
          <w:trHeight w:val="300"/>
        </w:trPr>
        <w:tc>
          <w:tcPr>
            <w:tcW w:w="5856" w:type="dxa"/>
            <w:gridSpan w:val="4"/>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schooling for selected countries in SSA, late 2010s</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p>
        </w:tc>
        <w:tc>
          <w:tcPr>
            <w:tcW w:w="928"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Times New Roman" w:eastAsia="Times New Roman" w:hAnsi="Times New Roman" w:cs="Times New Roman"/>
                <w:sz w:val="20"/>
                <w:szCs w:val="20"/>
                <w:lang w:eastAsia="en-GB"/>
              </w:rPr>
            </w:pPr>
          </w:p>
        </w:tc>
        <w:tc>
          <w:tcPr>
            <w:tcW w:w="109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Times New Roman" w:eastAsia="Times New Roman" w:hAnsi="Times New Roman" w:cs="Times New Roman"/>
                <w:sz w:val="20"/>
                <w:szCs w:val="20"/>
                <w:lang w:eastAsia="en-GB"/>
              </w:rPr>
            </w:pPr>
          </w:p>
        </w:tc>
      </w:tr>
      <w:tr w:rsidR="005C3E95" w:rsidRPr="005C3E95" w:rsidTr="005C3E95">
        <w:trPr>
          <w:trHeight w:val="288"/>
        </w:trPr>
        <w:tc>
          <w:tcPr>
            <w:tcW w:w="2104" w:type="dxa"/>
            <w:tcBorders>
              <w:top w:val="single" w:sz="8" w:space="0" w:color="auto"/>
              <w:left w:val="single" w:sz="8" w:space="0" w:color="auto"/>
              <w:bottom w:val="nil"/>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 </w:t>
            </w:r>
          </w:p>
        </w:tc>
        <w:tc>
          <w:tcPr>
            <w:tcW w:w="2483" w:type="dxa"/>
            <w:gridSpan w:val="2"/>
            <w:tcBorders>
              <w:top w:val="single" w:sz="8" w:space="0" w:color="auto"/>
              <w:left w:val="nil"/>
              <w:bottom w:val="nil"/>
              <w:right w:val="nil"/>
            </w:tcBorders>
            <w:shd w:val="clear" w:color="auto" w:fill="auto"/>
            <w:noWrap/>
            <w:vAlign w:val="bottom"/>
            <w:hideMark/>
          </w:tcPr>
          <w:p w:rsidR="005C3E95" w:rsidRPr="005C3E95" w:rsidRDefault="005C3E95" w:rsidP="005C3E95">
            <w:pPr>
              <w:spacing w:after="0" w:line="240" w:lineRule="auto"/>
              <w:ind w:firstLineChars="500" w:firstLine="1100"/>
              <w:rPr>
                <w:rFonts w:ascii="Calibri" w:eastAsia="Times New Roman" w:hAnsi="Calibri" w:cs="Calibri"/>
                <w:color w:val="000000"/>
                <w:lang w:eastAsia="en-GB"/>
              </w:rPr>
            </w:pPr>
            <w:r w:rsidRPr="005C3E95">
              <w:rPr>
                <w:rFonts w:ascii="Calibri" w:eastAsia="Times New Roman" w:hAnsi="Calibri" w:cs="Calibri"/>
                <w:color w:val="000000"/>
                <w:lang w:eastAsia="en-GB"/>
              </w:rPr>
              <w:t>Rural</w:t>
            </w:r>
          </w:p>
        </w:tc>
        <w:tc>
          <w:tcPr>
            <w:tcW w:w="2170" w:type="dxa"/>
            <w:gridSpan w:val="2"/>
            <w:tcBorders>
              <w:top w:val="single" w:sz="8" w:space="0" w:color="auto"/>
              <w:left w:val="nil"/>
              <w:bottom w:val="nil"/>
              <w:right w:val="nil"/>
            </w:tcBorders>
            <w:shd w:val="clear" w:color="auto" w:fill="auto"/>
            <w:noWrap/>
            <w:vAlign w:val="bottom"/>
            <w:hideMark/>
          </w:tcPr>
          <w:p w:rsidR="005C3E95" w:rsidRPr="005C3E95" w:rsidRDefault="005C3E95" w:rsidP="005C3E95">
            <w:pPr>
              <w:spacing w:after="0" w:line="240" w:lineRule="auto"/>
              <w:ind w:firstLineChars="400" w:firstLine="880"/>
              <w:rPr>
                <w:rFonts w:ascii="Calibri" w:eastAsia="Times New Roman" w:hAnsi="Calibri" w:cs="Calibri"/>
                <w:color w:val="000000"/>
                <w:lang w:eastAsia="en-GB"/>
              </w:rPr>
            </w:pPr>
            <w:r w:rsidRPr="005C3E95">
              <w:rPr>
                <w:rFonts w:ascii="Calibri" w:eastAsia="Times New Roman" w:hAnsi="Calibri" w:cs="Calibri"/>
                <w:color w:val="000000"/>
                <w:lang w:eastAsia="en-GB"/>
              </w:rPr>
              <w:t>Urban</w:t>
            </w:r>
          </w:p>
        </w:tc>
        <w:tc>
          <w:tcPr>
            <w:tcW w:w="2019" w:type="dxa"/>
            <w:gridSpan w:val="2"/>
            <w:tcBorders>
              <w:top w:val="single" w:sz="8" w:space="0" w:color="auto"/>
              <w:left w:val="single" w:sz="4" w:space="0" w:color="auto"/>
              <w:bottom w:val="nil"/>
              <w:right w:val="single" w:sz="8" w:space="0" w:color="000000"/>
            </w:tcBorders>
            <w:shd w:val="clear" w:color="auto" w:fill="auto"/>
            <w:noWrap/>
            <w:vAlign w:val="bottom"/>
            <w:hideMark/>
          </w:tcPr>
          <w:p w:rsidR="005C3E95" w:rsidRPr="005C3E95" w:rsidRDefault="005C3E95" w:rsidP="005C3E95">
            <w:pPr>
              <w:spacing w:after="0" w:line="240" w:lineRule="auto"/>
              <w:ind w:firstLineChars="300" w:firstLine="660"/>
              <w:rPr>
                <w:rFonts w:ascii="Calibri" w:eastAsia="Times New Roman" w:hAnsi="Calibri" w:cs="Calibri"/>
                <w:color w:val="000000"/>
                <w:lang w:eastAsia="en-GB"/>
              </w:rPr>
            </w:pPr>
            <w:r w:rsidRPr="005C3E95">
              <w:rPr>
                <w:rFonts w:ascii="Calibri" w:eastAsia="Times New Roman" w:hAnsi="Calibri" w:cs="Calibri"/>
                <w:color w:val="000000"/>
                <w:lang w:eastAsia="en-GB"/>
              </w:rPr>
              <w:t>GPI 2018</w:t>
            </w:r>
          </w:p>
        </w:tc>
      </w:tr>
      <w:tr w:rsidR="005C3E95" w:rsidRPr="005C3E95" w:rsidTr="005C3E95">
        <w:trPr>
          <w:trHeight w:val="288"/>
        </w:trPr>
        <w:tc>
          <w:tcPr>
            <w:tcW w:w="2104" w:type="dxa"/>
            <w:tcBorders>
              <w:top w:val="nil"/>
              <w:left w:val="single" w:sz="8" w:space="0" w:color="auto"/>
              <w:bottom w:val="single" w:sz="4" w:space="0" w:color="auto"/>
              <w:right w:val="nil"/>
            </w:tcBorders>
            <w:shd w:val="clear" w:color="auto" w:fill="auto"/>
            <w:noWrap/>
            <w:vAlign w:val="bottom"/>
            <w:hideMark/>
          </w:tcPr>
          <w:p w:rsidR="005C3E95" w:rsidRPr="005C3E95" w:rsidRDefault="005C3E95" w:rsidP="005C3E95">
            <w:pPr>
              <w:spacing w:after="0" w:line="240" w:lineRule="auto"/>
              <w:rPr>
                <w:rFonts w:ascii="Calibri" w:eastAsia="Times New Roman" w:hAnsi="Calibri" w:cs="Calibri"/>
                <w:color w:val="000000"/>
                <w:lang w:eastAsia="en-GB"/>
              </w:rPr>
            </w:pPr>
            <w:r w:rsidRPr="005C3E95">
              <w:rPr>
                <w:rFonts w:ascii="Calibri" w:eastAsia="Times New Roman" w:hAnsi="Calibri" w:cs="Calibri"/>
                <w:color w:val="000000"/>
                <w:lang w:eastAsia="en-GB"/>
              </w:rPr>
              <w:t>Country</w:t>
            </w:r>
          </w:p>
        </w:tc>
        <w:tc>
          <w:tcPr>
            <w:tcW w:w="1452"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Female</w:t>
            </w:r>
          </w:p>
        </w:tc>
        <w:tc>
          <w:tcPr>
            <w:tcW w:w="1031"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Male</w:t>
            </w:r>
          </w:p>
        </w:tc>
        <w:tc>
          <w:tcPr>
            <w:tcW w:w="1269"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Female</w:t>
            </w:r>
          </w:p>
        </w:tc>
        <w:tc>
          <w:tcPr>
            <w:tcW w:w="901" w:type="dxa"/>
            <w:tcBorders>
              <w:top w:val="nil"/>
              <w:left w:val="nil"/>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Male</w:t>
            </w:r>
          </w:p>
        </w:tc>
        <w:tc>
          <w:tcPr>
            <w:tcW w:w="928" w:type="dxa"/>
            <w:tcBorders>
              <w:top w:val="nil"/>
              <w:left w:val="single" w:sz="4" w:space="0" w:color="auto"/>
              <w:bottom w:val="single" w:sz="4"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Rural</w:t>
            </w:r>
          </w:p>
        </w:tc>
        <w:tc>
          <w:tcPr>
            <w:tcW w:w="1091" w:type="dxa"/>
            <w:tcBorders>
              <w:top w:val="nil"/>
              <w:left w:val="nil"/>
              <w:bottom w:val="single" w:sz="4"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Urban</w:t>
            </w:r>
          </w:p>
        </w:tc>
      </w:tr>
      <w:tr w:rsidR="005C3E95" w:rsidRPr="005C3E95" w:rsidTr="005C3E95">
        <w:trPr>
          <w:trHeight w:val="324"/>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CAR</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15.9</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24.6</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0.33</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0.65</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Chad</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5.9</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16.7</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32</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0.15</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0.52</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Côte d'Ivoire</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1.3</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3.4</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18.5</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23.1</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0.38</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0.80</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Guinea</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2.4</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7.4</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27.3</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35.8</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0.32</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0.76</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Guinea Bissau</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3.3</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10.1</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28.7</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35.9</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0.33</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0.80</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Togo</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3.8</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14.7</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24.1</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44.4</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0.26</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0.54</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Sierra Leone</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4.2</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10.3</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28.9</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39.9</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0.41</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0.72</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Zimbabwe</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5.7</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7.1</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26.1</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37.1</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0.80</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0.70</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Gambia</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8.2</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12.3</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37.6</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36</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0.67</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1.04</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Madagascar</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9.9</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9.9</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33.8</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29.6</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1.00</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1.14</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DRC</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11.1</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27.9</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53.6</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63.9</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0.40</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0.84</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Ghana</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21.8</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31.8</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53.1</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59.4</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0.69</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0.89</w:t>
            </w:r>
          </w:p>
        </w:tc>
      </w:tr>
      <w:tr w:rsidR="005C3E95" w:rsidRPr="005C3E95" w:rsidTr="005C3E95">
        <w:trPr>
          <w:trHeight w:val="288"/>
        </w:trPr>
        <w:tc>
          <w:tcPr>
            <w:tcW w:w="2104" w:type="dxa"/>
            <w:tcBorders>
              <w:top w:val="nil"/>
              <w:left w:val="single" w:sz="8" w:space="0" w:color="auto"/>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Nigeria</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26.7</w:t>
            </w: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40.1</w:t>
            </w: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68.6</w:t>
            </w: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74.7</w:t>
            </w:r>
          </w:p>
        </w:tc>
        <w:tc>
          <w:tcPr>
            <w:tcW w:w="928" w:type="dxa"/>
            <w:tcBorders>
              <w:top w:val="nil"/>
              <w:left w:val="single" w:sz="4" w:space="0" w:color="auto"/>
              <w:bottom w:val="nil"/>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0.67</w:t>
            </w:r>
          </w:p>
        </w:tc>
        <w:tc>
          <w:tcPr>
            <w:tcW w:w="1091" w:type="dxa"/>
            <w:tcBorders>
              <w:top w:val="nil"/>
              <w:left w:val="nil"/>
              <w:bottom w:val="nil"/>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0.92</w:t>
            </w:r>
          </w:p>
        </w:tc>
      </w:tr>
      <w:tr w:rsidR="005C3E95" w:rsidRPr="005C3E95" w:rsidTr="005C3E95">
        <w:trPr>
          <w:trHeight w:val="300"/>
        </w:trPr>
        <w:tc>
          <w:tcPr>
            <w:tcW w:w="2104" w:type="dxa"/>
            <w:tcBorders>
              <w:top w:val="nil"/>
              <w:left w:val="single" w:sz="8" w:space="0" w:color="auto"/>
              <w:bottom w:val="single" w:sz="8" w:space="0" w:color="auto"/>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8"/>
                <w:szCs w:val="18"/>
                <w:lang w:eastAsia="en-GB"/>
              </w:rPr>
            </w:pPr>
            <w:r w:rsidRPr="005C3E95">
              <w:rPr>
                <w:rFonts w:ascii="Verdana" w:eastAsia="Times New Roman" w:hAnsi="Verdana" w:cs="Calibri"/>
                <w:sz w:val="18"/>
                <w:szCs w:val="18"/>
                <w:lang w:eastAsia="en-GB"/>
              </w:rPr>
              <w:t>Lesotho</w:t>
            </w:r>
          </w:p>
        </w:tc>
        <w:tc>
          <w:tcPr>
            <w:tcW w:w="1452"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29.8</w:t>
            </w:r>
          </w:p>
        </w:tc>
        <w:tc>
          <w:tcPr>
            <w:tcW w:w="1031"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17.2</w:t>
            </w:r>
          </w:p>
        </w:tc>
        <w:tc>
          <w:tcPr>
            <w:tcW w:w="1269"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53.9</w:t>
            </w:r>
          </w:p>
        </w:tc>
        <w:tc>
          <w:tcPr>
            <w:tcW w:w="901" w:type="dxa"/>
            <w:tcBorders>
              <w:top w:val="nil"/>
              <w:left w:val="nil"/>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56.6</w:t>
            </w:r>
          </w:p>
        </w:tc>
        <w:tc>
          <w:tcPr>
            <w:tcW w:w="928" w:type="dxa"/>
            <w:tcBorders>
              <w:top w:val="nil"/>
              <w:left w:val="single" w:sz="4" w:space="0" w:color="auto"/>
              <w:bottom w:val="single" w:sz="8" w:space="0" w:color="auto"/>
              <w:right w:val="nil"/>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1.73</w:t>
            </w:r>
          </w:p>
        </w:tc>
        <w:tc>
          <w:tcPr>
            <w:tcW w:w="1091" w:type="dxa"/>
            <w:tcBorders>
              <w:top w:val="nil"/>
              <w:left w:val="nil"/>
              <w:bottom w:val="single" w:sz="8" w:space="0" w:color="auto"/>
              <w:right w:val="single" w:sz="8" w:space="0" w:color="auto"/>
            </w:tcBorders>
            <w:shd w:val="clear" w:color="auto" w:fill="auto"/>
            <w:noWrap/>
            <w:vAlign w:val="bottom"/>
            <w:hideMark/>
          </w:tcPr>
          <w:p w:rsidR="005C3E95" w:rsidRPr="005C3E95" w:rsidRDefault="005C3E95" w:rsidP="005C3E95">
            <w:pPr>
              <w:spacing w:after="0" w:line="240" w:lineRule="auto"/>
              <w:jc w:val="center"/>
              <w:rPr>
                <w:rFonts w:ascii="Calibri" w:eastAsia="Times New Roman" w:hAnsi="Calibri" w:cs="Calibri"/>
                <w:color w:val="000000"/>
                <w:lang w:eastAsia="en-GB"/>
              </w:rPr>
            </w:pPr>
            <w:r w:rsidRPr="005C3E95">
              <w:rPr>
                <w:rFonts w:ascii="Calibri" w:eastAsia="Times New Roman" w:hAnsi="Calibri" w:cs="Calibri"/>
                <w:color w:val="000000"/>
                <w:lang w:eastAsia="en-GB"/>
              </w:rPr>
              <w:t>0.95</w:t>
            </w:r>
          </w:p>
        </w:tc>
      </w:tr>
      <w:tr w:rsidR="005C3E95" w:rsidRPr="005C3E95" w:rsidTr="005C3E95">
        <w:trPr>
          <w:trHeight w:val="288"/>
        </w:trPr>
        <w:tc>
          <w:tcPr>
            <w:tcW w:w="2104" w:type="dxa"/>
            <w:tcBorders>
              <w:top w:val="nil"/>
              <w:left w:val="nil"/>
              <w:bottom w:val="nil"/>
              <w:right w:val="nil"/>
            </w:tcBorders>
            <w:shd w:val="clear" w:color="auto" w:fill="auto"/>
            <w:hideMark/>
          </w:tcPr>
          <w:p w:rsidR="005C3E95" w:rsidRPr="005C3E95" w:rsidRDefault="005C3E95" w:rsidP="005C3E95">
            <w:pPr>
              <w:spacing w:after="0" w:line="240" w:lineRule="auto"/>
              <w:rPr>
                <w:rFonts w:ascii="Verdana" w:eastAsia="Times New Roman" w:hAnsi="Verdana" w:cs="Calibri"/>
                <w:sz w:val="16"/>
                <w:szCs w:val="16"/>
                <w:lang w:eastAsia="en-GB"/>
              </w:rPr>
            </w:pPr>
            <w:r w:rsidRPr="005C3E95">
              <w:rPr>
                <w:rFonts w:ascii="Verdana" w:eastAsia="Times New Roman" w:hAnsi="Verdana" w:cs="Calibri"/>
                <w:sz w:val="16"/>
                <w:szCs w:val="16"/>
                <w:lang w:eastAsia="en-GB"/>
              </w:rPr>
              <w:t>Source:</w:t>
            </w:r>
            <w:r w:rsidR="00DB4CBF">
              <w:rPr>
                <w:rFonts w:ascii="Verdana" w:eastAsia="Times New Roman" w:hAnsi="Verdana" w:cs="Calibri"/>
                <w:sz w:val="16"/>
                <w:szCs w:val="16"/>
                <w:lang w:eastAsia="en-GB"/>
              </w:rPr>
              <w:t xml:space="preserve"> </w:t>
            </w:r>
            <w:r w:rsidRPr="005C3E95">
              <w:rPr>
                <w:rFonts w:ascii="Verdana" w:eastAsia="Times New Roman" w:hAnsi="Verdana" w:cs="Calibri"/>
                <w:sz w:val="16"/>
                <w:szCs w:val="16"/>
                <w:lang w:eastAsia="en-GB"/>
              </w:rPr>
              <w:t xml:space="preserve">MICS 6 </w:t>
            </w:r>
          </w:p>
        </w:tc>
        <w:tc>
          <w:tcPr>
            <w:tcW w:w="1452"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Verdana" w:eastAsia="Times New Roman" w:hAnsi="Verdana" w:cs="Calibri"/>
                <w:sz w:val="16"/>
                <w:szCs w:val="16"/>
                <w:lang w:eastAsia="en-GB"/>
              </w:rPr>
            </w:pPr>
          </w:p>
        </w:tc>
        <w:tc>
          <w:tcPr>
            <w:tcW w:w="103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1269"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90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928"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jc w:val="center"/>
              <w:rPr>
                <w:rFonts w:ascii="Times New Roman" w:eastAsia="Times New Roman" w:hAnsi="Times New Roman" w:cs="Times New Roman"/>
                <w:sz w:val="20"/>
                <w:szCs w:val="20"/>
                <w:lang w:eastAsia="en-GB"/>
              </w:rPr>
            </w:pPr>
          </w:p>
        </w:tc>
        <w:tc>
          <w:tcPr>
            <w:tcW w:w="1091" w:type="dxa"/>
            <w:tcBorders>
              <w:top w:val="nil"/>
              <w:left w:val="nil"/>
              <w:bottom w:val="nil"/>
              <w:right w:val="nil"/>
            </w:tcBorders>
            <w:shd w:val="clear" w:color="auto" w:fill="auto"/>
            <w:noWrap/>
            <w:vAlign w:val="bottom"/>
            <w:hideMark/>
          </w:tcPr>
          <w:p w:rsidR="005C3E95" w:rsidRPr="005C3E95" w:rsidRDefault="005C3E95" w:rsidP="005C3E95">
            <w:pPr>
              <w:spacing w:after="0" w:line="240" w:lineRule="auto"/>
              <w:rPr>
                <w:rFonts w:ascii="Times New Roman" w:eastAsia="Times New Roman" w:hAnsi="Times New Roman" w:cs="Times New Roman"/>
                <w:sz w:val="20"/>
                <w:szCs w:val="20"/>
                <w:lang w:eastAsia="en-GB"/>
              </w:rPr>
            </w:pPr>
          </w:p>
        </w:tc>
      </w:tr>
    </w:tbl>
    <w:p w:rsidR="006D77F3" w:rsidRDefault="006D77F3" w:rsidP="00595BD7">
      <w:pPr>
        <w:jc w:val="both"/>
        <w:rPr>
          <w:sz w:val="28"/>
          <w:szCs w:val="28"/>
        </w:rPr>
      </w:pPr>
    </w:p>
    <w:p w:rsidR="0001674B" w:rsidRDefault="00A549E1" w:rsidP="00595BD7">
      <w:pPr>
        <w:jc w:val="both"/>
        <w:rPr>
          <w:b/>
          <w:i/>
          <w:sz w:val="28"/>
          <w:szCs w:val="28"/>
        </w:rPr>
      </w:pPr>
      <w:r>
        <w:rPr>
          <w:sz w:val="28"/>
          <w:szCs w:val="28"/>
        </w:rPr>
        <w:t>Gender inequality in secondary education in SSA is most acute in rural areas where completion rates for girls remain extremely low, both in absolute terms and in relation to completion rates for both boys and girls in urban areas (see Table 5). The median country increase in the completion rate GPI during the last 15-20 years among the 13 countries with recent MICS surveys is only 0.15 in both rural and urban areas. A range of both demand and supply factors account for these marked spatial gender inequalities, in particular, the presence of relatively few schools in rural areas, the persistence of very early (mainly mid-late adolescent) marriage, the much higher incidence of female adolescent ‘child labour’, and limited wage employment opportunities especially for young women. Tackling these gender inequality secondary schooling completion barriers will require far more concerted action than has been the case with regard to primary schooling.</w:t>
      </w:r>
    </w:p>
    <w:p w:rsidR="0001674B" w:rsidRDefault="0001674B">
      <w:pPr>
        <w:rPr>
          <w:b/>
          <w:i/>
          <w:sz w:val="28"/>
          <w:szCs w:val="28"/>
        </w:rPr>
      </w:pPr>
      <w:r>
        <w:rPr>
          <w:b/>
          <w:i/>
          <w:sz w:val="28"/>
          <w:szCs w:val="28"/>
        </w:rPr>
        <w:br w:type="page"/>
      </w:r>
    </w:p>
    <w:p w:rsidR="00931AC2" w:rsidRPr="00A22BD6" w:rsidRDefault="00A22BD6" w:rsidP="00595BD7">
      <w:pPr>
        <w:jc w:val="both"/>
        <w:rPr>
          <w:b/>
          <w:i/>
          <w:sz w:val="28"/>
          <w:szCs w:val="28"/>
        </w:rPr>
      </w:pPr>
      <w:r>
        <w:rPr>
          <w:b/>
          <w:i/>
          <w:sz w:val="28"/>
          <w:szCs w:val="28"/>
        </w:rPr>
        <w:lastRenderedPageBreak/>
        <w:t xml:space="preserve">5. </w:t>
      </w:r>
      <w:r w:rsidR="003010B5" w:rsidRPr="00A22BD6">
        <w:rPr>
          <w:b/>
          <w:i/>
          <w:sz w:val="28"/>
          <w:szCs w:val="28"/>
        </w:rPr>
        <w:t>Higher education</w:t>
      </w:r>
      <w:r w:rsidR="004C2A8A" w:rsidRPr="00A22BD6">
        <w:rPr>
          <w:b/>
          <w:i/>
          <w:sz w:val="28"/>
          <w:szCs w:val="28"/>
        </w:rPr>
        <w:t xml:space="preserve">  </w:t>
      </w:r>
    </w:p>
    <w:p w:rsidR="00553DCE" w:rsidRDefault="00553DCE" w:rsidP="00A22BD6">
      <w:pPr>
        <w:jc w:val="both"/>
        <w:rPr>
          <w:sz w:val="28"/>
          <w:szCs w:val="28"/>
        </w:rPr>
      </w:pPr>
      <w:r>
        <w:rPr>
          <w:sz w:val="28"/>
          <w:szCs w:val="28"/>
        </w:rPr>
        <w:t xml:space="preserve">The pattern of gender inequality in higher education is broadly similar to secondary education. Slightly more than half of the 25 countries for which data is available have an ever-attended GPI of less than 0.8 and only </w:t>
      </w:r>
      <w:r w:rsidR="000210D4">
        <w:rPr>
          <w:sz w:val="28"/>
          <w:szCs w:val="28"/>
        </w:rPr>
        <w:t xml:space="preserve">one country, Zambia, has </w:t>
      </w:r>
      <w:r>
        <w:rPr>
          <w:sz w:val="28"/>
          <w:szCs w:val="28"/>
        </w:rPr>
        <w:t xml:space="preserve">achieved </w:t>
      </w:r>
      <w:r w:rsidR="000210D4">
        <w:rPr>
          <w:sz w:val="28"/>
          <w:szCs w:val="28"/>
        </w:rPr>
        <w:t xml:space="preserve">full </w:t>
      </w:r>
      <w:r>
        <w:rPr>
          <w:sz w:val="28"/>
          <w:szCs w:val="28"/>
        </w:rPr>
        <w:t>gender equality</w:t>
      </w:r>
      <w:r w:rsidR="000210D4">
        <w:rPr>
          <w:sz w:val="28"/>
          <w:szCs w:val="28"/>
        </w:rPr>
        <w:t xml:space="preserve"> with regard to both females and males</w:t>
      </w:r>
      <w:r>
        <w:rPr>
          <w:sz w:val="28"/>
          <w:szCs w:val="28"/>
        </w:rPr>
        <w:t xml:space="preserve"> (see Figure 3).</w:t>
      </w:r>
      <w:r w:rsidR="000210D4">
        <w:rPr>
          <w:sz w:val="28"/>
          <w:szCs w:val="28"/>
        </w:rPr>
        <w:t xml:space="preserve"> </w:t>
      </w:r>
      <w:r>
        <w:rPr>
          <w:sz w:val="28"/>
          <w:szCs w:val="28"/>
        </w:rPr>
        <w:t xml:space="preserve"> </w:t>
      </w:r>
      <w:r w:rsidR="000210D4">
        <w:rPr>
          <w:sz w:val="28"/>
          <w:szCs w:val="28"/>
        </w:rPr>
        <w:t xml:space="preserve">Mainly Francophone countries with very low attendance GPIs in </w:t>
      </w:r>
    </w:p>
    <w:p w:rsidR="00BD351E" w:rsidRDefault="00BD351E" w:rsidP="00A22BD6">
      <w:pPr>
        <w:jc w:val="both"/>
        <w:rPr>
          <w:b/>
          <w:sz w:val="28"/>
          <w:szCs w:val="28"/>
        </w:rPr>
      </w:pPr>
      <w:r>
        <w:rPr>
          <w:noProof/>
          <w:lang w:eastAsia="en-GB"/>
        </w:rPr>
        <w:drawing>
          <wp:inline distT="0" distB="0" distL="0" distR="0" wp14:anchorId="030C72AA" wp14:editId="44D6D2E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49E1" w:rsidRDefault="00A549E1"/>
    <w:p w:rsidR="00A549E1" w:rsidRDefault="00A549E1" w:rsidP="00A549E1">
      <w:pPr>
        <w:jc w:val="both"/>
        <w:rPr>
          <w:sz w:val="28"/>
          <w:szCs w:val="28"/>
        </w:rPr>
      </w:pPr>
      <w:r>
        <w:rPr>
          <w:sz w:val="28"/>
          <w:szCs w:val="28"/>
        </w:rPr>
        <w:t xml:space="preserve">the early 2000s have generally made the greatest progress in reducing higher education gender enrolment inequality (see Table 6). Malawi and Sierra Leone have also made major strides. Elsewhere, however, GPI attendance rates have increased very little and, in some countries, most notably Guinea and Nigeria, they have fallen. As with secondary education, attendance rates among females in rural areas are negligible with still extremely high gender inequality. By contrast, gender enrolment equality in higher education has improved considerably in urban areas. In all but two of the 13 countries which have recent MICS surveys, the higher education ever attended GPI in urban areas is over 0.8.       </w:t>
      </w:r>
    </w:p>
    <w:p w:rsidR="00A549E1" w:rsidRDefault="00A549E1">
      <w:r>
        <w:br w:type="page"/>
      </w:r>
    </w:p>
    <w:tbl>
      <w:tblPr>
        <w:tblW w:w="4961" w:type="dxa"/>
        <w:tblLook w:val="04A0" w:firstRow="1" w:lastRow="0" w:firstColumn="1" w:lastColumn="0" w:noHBand="0" w:noVBand="1"/>
      </w:tblPr>
      <w:tblGrid>
        <w:gridCol w:w="1902"/>
        <w:gridCol w:w="1079"/>
        <w:gridCol w:w="1079"/>
        <w:gridCol w:w="901"/>
      </w:tblGrid>
      <w:tr w:rsidR="00721B81" w:rsidRPr="00721B81" w:rsidTr="00721B81">
        <w:trPr>
          <w:trHeight w:val="288"/>
        </w:trPr>
        <w:tc>
          <w:tcPr>
            <w:tcW w:w="4961" w:type="dxa"/>
            <w:gridSpan w:val="4"/>
            <w:tcBorders>
              <w:top w:val="nil"/>
              <w:left w:val="nil"/>
              <w:bottom w:val="nil"/>
              <w:right w:val="nil"/>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r w:rsidRPr="00721B81">
              <w:rPr>
                <w:rFonts w:ascii="Calibri" w:eastAsia="Times New Roman" w:hAnsi="Calibri" w:cs="Calibri"/>
                <w:color w:val="000000"/>
                <w:lang w:eastAsia="en-GB"/>
              </w:rPr>
              <w:lastRenderedPageBreak/>
              <w:t>Table 6: Change in high</w:t>
            </w:r>
            <w:r w:rsidR="008244E2">
              <w:rPr>
                <w:rFonts w:ascii="Calibri" w:eastAsia="Times New Roman" w:hAnsi="Calibri" w:cs="Calibri"/>
                <w:color w:val="000000"/>
                <w:lang w:eastAsia="en-GB"/>
              </w:rPr>
              <w:t>er education ever attended</w:t>
            </w:r>
          </w:p>
        </w:tc>
      </w:tr>
      <w:tr w:rsidR="00721B81" w:rsidRPr="00721B81" w:rsidTr="00721B81">
        <w:trPr>
          <w:trHeight w:val="300"/>
        </w:trPr>
        <w:tc>
          <w:tcPr>
            <w:tcW w:w="4060" w:type="dxa"/>
            <w:gridSpan w:val="3"/>
            <w:tcBorders>
              <w:top w:val="nil"/>
              <w:left w:val="nil"/>
              <w:bottom w:val="nil"/>
              <w:right w:val="nil"/>
            </w:tcBorders>
            <w:shd w:val="clear" w:color="auto" w:fill="auto"/>
            <w:noWrap/>
            <w:vAlign w:val="bottom"/>
            <w:hideMark/>
          </w:tcPr>
          <w:p w:rsidR="00721B81" w:rsidRPr="00721B81" w:rsidRDefault="008244E2" w:rsidP="00721B8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GPIs </w:t>
            </w:r>
            <w:r w:rsidR="00721B81" w:rsidRPr="00721B81">
              <w:rPr>
                <w:rFonts w:ascii="Calibri" w:eastAsia="Times New Roman" w:hAnsi="Calibri" w:cs="Calibri"/>
                <w:color w:val="000000"/>
                <w:lang w:eastAsia="en-GB"/>
              </w:rPr>
              <w:t>bet</w:t>
            </w:r>
            <w:r>
              <w:rPr>
                <w:rFonts w:ascii="Calibri" w:eastAsia="Times New Roman" w:hAnsi="Calibri" w:cs="Calibri"/>
                <w:color w:val="000000"/>
                <w:lang w:eastAsia="en-GB"/>
              </w:rPr>
              <w:t xml:space="preserve">ween 2000 and 2018 in countries </w:t>
            </w:r>
            <w:r w:rsidR="00721B81" w:rsidRPr="00721B81">
              <w:rPr>
                <w:rFonts w:ascii="Calibri" w:eastAsia="Times New Roman" w:hAnsi="Calibri" w:cs="Calibri"/>
                <w:color w:val="000000"/>
                <w:lang w:eastAsia="en-GB"/>
              </w:rPr>
              <w:t>in SSA</w:t>
            </w:r>
            <w:r>
              <w:rPr>
                <w:rFonts w:ascii="Calibri" w:eastAsia="Times New Roman" w:hAnsi="Calibri" w:cs="Calibri"/>
                <w:color w:val="000000"/>
                <w:lang w:eastAsia="en-GB"/>
              </w:rPr>
              <w:t>.</w:t>
            </w:r>
          </w:p>
        </w:tc>
        <w:tc>
          <w:tcPr>
            <w:tcW w:w="901"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p>
        </w:tc>
      </w:tr>
      <w:tr w:rsidR="00721B81" w:rsidRPr="00721B81" w:rsidTr="00721B81">
        <w:trPr>
          <w:trHeight w:val="288"/>
        </w:trPr>
        <w:tc>
          <w:tcPr>
            <w:tcW w:w="1902" w:type="dxa"/>
            <w:tcBorders>
              <w:top w:val="single" w:sz="8" w:space="0" w:color="auto"/>
              <w:left w:val="single" w:sz="8" w:space="0" w:color="auto"/>
              <w:bottom w:val="single" w:sz="4" w:space="0" w:color="auto"/>
              <w:right w:val="nil"/>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r w:rsidRPr="00721B81">
              <w:rPr>
                <w:rFonts w:ascii="Calibri" w:eastAsia="Times New Roman" w:hAnsi="Calibri" w:cs="Calibri"/>
                <w:color w:val="000000"/>
                <w:lang w:eastAsia="en-GB"/>
              </w:rPr>
              <w:t>Country</w:t>
            </w:r>
          </w:p>
        </w:tc>
        <w:tc>
          <w:tcPr>
            <w:tcW w:w="1079" w:type="dxa"/>
            <w:tcBorders>
              <w:top w:val="single" w:sz="8" w:space="0" w:color="auto"/>
              <w:left w:val="nil"/>
              <w:bottom w:val="single" w:sz="4" w:space="0" w:color="auto"/>
              <w:right w:val="nil"/>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r w:rsidRPr="00721B81">
              <w:rPr>
                <w:rFonts w:ascii="Calibri" w:eastAsia="Times New Roman" w:hAnsi="Calibri" w:cs="Calibri"/>
                <w:color w:val="000000"/>
                <w:lang w:eastAsia="en-GB"/>
              </w:rPr>
              <w:t>GPI 2000</w:t>
            </w:r>
          </w:p>
        </w:tc>
        <w:tc>
          <w:tcPr>
            <w:tcW w:w="1079" w:type="dxa"/>
            <w:tcBorders>
              <w:top w:val="single" w:sz="8" w:space="0" w:color="auto"/>
              <w:left w:val="nil"/>
              <w:bottom w:val="single" w:sz="4" w:space="0" w:color="auto"/>
              <w:right w:val="nil"/>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r w:rsidRPr="00721B81">
              <w:rPr>
                <w:rFonts w:ascii="Calibri" w:eastAsia="Times New Roman" w:hAnsi="Calibri" w:cs="Calibri"/>
                <w:color w:val="000000"/>
                <w:lang w:eastAsia="en-GB"/>
              </w:rPr>
              <w:t>GPI 2018</w:t>
            </w:r>
          </w:p>
        </w:tc>
        <w:tc>
          <w:tcPr>
            <w:tcW w:w="90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721B81" w:rsidRPr="00721B81" w:rsidRDefault="00721B81" w:rsidP="00721B81">
            <w:pPr>
              <w:spacing w:after="0" w:line="240" w:lineRule="auto"/>
              <w:rPr>
                <w:rFonts w:ascii="Calibri" w:eastAsia="Times New Roman" w:hAnsi="Calibri" w:cs="Calibri"/>
                <w:color w:val="000000"/>
                <w:lang w:eastAsia="en-GB"/>
              </w:rPr>
            </w:pPr>
            <w:r w:rsidRPr="00721B81">
              <w:rPr>
                <w:rFonts w:ascii="Calibri" w:eastAsia="Times New Roman" w:hAnsi="Calibri" w:cs="Calibri"/>
                <w:color w:val="000000"/>
                <w:lang w:eastAsia="en-GB"/>
              </w:rPr>
              <w:t>Change</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Guinea Bissau</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0.11</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0.86</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0.75</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Malawi</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0.20</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0.91</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0.71</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Sierra Leone</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0.22</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0.71</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0.50</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Central African Republic</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0.20</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0.68</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0.48</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Mali</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0.22</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0.50</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0.28</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Côte d'Ivoire</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0.58</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0.86</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0.27</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Chad</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0.17</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0.44</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0.27</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Cameroon</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0.68</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0.94</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0.26</w:t>
            </w:r>
          </w:p>
        </w:tc>
      </w:tr>
      <w:tr w:rsidR="00721B81" w:rsidRPr="00721B81" w:rsidTr="00721B81">
        <w:trPr>
          <w:trHeight w:val="288"/>
        </w:trPr>
        <w:tc>
          <w:tcPr>
            <w:tcW w:w="1902" w:type="dxa"/>
            <w:tcBorders>
              <w:top w:val="single" w:sz="4" w:space="0" w:color="auto"/>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Gambia</w:t>
            </w:r>
          </w:p>
        </w:tc>
        <w:tc>
          <w:tcPr>
            <w:tcW w:w="1079" w:type="dxa"/>
            <w:tcBorders>
              <w:top w:val="single" w:sz="4" w:space="0" w:color="auto"/>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0.59</w:t>
            </w:r>
          </w:p>
        </w:tc>
        <w:tc>
          <w:tcPr>
            <w:tcW w:w="1079" w:type="dxa"/>
            <w:tcBorders>
              <w:top w:val="single" w:sz="4" w:space="0" w:color="auto"/>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0.81</w:t>
            </w:r>
          </w:p>
        </w:tc>
        <w:tc>
          <w:tcPr>
            <w:tcW w:w="901" w:type="dxa"/>
            <w:tcBorders>
              <w:top w:val="single" w:sz="4" w:space="0" w:color="auto"/>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0.22</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Zimbabwe</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0.89</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1.04</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0.15</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Togo</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0.33</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0.47</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0.14</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Benin</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0.26</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0.39</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0.14</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DRC</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0.71</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0.78</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0.07</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Rwanda</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0.50</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0.52</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0.02</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Lesotho</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1.36</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1.38</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0.02</w:t>
            </w:r>
          </w:p>
        </w:tc>
      </w:tr>
      <w:tr w:rsidR="00721B81" w:rsidRPr="00721B81" w:rsidTr="00721B81">
        <w:trPr>
          <w:trHeight w:val="288"/>
        </w:trPr>
        <w:tc>
          <w:tcPr>
            <w:tcW w:w="1902" w:type="dxa"/>
            <w:tcBorders>
              <w:top w:val="nil"/>
              <w:left w:val="single" w:sz="8" w:space="0" w:color="auto"/>
              <w:bottom w:val="single" w:sz="4" w:space="0" w:color="auto"/>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Ghana</w:t>
            </w:r>
          </w:p>
        </w:tc>
        <w:tc>
          <w:tcPr>
            <w:tcW w:w="1079" w:type="dxa"/>
            <w:tcBorders>
              <w:top w:val="nil"/>
              <w:left w:val="nil"/>
              <w:bottom w:val="single" w:sz="4" w:space="0" w:color="auto"/>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0.85</w:t>
            </w:r>
          </w:p>
        </w:tc>
        <w:tc>
          <w:tcPr>
            <w:tcW w:w="1079" w:type="dxa"/>
            <w:tcBorders>
              <w:top w:val="nil"/>
              <w:left w:val="nil"/>
              <w:bottom w:val="single" w:sz="4" w:space="0" w:color="auto"/>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0.85</w:t>
            </w:r>
          </w:p>
        </w:tc>
        <w:tc>
          <w:tcPr>
            <w:tcW w:w="901" w:type="dxa"/>
            <w:tcBorders>
              <w:top w:val="nil"/>
              <w:left w:val="single" w:sz="4" w:space="0" w:color="auto"/>
              <w:bottom w:val="single" w:sz="4" w:space="0" w:color="auto"/>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0.00</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Uganda</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0.84</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0.81</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-0.03</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Guinea</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0.88</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0.69</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-0.19</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Zambia</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1.28</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1.00</w:t>
            </w:r>
          </w:p>
        </w:tc>
        <w:tc>
          <w:tcPr>
            <w:tcW w:w="901" w:type="dxa"/>
            <w:tcBorders>
              <w:top w:val="nil"/>
              <w:left w:val="single" w:sz="4" w:space="0" w:color="auto"/>
              <w:bottom w:val="nil"/>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-0.28</w:t>
            </w:r>
          </w:p>
        </w:tc>
      </w:tr>
      <w:tr w:rsidR="00721B81" w:rsidRPr="00721B81" w:rsidTr="00721B81">
        <w:trPr>
          <w:trHeight w:val="300"/>
        </w:trPr>
        <w:tc>
          <w:tcPr>
            <w:tcW w:w="1902" w:type="dxa"/>
            <w:tcBorders>
              <w:top w:val="nil"/>
              <w:left w:val="single" w:sz="8" w:space="0" w:color="auto"/>
              <w:bottom w:val="single" w:sz="8" w:space="0" w:color="auto"/>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Nigeria</w:t>
            </w:r>
          </w:p>
        </w:tc>
        <w:tc>
          <w:tcPr>
            <w:tcW w:w="1079" w:type="dxa"/>
            <w:tcBorders>
              <w:top w:val="nil"/>
              <w:left w:val="nil"/>
              <w:bottom w:val="single" w:sz="8" w:space="0" w:color="auto"/>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1.05</w:t>
            </w:r>
          </w:p>
        </w:tc>
        <w:tc>
          <w:tcPr>
            <w:tcW w:w="1079" w:type="dxa"/>
            <w:tcBorders>
              <w:top w:val="nil"/>
              <w:left w:val="nil"/>
              <w:bottom w:val="single" w:sz="8" w:space="0" w:color="auto"/>
              <w:right w:val="nil"/>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0.65</w:t>
            </w:r>
          </w:p>
        </w:tc>
        <w:tc>
          <w:tcPr>
            <w:tcW w:w="901" w:type="dxa"/>
            <w:tcBorders>
              <w:top w:val="nil"/>
              <w:left w:val="single" w:sz="4" w:space="0" w:color="auto"/>
              <w:bottom w:val="single" w:sz="8" w:space="0" w:color="auto"/>
              <w:right w:val="single" w:sz="8" w:space="0" w:color="auto"/>
            </w:tcBorders>
            <w:shd w:val="clear" w:color="auto" w:fill="auto"/>
            <w:noWrap/>
            <w:vAlign w:val="bottom"/>
            <w:hideMark/>
          </w:tcPr>
          <w:p w:rsidR="00721B81" w:rsidRPr="00721B81" w:rsidRDefault="00721B81" w:rsidP="00721B81">
            <w:pPr>
              <w:spacing w:after="0" w:line="240" w:lineRule="auto"/>
              <w:jc w:val="center"/>
              <w:rPr>
                <w:rFonts w:ascii="Calibri" w:eastAsia="Times New Roman" w:hAnsi="Calibri" w:cs="Calibri"/>
                <w:color w:val="000000"/>
                <w:lang w:eastAsia="en-GB"/>
              </w:rPr>
            </w:pPr>
            <w:r w:rsidRPr="00721B81">
              <w:rPr>
                <w:rFonts w:ascii="Calibri" w:eastAsia="Times New Roman" w:hAnsi="Calibri" w:cs="Calibri"/>
                <w:color w:val="000000"/>
                <w:lang w:eastAsia="en-GB"/>
              </w:rPr>
              <w:t>-0.40</w:t>
            </w:r>
          </w:p>
        </w:tc>
      </w:tr>
      <w:tr w:rsidR="00721B81" w:rsidRPr="00721B81" w:rsidTr="00721B81">
        <w:trPr>
          <w:trHeight w:val="288"/>
        </w:trPr>
        <w:tc>
          <w:tcPr>
            <w:tcW w:w="1902" w:type="dxa"/>
            <w:tcBorders>
              <w:top w:val="nil"/>
              <w:left w:val="single" w:sz="8" w:space="0" w:color="auto"/>
              <w:bottom w:val="nil"/>
              <w:right w:val="nil"/>
            </w:tcBorders>
            <w:shd w:val="clear" w:color="auto" w:fill="auto"/>
            <w:hideMark/>
          </w:tcPr>
          <w:p w:rsidR="00721B81" w:rsidRPr="00721B81" w:rsidRDefault="00721B81" w:rsidP="00721B81">
            <w:pPr>
              <w:spacing w:after="0" w:line="240" w:lineRule="auto"/>
              <w:rPr>
                <w:rFonts w:ascii="Verdana" w:eastAsia="Times New Roman" w:hAnsi="Verdana" w:cs="Calibri"/>
                <w:sz w:val="16"/>
                <w:szCs w:val="16"/>
                <w:lang w:eastAsia="en-GB"/>
              </w:rPr>
            </w:pPr>
            <w:r w:rsidRPr="00721B81">
              <w:rPr>
                <w:rFonts w:ascii="Verdana" w:eastAsia="Times New Roman" w:hAnsi="Verdana" w:cs="Calibri"/>
                <w:sz w:val="16"/>
                <w:szCs w:val="16"/>
                <w:lang w:eastAsia="en-GB"/>
              </w:rPr>
              <w:t>Source: DHS and MICS</w:t>
            </w: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rPr>
                <w:rFonts w:ascii="Verdana" w:eastAsia="Times New Roman" w:hAnsi="Verdana" w:cs="Calibri"/>
                <w:sz w:val="16"/>
                <w:szCs w:val="16"/>
                <w:lang w:eastAsia="en-GB"/>
              </w:rPr>
            </w:pPr>
          </w:p>
        </w:tc>
        <w:tc>
          <w:tcPr>
            <w:tcW w:w="1079"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rPr>
                <w:rFonts w:ascii="Times New Roman" w:eastAsia="Times New Roman" w:hAnsi="Times New Roman" w:cs="Times New Roman"/>
                <w:sz w:val="20"/>
                <w:szCs w:val="20"/>
                <w:lang w:eastAsia="en-GB"/>
              </w:rPr>
            </w:pPr>
          </w:p>
        </w:tc>
        <w:tc>
          <w:tcPr>
            <w:tcW w:w="901" w:type="dxa"/>
            <w:tcBorders>
              <w:top w:val="nil"/>
              <w:left w:val="nil"/>
              <w:bottom w:val="nil"/>
              <w:right w:val="nil"/>
            </w:tcBorders>
            <w:shd w:val="clear" w:color="auto" w:fill="auto"/>
            <w:noWrap/>
            <w:vAlign w:val="bottom"/>
            <w:hideMark/>
          </w:tcPr>
          <w:p w:rsidR="00721B81" w:rsidRPr="00721B81" w:rsidRDefault="00721B81" w:rsidP="00721B81">
            <w:pPr>
              <w:spacing w:after="0" w:line="240" w:lineRule="auto"/>
              <w:rPr>
                <w:rFonts w:ascii="Times New Roman" w:eastAsia="Times New Roman" w:hAnsi="Times New Roman" w:cs="Times New Roman"/>
                <w:sz w:val="20"/>
                <w:szCs w:val="20"/>
                <w:lang w:eastAsia="en-GB"/>
              </w:rPr>
            </w:pPr>
          </w:p>
        </w:tc>
      </w:tr>
    </w:tbl>
    <w:p w:rsidR="00721B81" w:rsidRDefault="00721B81" w:rsidP="00A22BD6">
      <w:pPr>
        <w:jc w:val="both"/>
        <w:rPr>
          <w:b/>
          <w:sz w:val="28"/>
          <w:szCs w:val="28"/>
        </w:rPr>
      </w:pPr>
    </w:p>
    <w:p w:rsidR="00A549E1" w:rsidRDefault="00A549E1" w:rsidP="00A549E1">
      <w:pPr>
        <w:jc w:val="both"/>
        <w:rPr>
          <w:sz w:val="28"/>
          <w:szCs w:val="28"/>
        </w:rPr>
      </w:pPr>
      <w:r>
        <w:rPr>
          <w:sz w:val="28"/>
          <w:szCs w:val="28"/>
        </w:rPr>
        <w:t xml:space="preserve">the early 2000s have generally made the greatest progress in reducing higher education gender enrolment inequality (see Table 6). Malawi and Sierra Leone have also made major strides. Elsewhere, however, GPI attendance rates have increased very little and, in some countries, most notably Guinea and Nigeria, they have fallen. As with secondary education, attendance rates among females in rural areas are negligible with still extremely high gender inequality. By contrast, gender enrolment equality in higher education has improved considerably in urban areas. In all but two of the 13 countries which have recent MICS surveys, the higher education ever attended GPI in urban areas is over 0.8.       </w:t>
      </w:r>
    </w:p>
    <w:p w:rsidR="00A549E1" w:rsidRDefault="00A549E1">
      <w:pPr>
        <w:rPr>
          <w:b/>
          <w:sz w:val="28"/>
          <w:szCs w:val="28"/>
        </w:rPr>
      </w:pPr>
      <w:r>
        <w:rPr>
          <w:b/>
          <w:sz w:val="28"/>
          <w:szCs w:val="28"/>
        </w:rPr>
        <w:br w:type="page"/>
      </w:r>
    </w:p>
    <w:p w:rsidR="00A22BD6" w:rsidRPr="00A22BD6" w:rsidRDefault="00A22BD6" w:rsidP="00A22BD6">
      <w:pPr>
        <w:jc w:val="both"/>
        <w:rPr>
          <w:b/>
          <w:sz w:val="28"/>
          <w:szCs w:val="28"/>
        </w:rPr>
      </w:pPr>
      <w:r>
        <w:rPr>
          <w:b/>
          <w:sz w:val="28"/>
          <w:szCs w:val="28"/>
        </w:rPr>
        <w:lastRenderedPageBreak/>
        <w:t xml:space="preserve">6. </w:t>
      </w:r>
      <w:r w:rsidR="00C872E2">
        <w:rPr>
          <w:b/>
          <w:sz w:val="28"/>
          <w:szCs w:val="28"/>
        </w:rPr>
        <w:t>Conclusion</w:t>
      </w:r>
    </w:p>
    <w:p w:rsidR="005E613C" w:rsidRDefault="00C82329" w:rsidP="006A630B">
      <w:pPr>
        <w:jc w:val="both"/>
        <w:rPr>
          <w:sz w:val="28"/>
          <w:szCs w:val="28"/>
        </w:rPr>
      </w:pPr>
      <w:r>
        <w:rPr>
          <w:sz w:val="28"/>
          <w:szCs w:val="28"/>
        </w:rPr>
        <w:t xml:space="preserve">Four main conclusions can be drawn from this </w:t>
      </w:r>
      <w:r w:rsidR="00431DA0">
        <w:rPr>
          <w:sz w:val="28"/>
          <w:szCs w:val="28"/>
        </w:rPr>
        <w:t>analysis of the most recent data on female and male education attainment inequality in SSA</w:t>
      </w:r>
      <w:r>
        <w:rPr>
          <w:sz w:val="28"/>
          <w:szCs w:val="28"/>
        </w:rPr>
        <w:t xml:space="preserve">. </w:t>
      </w:r>
    </w:p>
    <w:p w:rsidR="005E613C" w:rsidRDefault="00C82329" w:rsidP="006A630B">
      <w:pPr>
        <w:jc w:val="both"/>
        <w:rPr>
          <w:sz w:val="28"/>
          <w:szCs w:val="28"/>
        </w:rPr>
      </w:pPr>
      <w:r>
        <w:rPr>
          <w:sz w:val="28"/>
          <w:szCs w:val="28"/>
        </w:rPr>
        <w:t>Firstly, very significant progress has been made in eliminating completion rate female inequality in primary schooling</w:t>
      </w:r>
      <w:r w:rsidR="00E449FE">
        <w:rPr>
          <w:sz w:val="28"/>
          <w:szCs w:val="28"/>
        </w:rPr>
        <w:t xml:space="preserve"> in SSA</w:t>
      </w:r>
      <w:r>
        <w:rPr>
          <w:sz w:val="28"/>
          <w:szCs w:val="28"/>
        </w:rPr>
        <w:t xml:space="preserve">. </w:t>
      </w:r>
      <w:r w:rsidR="005E613C">
        <w:rPr>
          <w:sz w:val="28"/>
          <w:szCs w:val="28"/>
        </w:rPr>
        <w:t>However, a</w:t>
      </w:r>
      <w:r>
        <w:rPr>
          <w:sz w:val="28"/>
          <w:szCs w:val="28"/>
        </w:rPr>
        <w:t xml:space="preserve"> growing concern is the increase in male completion rate inequality in a </w:t>
      </w:r>
      <w:r w:rsidR="00A549E1">
        <w:rPr>
          <w:sz w:val="28"/>
          <w:szCs w:val="28"/>
        </w:rPr>
        <w:t xml:space="preserve">significant </w:t>
      </w:r>
      <w:r w:rsidR="00E449FE">
        <w:rPr>
          <w:sz w:val="28"/>
          <w:szCs w:val="28"/>
        </w:rPr>
        <w:t xml:space="preserve">number of </w:t>
      </w:r>
      <w:r>
        <w:rPr>
          <w:sz w:val="28"/>
          <w:szCs w:val="28"/>
        </w:rPr>
        <w:t>countries</w:t>
      </w:r>
      <w:r w:rsidR="005E613C">
        <w:rPr>
          <w:sz w:val="28"/>
          <w:szCs w:val="28"/>
        </w:rPr>
        <w:t>.</w:t>
      </w:r>
      <w:r>
        <w:rPr>
          <w:sz w:val="28"/>
          <w:szCs w:val="28"/>
        </w:rPr>
        <w:t xml:space="preserve"> </w:t>
      </w:r>
    </w:p>
    <w:p w:rsidR="005E613C" w:rsidRDefault="00C82329" w:rsidP="006A630B">
      <w:pPr>
        <w:jc w:val="both"/>
        <w:rPr>
          <w:sz w:val="28"/>
          <w:szCs w:val="28"/>
        </w:rPr>
      </w:pPr>
      <w:r>
        <w:rPr>
          <w:sz w:val="28"/>
          <w:szCs w:val="28"/>
        </w:rPr>
        <w:t xml:space="preserve">Secondly, progress in reducing high levels of gender completion/enrolment rate inequality secondary schooling and higher education </w:t>
      </w:r>
      <w:r w:rsidR="00E449FE">
        <w:rPr>
          <w:sz w:val="28"/>
          <w:szCs w:val="28"/>
        </w:rPr>
        <w:t xml:space="preserve">in SSA </w:t>
      </w:r>
      <w:r>
        <w:rPr>
          <w:sz w:val="28"/>
          <w:szCs w:val="28"/>
        </w:rPr>
        <w:t xml:space="preserve">has been generally limited which will require, therefore, far more concerted action in order to redress effectively over the next 10-20 years. </w:t>
      </w:r>
    </w:p>
    <w:p w:rsidR="00590B09" w:rsidRDefault="00C82329" w:rsidP="006A630B">
      <w:pPr>
        <w:jc w:val="both"/>
        <w:rPr>
          <w:sz w:val="28"/>
          <w:szCs w:val="28"/>
        </w:rPr>
      </w:pPr>
      <w:r>
        <w:rPr>
          <w:sz w:val="28"/>
          <w:szCs w:val="28"/>
        </w:rPr>
        <w:t xml:space="preserve">Thirdly, </w:t>
      </w:r>
      <w:r w:rsidR="005E613C">
        <w:rPr>
          <w:sz w:val="28"/>
          <w:szCs w:val="28"/>
        </w:rPr>
        <w:t xml:space="preserve">the conceptual framework for analysing gender education inequality in SSA needs to be </w:t>
      </w:r>
      <w:r>
        <w:rPr>
          <w:sz w:val="28"/>
          <w:szCs w:val="28"/>
        </w:rPr>
        <w:t>broader</w:t>
      </w:r>
      <w:r w:rsidR="005E613C">
        <w:rPr>
          <w:sz w:val="28"/>
          <w:szCs w:val="28"/>
        </w:rPr>
        <w:t xml:space="preserve"> </w:t>
      </w:r>
      <w:r w:rsidR="005E613C" w:rsidRPr="005E613C">
        <w:rPr>
          <w:sz w:val="28"/>
          <w:szCs w:val="28"/>
        </w:rPr>
        <w:t xml:space="preserve">and </w:t>
      </w:r>
      <w:r w:rsidR="00C872E2" w:rsidRPr="005E613C">
        <w:rPr>
          <w:sz w:val="28"/>
          <w:szCs w:val="28"/>
        </w:rPr>
        <w:t>more holistic</w:t>
      </w:r>
      <w:r w:rsidR="005E613C" w:rsidRPr="005E613C">
        <w:rPr>
          <w:sz w:val="28"/>
          <w:szCs w:val="28"/>
        </w:rPr>
        <w:t>.</w:t>
      </w:r>
      <w:r w:rsidR="005E613C">
        <w:rPr>
          <w:i/>
          <w:sz w:val="28"/>
          <w:szCs w:val="28"/>
        </w:rPr>
        <w:t xml:space="preserve"> </w:t>
      </w:r>
      <w:r w:rsidR="005E613C" w:rsidRPr="005E613C">
        <w:rPr>
          <w:sz w:val="28"/>
          <w:szCs w:val="28"/>
        </w:rPr>
        <w:t>Most research to date</w:t>
      </w:r>
      <w:r w:rsidR="005E613C">
        <w:rPr>
          <w:sz w:val="28"/>
          <w:szCs w:val="28"/>
        </w:rPr>
        <w:t xml:space="preserve"> has been </w:t>
      </w:r>
      <w:r w:rsidR="006A630B" w:rsidRPr="005E613C">
        <w:rPr>
          <w:sz w:val="28"/>
          <w:szCs w:val="28"/>
        </w:rPr>
        <w:t>too narrowly focused on education policies and practices</w:t>
      </w:r>
      <w:r w:rsidR="006A630B">
        <w:rPr>
          <w:sz w:val="28"/>
          <w:szCs w:val="28"/>
        </w:rPr>
        <w:t xml:space="preserve"> and, in particular, specific </w:t>
      </w:r>
      <w:r w:rsidR="00470BAE">
        <w:rPr>
          <w:sz w:val="28"/>
          <w:szCs w:val="28"/>
        </w:rPr>
        <w:t>gender-related interventions. However, there are a wide range of broader social, economic and factors which are also likely to have a major influence in determining the extent of female</w:t>
      </w:r>
      <w:r w:rsidR="00E449FE">
        <w:rPr>
          <w:sz w:val="28"/>
          <w:szCs w:val="28"/>
        </w:rPr>
        <w:t xml:space="preserve"> and male</w:t>
      </w:r>
      <w:r w:rsidR="00470BAE">
        <w:rPr>
          <w:sz w:val="28"/>
          <w:szCs w:val="28"/>
        </w:rPr>
        <w:t xml:space="preserve"> participation and performance throughout the education system. Three obvious areas are the degree of urbanisation, labour force participation and other employment conditions for women, the overall level of empowerment of women in society. </w:t>
      </w:r>
    </w:p>
    <w:p w:rsidR="006A630B" w:rsidRDefault="00C872E2" w:rsidP="006A630B">
      <w:pPr>
        <w:jc w:val="both"/>
        <w:rPr>
          <w:sz w:val="28"/>
          <w:szCs w:val="28"/>
        </w:rPr>
      </w:pPr>
      <w:r>
        <w:rPr>
          <w:sz w:val="28"/>
          <w:szCs w:val="28"/>
        </w:rPr>
        <w:t xml:space="preserve">Urbanisation: </w:t>
      </w:r>
      <w:r w:rsidR="00A549E1">
        <w:rPr>
          <w:sz w:val="28"/>
          <w:szCs w:val="28"/>
        </w:rPr>
        <w:t xml:space="preserve">The </w:t>
      </w:r>
      <w:r w:rsidR="00470BAE">
        <w:rPr>
          <w:sz w:val="28"/>
          <w:szCs w:val="28"/>
        </w:rPr>
        <w:t>l</w:t>
      </w:r>
      <w:r w:rsidR="006A630B">
        <w:rPr>
          <w:sz w:val="28"/>
          <w:szCs w:val="28"/>
        </w:rPr>
        <w:t xml:space="preserve">evel of urbanisation </w:t>
      </w:r>
      <w:r w:rsidR="00470BAE">
        <w:rPr>
          <w:sz w:val="28"/>
          <w:szCs w:val="28"/>
        </w:rPr>
        <w:t xml:space="preserve">has </w:t>
      </w:r>
      <w:r w:rsidR="006A630B">
        <w:rPr>
          <w:sz w:val="28"/>
          <w:szCs w:val="28"/>
        </w:rPr>
        <w:t xml:space="preserve">increased </w:t>
      </w:r>
      <w:r w:rsidR="00A549E1">
        <w:rPr>
          <w:sz w:val="28"/>
          <w:szCs w:val="28"/>
        </w:rPr>
        <w:t>appreciably</w:t>
      </w:r>
      <w:r w:rsidR="00470BAE">
        <w:rPr>
          <w:sz w:val="28"/>
          <w:szCs w:val="28"/>
        </w:rPr>
        <w:t xml:space="preserve"> in the large majority of countries. For SSA as a whole, the share of the total population living in u</w:t>
      </w:r>
      <w:r w:rsidR="00E449FE">
        <w:rPr>
          <w:sz w:val="28"/>
          <w:szCs w:val="28"/>
        </w:rPr>
        <w:t>rban areas has increased from 27</w:t>
      </w:r>
      <w:r w:rsidR="00470BAE">
        <w:rPr>
          <w:sz w:val="28"/>
          <w:szCs w:val="28"/>
        </w:rPr>
        <w:t xml:space="preserve">% </w:t>
      </w:r>
      <w:r w:rsidR="006A630B">
        <w:rPr>
          <w:sz w:val="28"/>
          <w:szCs w:val="28"/>
        </w:rPr>
        <w:t xml:space="preserve">in </w:t>
      </w:r>
      <w:r w:rsidR="00E449FE">
        <w:rPr>
          <w:sz w:val="28"/>
          <w:szCs w:val="28"/>
        </w:rPr>
        <w:t>1990</w:t>
      </w:r>
      <w:r w:rsidR="006A630B">
        <w:rPr>
          <w:sz w:val="28"/>
          <w:szCs w:val="28"/>
        </w:rPr>
        <w:t xml:space="preserve"> to </w:t>
      </w:r>
      <w:r w:rsidR="00E449FE">
        <w:rPr>
          <w:sz w:val="28"/>
          <w:szCs w:val="28"/>
        </w:rPr>
        <w:t>40</w:t>
      </w:r>
      <w:r w:rsidR="00470BAE">
        <w:rPr>
          <w:sz w:val="28"/>
          <w:szCs w:val="28"/>
        </w:rPr>
        <w:t>%</w:t>
      </w:r>
      <w:r w:rsidR="006A630B">
        <w:rPr>
          <w:sz w:val="28"/>
          <w:szCs w:val="28"/>
        </w:rPr>
        <w:t xml:space="preserve"> in the late 2010s. </w:t>
      </w:r>
      <w:r w:rsidR="00470BAE">
        <w:rPr>
          <w:sz w:val="28"/>
          <w:szCs w:val="28"/>
        </w:rPr>
        <w:t xml:space="preserve">Urbanisation is profoundly changing the social and economic position of women </w:t>
      </w:r>
      <w:r w:rsidR="00590B09">
        <w:rPr>
          <w:sz w:val="28"/>
          <w:szCs w:val="28"/>
        </w:rPr>
        <w:t>which is a major reason why gender equality in education</w:t>
      </w:r>
      <w:r w:rsidR="00F14BA4">
        <w:rPr>
          <w:sz w:val="28"/>
          <w:szCs w:val="28"/>
        </w:rPr>
        <w:t xml:space="preserve"> is so much less in urban areas</w:t>
      </w:r>
      <w:r w:rsidR="006A630B">
        <w:rPr>
          <w:sz w:val="28"/>
          <w:szCs w:val="28"/>
        </w:rPr>
        <w:t xml:space="preserve">. </w:t>
      </w:r>
    </w:p>
    <w:p w:rsidR="00C872E2" w:rsidRDefault="006A630B" w:rsidP="006A630B">
      <w:pPr>
        <w:jc w:val="both"/>
        <w:rPr>
          <w:sz w:val="28"/>
          <w:szCs w:val="28"/>
        </w:rPr>
      </w:pPr>
      <w:r>
        <w:rPr>
          <w:sz w:val="28"/>
          <w:szCs w:val="28"/>
        </w:rPr>
        <w:t>Labour market</w:t>
      </w:r>
      <w:r w:rsidR="00590B09">
        <w:rPr>
          <w:sz w:val="28"/>
          <w:szCs w:val="28"/>
        </w:rPr>
        <w:t xml:space="preserve"> conditions</w:t>
      </w:r>
      <w:r>
        <w:rPr>
          <w:sz w:val="28"/>
          <w:szCs w:val="28"/>
        </w:rPr>
        <w:t xml:space="preserve">. </w:t>
      </w:r>
      <w:r w:rsidR="00590B09">
        <w:rPr>
          <w:sz w:val="28"/>
          <w:szCs w:val="28"/>
        </w:rPr>
        <w:t xml:space="preserve">Virtually no analysis has been undertaken on the impact </w:t>
      </w:r>
      <w:r w:rsidR="00A549E1">
        <w:rPr>
          <w:sz w:val="28"/>
          <w:szCs w:val="28"/>
        </w:rPr>
        <w:t xml:space="preserve">that </w:t>
      </w:r>
      <w:r w:rsidR="00590B09">
        <w:rPr>
          <w:sz w:val="28"/>
          <w:szCs w:val="28"/>
        </w:rPr>
        <w:t xml:space="preserve">changes in the overall economy and employment conditions are impacting on the labour force participation of women </w:t>
      </w:r>
      <w:r w:rsidR="00123090">
        <w:rPr>
          <w:sz w:val="28"/>
          <w:szCs w:val="28"/>
        </w:rPr>
        <w:t xml:space="preserve">in SSA </w:t>
      </w:r>
      <w:r w:rsidR="00590B09">
        <w:rPr>
          <w:sz w:val="28"/>
          <w:szCs w:val="28"/>
        </w:rPr>
        <w:t xml:space="preserve">and the knock-on effects this </w:t>
      </w:r>
      <w:r w:rsidR="00A549E1">
        <w:rPr>
          <w:sz w:val="28"/>
          <w:szCs w:val="28"/>
        </w:rPr>
        <w:t xml:space="preserve">may have </w:t>
      </w:r>
      <w:r w:rsidR="00590B09">
        <w:rPr>
          <w:sz w:val="28"/>
          <w:szCs w:val="28"/>
        </w:rPr>
        <w:t>on female enrolment in schools and higher education institutions</w:t>
      </w:r>
      <w:r>
        <w:rPr>
          <w:sz w:val="28"/>
          <w:szCs w:val="28"/>
        </w:rPr>
        <w:t>.</w:t>
      </w:r>
      <w:r w:rsidR="00590B09">
        <w:rPr>
          <w:sz w:val="28"/>
          <w:szCs w:val="28"/>
        </w:rPr>
        <w:t xml:space="preserve"> </w:t>
      </w:r>
      <w:r w:rsidR="00123090">
        <w:rPr>
          <w:sz w:val="28"/>
          <w:szCs w:val="28"/>
        </w:rPr>
        <w:t xml:space="preserve">Moreover, more educated </w:t>
      </w:r>
      <w:r w:rsidR="00A549E1">
        <w:rPr>
          <w:sz w:val="28"/>
          <w:szCs w:val="28"/>
        </w:rPr>
        <w:t xml:space="preserve">women </w:t>
      </w:r>
      <w:r w:rsidR="00123090">
        <w:rPr>
          <w:sz w:val="28"/>
          <w:szCs w:val="28"/>
        </w:rPr>
        <w:t xml:space="preserve">are themselves more likely to seek out productive employment outside of the household.  </w:t>
      </w:r>
      <w:r w:rsidR="00F14BA4">
        <w:rPr>
          <w:sz w:val="28"/>
          <w:szCs w:val="28"/>
        </w:rPr>
        <w:t>ILO estimates</w:t>
      </w:r>
      <w:r w:rsidR="00F14BA4">
        <w:rPr>
          <w:rStyle w:val="FootnoteReference"/>
          <w:sz w:val="28"/>
          <w:szCs w:val="28"/>
        </w:rPr>
        <w:footnoteReference w:id="6"/>
      </w:r>
      <w:r w:rsidR="00F14BA4">
        <w:rPr>
          <w:sz w:val="28"/>
          <w:szCs w:val="28"/>
        </w:rPr>
        <w:t xml:space="preserve">  indicate that </w:t>
      </w:r>
      <w:r w:rsidR="00123090">
        <w:rPr>
          <w:sz w:val="28"/>
          <w:szCs w:val="28"/>
        </w:rPr>
        <w:t>f</w:t>
      </w:r>
      <w:r w:rsidR="00590B09">
        <w:rPr>
          <w:sz w:val="28"/>
          <w:szCs w:val="28"/>
        </w:rPr>
        <w:t xml:space="preserve">emale labour force participation </w:t>
      </w:r>
      <w:r w:rsidR="00F14BA4">
        <w:rPr>
          <w:sz w:val="28"/>
          <w:szCs w:val="28"/>
        </w:rPr>
        <w:t xml:space="preserve">rates have, in fact, declined in the </w:t>
      </w:r>
      <w:r w:rsidR="00F14BA4">
        <w:rPr>
          <w:sz w:val="28"/>
          <w:szCs w:val="28"/>
        </w:rPr>
        <w:lastRenderedPageBreak/>
        <w:t xml:space="preserve">majority of countries </w:t>
      </w:r>
      <w:r w:rsidR="00590B09">
        <w:rPr>
          <w:sz w:val="28"/>
          <w:szCs w:val="28"/>
        </w:rPr>
        <w:t xml:space="preserve">in SSA </w:t>
      </w:r>
      <w:r w:rsidR="00C82329">
        <w:rPr>
          <w:sz w:val="28"/>
          <w:szCs w:val="28"/>
        </w:rPr>
        <w:t xml:space="preserve">during the last two decades </w:t>
      </w:r>
      <w:r w:rsidR="00590B09">
        <w:rPr>
          <w:sz w:val="28"/>
          <w:szCs w:val="28"/>
        </w:rPr>
        <w:t>as has the share of women in wage employment in the formal and informal sectors.</w:t>
      </w:r>
      <w:r w:rsidR="00123090">
        <w:rPr>
          <w:sz w:val="28"/>
          <w:szCs w:val="28"/>
        </w:rPr>
        <w:t xml:space="preserve"> </w:t>
      </w:r>
      <w:r w:rsidR="00C82329">
        <w:rPr>
          <w:sz w:val="28"/>
          <w:szCs w:val="28"/>
        </w:rPr>
        <w:t>However, it also the case that m</w:t>
      </w:r>
      <w:r w:rsidR="00123090">
        <w:rPr>
          <w:sz w:val="28"/>
          <w:szCs w:val="28"/>
        </w:rPr>
        <w:t xml:space="preserve">ost African </w:t>
      </w:r>
      <w:r w:rsidR="00590B09">
        <w:rPr>
          <w:sz w:val="28"/>
          <w:szCs w:val="28"/>
        </w:rPr>
        <w:t xml:space="preserve">economies are also becoming more services-oriented with key growth sectors including health, education, hospitality and tourism, </w:t>
      </w:r>
      <w:r w:rsidR="00A549E1">
        <w:rPr>
          <w:sz w:val="28"/>
          <w:szCs w:val="28"/>
        </w:rPr>
        <w:t xml:space="preserve">and </w:t>
      </w:r>
      <w:r w:rsidR="00590B09">
        <w:rPr>
          <w:sz w:val="28"/>
          <w:szCs w:val="28"/>
        </w:rPr>
        <w:t>finance</w:t>
      </w:r>
      <w:r w:rsidR="00C872E2">
        <w:rPr>
          <w:sz w:val="28"/>
          <w:szCs w:val="28"/>
        </w:rPr>
        <w:t xml:space="preserve">, which tend to employ relatively high proportions of educated women. Only a detailed analysis of the gender occupational profile of all key economic sectors </w:t>
      </w:r>
      <w:r w:rsidR="00123090">
        <w:rPr>
          <w:sz w:val="28"/>
          <w:szCs w:val="28"/>
        </w:rPr>
        <w:t>can establish how changes in employment conditions for women are likely to be affecting gender equality in education. Unfortunately, the necessary data to do this is unavailable in virtually all countries in SSA.</w:t>
      </w:r>
    </w:p>
    <w:p w:rsidR="006A630B" w:rsidRDefault="00C872E2" w:rsidP="006A630B">
      <w:pPr>
        <w:jc w:val="both"/>
        <w:rPr>
          <w:sz w:val="28"/>
          <w:szCs w:val="28"/>
        </w:rPr>
      </w:pPr>
      <w:r>
        <w:rPr>
          <w:sz w:val="28"/>
          <w:szCs w:val="28"/>
        </w:rPr>
        <w:t xml:space="preserve">Women empowerment: Prevailing levels of gender inequality in education can only be properly analysed in the overall context of </w:t>
      </w:r>
      <w:r w:rsidR="009144EF">
        <w:rPr>
          <w:sz w:val="28"/>
          <w:szCs w:val="28"/>
        </w:rPr>
        <w:t xml:space="preserve">the </w:t>
      </w:r>
      <w:r>
        <w:rPr>
          <w:sz w:val="28"/>
          <w:szCs w:val="28"/>
        </w:rPr>
        <w:t xml:space="preserve">changing position of women in society as a whole. This includes government gender policy and the impact of the social mobilisation activities of civil society organisations.   </w:t>
      </w:r>
      <w:r w:rsidR="00590B09">
        <w:rPr>
          <w:sz w:val="28"/>
          <w:szCs w:val="28"/>
        </w:rPr>
        <w:t xml:space="preserve"> </w:t>
      </w:r>
      <w:r w:rsidR="006A630B">
        <w:rPr>
          <w:sz w:val="28"/>
          <w:szCs w:val="28"/>
        </w:rPr>
        <w:t xml:space="preserve">  </w:t>
      </w:r>
    </w:p>
    <w:p w:rsidR="00A22BD6" w:rsidRDefault="005E613C" w:rsidP="00A22BD6">
      <w:pPr>
        <w:jc w:val="both"/>
        <w:rPr>
          <w:sz w:val="28"/>
          <w:szCs w:val="28"/>
        </w:rPr>
      </w:pPr>
      <w:r w:rsidRPr="005E613C">
        <w:rPr>
          <w:sz w:val="28"/>
          <w:szCs w:val="28"/>
        </w:rPr>
        <w:t>And fourthly,</w:t>
      </w:r>
      <w:r>
        <w:rPr>
          <w:i/>
          <w:sz w:val="28"/>
          <w:szCs w:val="28"/>
        </w:rPr>
        <w:t xml:space="preserve"> c</w:t>
      </w:r>
      <w:r w:rsidR="00FA7B8D">
        <w:rPr>
          <w:sz w:val="28"/>
          <w:szCs w:val="28"/>
        </w:rPr>
        <w:t>losely linked to the adoption of a broader theoretical framework, is the need to assess progress in redressing gender inequality at the country level. As noted earlier, almost all research to date has been on assessing the efficacy of usually quite small scale interventions which</w:t>
      </w:r>
      <w:r w:rsidR="009144EF">
        <w:rPr>
          <w:sz w:val="28"/>
          <w:szCs w:val="28"/>
        </w:rPr>
        <w:t xml:space="preserve"> while </w:t>
      </w:r>
      <w:r w:rsidR="00FA7B8D">
        <w:rPr>
          <w:sz w:val="28"/>
          <w:szCs w:val="28"/>
        </w:rPr>
        <w:t>valuable</w:t>
      </w:r>
      <w:r w:rsidR="009144EF">
        <w:rPr>
          <w:sz w:val="28"/>
          <w:szCs w:val="28"/>
        </w:rPr>
        <w:t xml:space="preserve">, </w:t>
      </w:r>
      <w:r w:rsidR="00FA7B8D">
        <w:rPr>
          <w:sz w:val="28"/>
          <w:szCs w:val="28"/>
        </w:rPr>
        <w:t xml:space="preserve"> offers </w:t>
      </w:r>
      <w:r w:rsidR="009144EF">
        <w:rPr>
          <w:sz w:val="28"/>
          <w:szCs w:val="28"/>
        </w:rPr>
        <w:t xml:space="preserve">relatively few </w:t>
      </w:r>
      <w:r w:rsidR="00FA7B8D">
        <w:rPr>
          <w:sz w:val="28"/>
          <w:szCs w:val="28"/>
        </w:rPr>
        <w:t>insights into why some countries have done so much better than others in reducing gender inequality in education.</w:t>
      </w:r>
      <w:r w:rsidR="005F2A44">
        <w:rPr>
          <w:sz w:val="28"/>
          <w:szCs w:val="28"/>
        </w:rPr>
        <w:t xml:space="preserve"> This requires a series of comprehensive, multi-disciplinary case studies across a relatively large number of countries in SSA which, collectively, can enable key lessons to be drawn from national experiences on the most effective strategies and practices that need to be adopted to achieve both female and male gender equality in education by 2030.</w:t>
      </w:r>
      <w:r w:rsidR="00FA7B8D">
        <w:rPr>
          <w:sz w:val="28"/>
          <w:szCs w:val="28"/>
        </w:rPr>
        <w:t xml:space="preserve"> </w:t>
      </w:r>
    </w:p>
    <w:p w:rsidR="00553DCE" w:rsidRDefault="00553DCE">
      <w:pPr>
        <w:rPr>
          <w:sz w:val="28"/>
          <w:szCs w:val="28"/>
        </w:rPr>
      </w:pPr>
      <w:r>
        <w:rPr>
          <w:sz w:val="28"/>
          <w:szCs w:val="28"/>
        </w:rPr>
        <w:br w:type="page"/>
      </w:r>
    </w:p>
    <w:p w:rsidR="002447BD" w:rsidRDefault="002447BD" w:rsidP="005E613C">
      <w:pPr>
        <w:jc w:val="center"/>
        <w:rPr>
          <w:sz w:val="28"/>
          <w:szCs w:val="28"/>
        </w:rPr>
      </w:pPr>
      <w:r>
        <w:rPr>
          <w:sz w:val="28"/>
          <w:szCs w:val="28"/>
        </w:rPr>
        <w:lastRenderedPageBreak/>
        <w:t>References</w:t>
      </w:r>
    </w:p>
    <w:p w:rsidR="002447BD" w:rsidRDefault="00F1794A" w:rsidP="002447BD">
      <w:pPr>
        <w:jc w:val="both"/>
        <w:rPr>
          <w:sz w:val="28"/>
          <w:szCs w:val="28"/>
        </w:rPr>
      </w:pPr>
      <w:r>
        <w:rPr>
          <w:sz w:val="28"/>
          <w:szCs w:val="28"/>
        </w:rPr>
        <w:t>Children’s Investment Fund Foundation and other</w:t>
      </w:r>
      <w:r w:rsidR="005E613C">
        <w:rPr>
          <w:sz w:val="28"/>
          <w:szCs w:val="28"/>
        </w:rPr>
        <w:t>s. 2018. Missed opportunitie</w:t>
      </w:r>
      <w:r>
        <w:rPr>
          <w:sz w:val="28"/>
          <w:szCs w:val="28"/>
        </w:rPr>
        <w:t>s: The cost of not educating girls. CIFF, 2018.</w:t>
      </w:r>
    </w:p>
    <w:p w:rsidR="002447BD" w:rsidRDefault="002447BD" w:rsidP="002447BD">
      <w:pPr>
        <w:jc w:val="both"/>
        <w:rPr>
          <w:sz w:val="28"/>
          <w:szCs w:val="28"/>
        </w:rPr>
      </w:pPr>
      <w:r>
        <w:rPr>
          <w:sz w:val="28"/>
          <w:szCs w:val="28"/>
        </w:rPr>
        <w:t>Evans, D., F,</w:t>
      </w:r>
      <w:r w:rsidR="00E8438D">
        <w:rPr>
          <w:sz w:val="28"/>
          <w:szCs w:val="28"/>
        </w:rPr>
        <w:t xml:space="preserve"> Yan. 2019</w:t>
      </w:r>
      <w:r>
        <w:rPr>
          <w:sz w:val="28"/>
          <w:szCs w:val="28"/>
        </w:rPr>
        <w:t xml:space="preserve">. What we learn about girls’ education from interventions that don’t target girls. </w:t>
      </w:r>
      <w:r w:rsidR="00E8438D">
        <w:rPr>
          <w:sz w:val="28"/>
          <w:szCs w:val="28"/>
        </w:rPr>
        <w:t xml:space="preserve">World Bank Policy Research Paper. No. 8944. </w:t>
      </w:r>
      <w:r>
        <w:rPr>
          <w:sz w:val="28"/>
          <w:szCs w:val="28"/>
        </w:rPr>
        <w:t>Washington, DC: World Bank.</w:t>
      </w:r>
    </w:p>
    <w:p w:rsidR="002447BD" w:rsidRDefault="00F1794A" w:rsidP="002447BD">
      <w:pPr>
        <w:jc w:val="both"/>
        <w:rPr>
          <w:sz w:val="28"/>
          <w:szCs w:val="28"/>
        </w:rPr>
      </w:pPr>
      <w:r>
        <w:rPr>
          <w:sz w:val="28"/>
          <w:szCs w:val="28"/>
        </w:rPr>
        <w:t>Global Partnership for Education. 2019. Educating girls: The path to gender equality. Washington DC: GPE.</w:t>
      </w:r>
    </w:p>
    <w:p w:rsidR="00E8438D" w:rsidRDefault="00E8438D" w:rsidP="002447BD">
      <w:pPr>
        <w:jc w:val="both"/>
        <w:rPr>
          <w:sz w:val="28"/>
          <w:szCs w:val="28"/>
        </w:rPr>
      </w:pPr>
      <w:r>
        <w:rPr>
          <w:sz w:val="28"/>
          <w:szCs w:val="28"/>
        </w:rPr>
        <w:t>Sperling, Winthrop. 2015. What works in girls’ education</w:t>
      </w:r>
      <w:r w:rsidR="009205BF">
        <w:rPr>
          <w:sz w:val="28"/>
          <w:szCs w:val="28"/>
        </w:rPr>
        <w:t xml:space="preserve">: Evidence from the world’s best investment. </w:t>
      </w:r>
      <w:r>
        <w:rPr>
          <w:sz w:val="28"/>
          <w:szCs w:val="28"/>
        </w:rPr>
        <w:t xml:space="preserve"> Washington DC: Brooking</w:t>
      </w:r>
      <w:r w:rsidR="009205BF">
        <w:rPr>
          <w:sz w:val="28"/>
          <w:szCs w:val="28"/>
        </w:rPr>
        <w:t xml:space="preserve"> Institution Press.</w:t>
      </w:r>
      <w:r>
        <w:rPr>
          <w:sz w:val="28"/>
          <w:szCs w:val="28"/>
        </w:rPr>
        <w:t>.</w:t>
      </w:r>
    </w:p>
    <w:p w:rsidR="00E8438D" w:rsidRDefault="00E8438D" w:rsidP="002447BD">
      <w:pPr>
        <w:jc w:val="both"/>
        <w:rPr>
          <w:sz w:val="28"/>
          <w:szCs w:val="28"/>
        </w:rPr>
      </w:pPr>
      <w:r>
        <w:rPr>
          <w:sz w:val="28"/>
          <w:szCs w:val="28"/>
        </w:rPr>
        <w:t>UNESCO. 2020. Global gender education monitoring report. Paris: UNESCO.</w:t>
      </w:r>
    </w:p>
    <w:p w:rsidR="009205BF" w:rsidRPr="00BC0AAA" w:rsidRDefault="009205BF" w:rsidP="002447BD">
      <w:pPr>
        <w:jc w:val="both"/>
        <w:rPr>
          <w:sz w:val="28"/>
          <w:szCs w:val="28"/>
        </w:rPr>
      </w:pPr>
      <w:r>
        <w:rPr>
          <w:sz w:val="28"/>
          <w:szCs w:val="28"/>
        </w:rPr>
        <w:t>Unterhalter, E., and 7 other</w:t>
      </w:r>
      <w:r w:rsidR="00721B81">
        <w:rPr>
          <w:sz w:val="28"/>
          <w:szCs w:val="28"/>
        </w:rPr>
        <w:t>s</w:t>
      </w:r>
      <w:r>
        <w:rPr>
          <w:sz w:val="28"/>
          <w:szCs w:val="28"/>
        </w:rPr>
        <w:t xml:space="preserve">. </w:t>
      </w:r>
      <w:r w:rsidR="00721B81">
        <w:rPr>
          <w:sz w:val="28"/>
          <w:szCs w:val="28"/>
        </w:rPr>
        <w:t xml:space="preserve">2014. </w:t>
      </w:r>
      <w:r>
        <w:rPr>
          <w:sz w:val="28"/>
          <w:szCs w:val="28"/>
        </w:rPr>
        <w:t>Interventions to enhance girls’ education and gender equality. Education rigorous literature review. London: DFID.</w:t>
      </w:r>
    </w:p>
    <w:sectPr w:rsidR="009205BF" w:rsidRPr="00BC0AA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59" w:rsidRDefault="00020959" w:rsidP="00375B84">
      <w:pPr>
        <w:spacing w:after="0" w:line="240" w:lineRule="auto"/>
      </w:pPr>
      <w:r>
        <w:separator/>
      </w:r>
    </w:p>
  </w:endnote>
  <w:endnote w:type="continuationSeparator" w:id="0">
    <w:p w:rsidR="00020959" w:rsidRDefault="00020959" w:rsidP="0037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B1" w:rsidRDefault="0039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33357"/>
      <w:docPartObj>
        <w:docPartGallery w:val="Page Numbers (Bottom of Page)"/>
        <w:docPartUnique/>
      </w:docPartObj>
    </w:sdtPr>
    <w:sdtEndPr>
      <w:rPr>
        <w:noProof/>
      </w:rPr>
    </w:sdtEndPr>
    <w:sdtContent>
      <w:p w:rsidR="00394FB1" w:rsidRDefault="00394FB1">
        <w:pPr>
          <w:pStyle w:val="Footer"/>
          <w:jc w:val="center"/>
        </w:pPr>
        <w:r>
          <w:fldChar w:fldCharType="begin"/>
        </w:r>
        <w:r>
          <w:instrText xml:space="preserve"> PAGE   \* MERGEFORMAT </w:instrText>
        </w:r>
        <w:r>
          <w:fldChar w:fldCharType="separate"/>
        </w:r>
        <w:r w:rsidR="006D77F3">
          <w:rPr>
            <w:noProof/>
          </w:rPr>
          <w:t>1</w:t>
        </w:r>
        <w:r>
          <w:rPr>
            <w:noProof/>
          </w:rPr>
          <w:fldChar w:fldCharType="end"/>
        </w:r>
      </w:p>
    </w:sdtContent>
  </w:sdt>
  <w:p w:rsidR="00394FB1" w:rsidRDefault="0039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B1" w:rsidRDefault="0039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59" w:rsidRDefault="00020959" w:rsidP="00375B84">
      <w:pPr>
        <w:spacing w:after="0" w:line="240" w:lineRule="auto"/>
      </w:pPr>
      <w:r>
        <w:separator/>
      </w:r>
    </w:p>
  </w:footnote>
  <w:footnote w:type="continuationSeparator" w:id="0">
    <w:p w:rsidR="00020959" w:rsidRDefault="00020959" w:rsidP="00375B84">
      <w:pPr>
        <w:spacing w:after="0" w:line="240" w:lineRule="auto"/>
      </w:pPr>
      <w:r>
        <w:continuationSeparator/>
      </w:r>
    </w:p>
  </w:footnote>
  <w:footnote w:id="1">
    <w:p w:rsidR="000463C6" w:rsidRPr="000463C6" w:rsidRDefault="000463C6" w:rsidP="000463C6">
      <w:pPr>
        <w:jc w:val="both"/>
      </w:pPr>
      <w:r>
        <w:rPr>
          <w:rStyle w:val="FootnoteReference"/>
        </w:rPr>
        <w:footnoteRef/>
      </w:r>
      <w:r>
        <w:t xml:space="preserve"> </w:t>
      </w:r>
      <w:r w:rsidRPr="000463C6">
        <w:t xml:space="preserve">A separate research note will look at gender differences in learning and examination outcomes. </w:t>
      </w:r>
    </w:p>
    <w:p w:rsidR="000463C6" w:rsidRDefault="000463C6">
      <w:pPr>
        <w:pStyle w:val="FootnoteText"/>
      </w:pPr>
    </w:p>
  </w:footnote>
  <w:footnote w:id="2">
    <w:p w:rsidR="00394FB1" w:rsidRPr="00394FB1" w:rsidRDefault="00394FB1" w:rsidP="00394FB1">
      <w:pPr>
        <w:pStyle w:val="FootnoteText"/>
        <w:jc w:val="both"/>
        <w:rPr>
          <w:sz w:val="22"/>
          <w:szCs w:val="22"/>
        </w:rPr>
      </w:pPr>
      <w:r>
        <w:rPr>
          <w:rStyle w:val="FootnoteReference"/>
        </w:rPr>
        <w:footnoteRef/>
      </w:r>
      <w:r>
        <w:t xml:space="preserve"> </w:t>
      </w:r>
      <w:r w:rsidRPr="00394FB1">
        <w:rPr>
          <w:sz w:val="22"/>
          <w:szCs w:val="22"/>
        </w:rPr>
        <w:t>This is particularly useful indicator where GPIs are generally close to 1 as is the case with primary schooling. It is much less useful where completion rates are generally low as is the case with secondary schooling and higher education.</w:t>
      </w:r>
    </w:p>
  </w:footnote>
  <w:footnote w:id="3">
    <w:p w:rsidR="00394FB1" w:rsidRPr="00394FB1" w:rsidRDefault="00394FB1" w:rsidP="00394FB1">
      <w:pPr>
        <w:pStyle w:val="FootnoteText"/>
        <w:jc w:val="both"/>
        <w:rPr>
          <w:sz w:val="22"/>
          <w:szCs w:val="22"/>
        </w:rPr>
      </w:pPr>
      <w:r>
        <w:rPr>
          <w:rStyle w:val="FootnoteReference"/>
        </w:rPr>
        <w:footnoteRef/>
      </w:r>
      <w:r>
        <w:t xml:space="preserve"> </w:t>
      </w:r>
      <w:r w:rsidRPr="00394FB1">
        <w:rPr>
          <w:sz w:val="22"/>
          <w:szCs w:val="22"/>
        </w:rPr>
        <w:t>Have used UIS completion rate estimates because the coverage of DHS and MICS household surveys in and around 2000 is quite patchy whereas UIS estimates are generally available.</w:t>
      </w:r>
    </w:p>
  </w:footnote>
  <w:footnote w:id="4">
    <w:p w:rsidR="00394FB1" w:rsidRPr="0001674B" w:rsidRDefault="00394FB1">
      <w:pPr>
        <w:pStyle w:val="FootnoteText"/>
        <w:rPr>
          <w:sz w:val="22"/>
          <w:szCs w:val="22"/>
        </w:rPr>
      </w:pPr>
      <w:r>
        <w:rPr>
          <w:rStyle w:val="FootnoteReference"/>
        </w:rPr>
        <w:footnoteRef/>
      </w:r>
      <w:r>
        <w:t xml:space="preserve"> </w:t>
      </w:r>
      <w:r w:rsidRPr="0001674B">
        <w:rPr>
          <w:sz w:val="22"/>
          <w:szCs w:val="22"/>
        </w:rPr>
        <w:t>DHS survey data indicates that sizeable switches also occurred in Ethiopia (0.73 to 1.07), Liberia (0.88 to 1.12) and Tanzania (0.93 to 1.18) (see annex table 1)</w:t>
      </w:r>
    </w:p>
  </w:footnote>
  <w:footnote w:id="5">
    <w:p w:rsidR="00394FB1" w:rsidRPr="0001674B" w:rsidRDefault="00394FB1">
      <w:pPr>
        <w:pStyle w:val="FootnoteText"/>
        <w:rPr>
          <w:sz w:val="22"/>
          <w:szCs w:val="22"/>
        </w:rPr>
      </w:pPr>
      <w:r w:rsidRPr="0001674B">
        <w:rPr>
          <w:rStyle w:val="FootnoteReference"/>
          <w:sz w:val="22"/>
          <w:szCs w:val="22"/>
        </w:rPr>
        <w:footnoteRef/>
      </w:r>
      <w:r w:rsidRPr="0001674B">
        <w:rPr>
          <w:sz w:val="22"/>
          <w:szCs w:val="22"/>
        </w:rPr>
        <w:t xml:space="preserve"> The full secondary cycle typically comprises the 3-5 year lower education cycle and 2-3 year senior education cycle. UIS survey data for lower secondary education is unavailable for the majority of countries in SSA so reliance has been played on completion of the senior secondary cycle where the availability of country data is much greater. </w:t>
      </w:r>
    </w:p>
  </w:footnote>
  <w:footnote w:id="6">
    <w:p w:rsidR="00394FB1" w:rsidRPr="00A549E1" w:rsidRDefault="00394FB1" w:rsidP="00A549E1">
      <w:pPr>
        <w:pStyle w:val="FootnoteText"/>
        <w:jc w:val="both"/>
        <w:rPr>
          <w:sz w:val="22"/>
          <w:szCs w:val="22"/>
        </w:rPr>
      </w:pPr>
      <w:r>
        <w:rPr>
          <w:rStyle w:val="FootnoteReference"/>
        </w:rPr>
        <w:footnoteRef/>
      </w:r>
      <w:r>
        <w:t xml:space="preserve"> </w:t>
      </w:r>
      <w:r w:rsidRPr="00A549E1">
        <w:rPr>
          <w:sz w:val="22"/>
          <w:szCs w:val="22"/>
        </w:rPr>
        <w:t>Data on actual labour force participation rates based on national labour force and other household surveys is extremely patchy in most of SSA. The annual simulated estimates derived by the ILO are likely, therefore, to be subject to very wide margins of error.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B1" w:rsidRDefault="00394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B1" w:rsidRDefault="00394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B1" w:rsidRDefault="00394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37F3"/>
    <w:multiLevelType w:val="hybridMultilevel"/>
    <w:tmpl w:val="E2E61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AA"/>
    <w:rsid w:val="0001674B"/>
    <w:rsid w:val="00020959"/>
    <w:rsid w:val="000210D4"/>
    <w:rsid w:val="000463C6"/>
    <w:rsid w:val="00081597"/>
    <w:rsid w:val="00084C57"/>
    <w:rsid w:val="000B26C4"/>
    <w:rsid w:val="000C7C05"/>
    <w:rsid w:val="000D5C95"/>
    <w:rsid w:val="00116462"/>
    <w:rsid w:val="00123090"/>
    <w:rsid w:val="00157E52"/>
    <w:rsid w:val="002067B1"/>
    <w:rsid w:val="002447BD"/>
    <w:rsid w:val="0026605A"/>
    <w:rsid w:val="00283A01"/>
    <w:rsid w:val="002C76B7"/>
    <w:rsid w:val="002E28CB"/>
    <w:rsid w:val="002E5A73"/>
    <w:rsid w:val="003010B5"/>
    <w:rsid w:val="003169D5"/>
    <w:rsid w:val="00323DA4"/>
    <w:rsid w:val="00375B84"/>
    <w:rsid w:val="00394FB1"/>
    <w:rsid w:val="003C4B35"/>
    <w:rsid w:val="003C76E5"/>
    <w:rsid w:val="003E71AA"/>
    <w:rsid w:val="00404C8A"/>
    <w:rsid w:val="00407D09"/>
    <w:rsid w:val="00431DA0"/>
    <w:rsid w:val="00470BAE"/>
    <w:rsid w:val="004C2A8A"/>
    <w:rsid w:val="00553DCE"/>
    <w:rsid w:val="00590B09"/>
    <w:rsid w:val="00595BD7"/>
    <w:rsid w:val="005C3E95"/>
    <w:rsid w:val="005E613C"/>
    <w:rsid w:val="005F2A44"/>
    <w:rsid w:val="005F5999"/>
    <w:rsid w:val="006354E1"/>
    <w:rsid w:val="006A630B"/>
    <w:rsid w:val="006D77F3"/>
    <w:rsid w:val="006E327A"/>
    <w:rsid w:val="006F0DD4"/>
    <w:rsid w:val="00721AA3"/>
    <w:rsid w:val="00721B81"/>
    <w:rsid w:val="007452EC"/>
    <w:rsid w:val="0076199D"/>
    <w:rsid w:val="00783193"/>
    <w:rsid w:val="007A57F2"/>
    <w:rsid w:val="007A7EA0"/>
    <w:rsid w:val="007E3F42"/>
    <w:rsid w:val="008120BE"/>
    <w:rsid w:val="008244E2"/>
    <w:rsid w:val="008674CC"/>
    <w:rsid w:val="008872BF"/>
    <w:rsid w:val="009144EF"/>
    <w:rsid w:val="009205BF"/>
    <w:rsid w:val="00931AC2"/>
    <w:rsid w:val="00974AFA"/>
    <w:rsid w:val="009E52A9"/>
    <w:rsid w:val="00A22BD6"/>
    <w:rsid w:val="00A30E12"/>
    <w:rsid w:val="00A549E1"/>
    <w:rsid w:val="00AB282A"/>
    <w:rsid w:val="00AD47DC"/>
    <w:rsid w:val="00AE2D1A"/>
    <w:rsid w:val="00B2245A"/>
    <w:rsid w:val="00B4597F"/>
    <w:rsid w:val="00B7463E"/>
    <w:rsid w:val="00BC0AAA"/>
    <w:rsid w:val="00BD351E"/>
    <w:rsid w:val="00BE2B0C"/>
    <w:rsid w:val="00BE34AD"/>
    <w:rsid w:val="00C3448C"/>
    <w:rsid w:val="00C37A84"/>
    <w:rsid w:val="00C66692"/>
    <w:rsid w:val="00C82329"/>
    <w:rsid w:val="00C8345C"/>
    <w:rsid w:val="00C872E2"/>
    <w:rsid w:val="00CC7729"/>
    <w:rsid w:val="00D42A64"/>
    <w:rsid w:val="00DB4CBF"/>
    <w:rsid w:val="00DC0D5C"/>
    <w:rsid w:val="00E051D6"/>
    <w:rsid w:val="00E42C84"/>
    <w:rsid w:val="00E449FE"/>
    <w:rsid w:val="00E46831"/>
    <w:rsid w:val="00E622FF"/>
    <w:rsid w:val="00E8438D"/>
    <w:rsid w:val="00F06647"/>
    <w:rsid w:val="00F14BA4"/>
    <w:rsid w:val="00F1794A"/>
    <w:rsid w:val="00F47898"/>
    <w:rsid w:val="00FA3CD4"/>
    <w:rsid w:val="00FA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EDBCF-16F4-4E7E-B971-8EB17448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BD"/>
    <w:pPr>
      <w:ind w:left="720"/>
      <w:contextualSpacing/>
    </w:pPr>
  </w:style>
  <w:style w:type="paragraph" w:styleId="FootnoteText">
    <w:name w:val="footnote text"/>
    <w:basedOn w:val="Normal"/>
    <w:link w:val="FootnoteTextChar"/>
    <w:uiPriority w:val="99"/>
    <w:semiHidden/>
    <w:unhideWhenUsed/>
    <w:rsid w:val="00375B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B84"/>
    <w:rPr>
      <w:sz w:val="20"/>
      <w:szCs w:val="20"/>
    </w:rPr>
  </w:style>
  <w:style w:type="character" w:styleId="FootnoteReference">
    <w:name w:val="footnote reference"/>
    <w:basedOn w:val="DefaultParagraphFont"/>
    <w:uiPriority w:val="99"/>
    <w:semiHidden/>
    <w:unhideWhenUsed/>
    <w:rsid w:val="00375B84"/>
    <w:rPr>
      <w:vertAlign w:val="superscript"/>
    </w:rPr>
  </w:style>
  <w:style w:type="paragraph" w:styleId="Header">
    <w:name w:val="header"/>
    <w:basedOn w:val="Normal"/>
    <w:link w:val="HeaderChar"/>
    <w:uiPriority w:val="99"/>
    <w:unhideWhenUsed/>
    <w:rsid w:val="002E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8CB"/>
  </w:style>
  <w:style w:type="paragraph" w:styleId="Footer">
    <w:name w:val="footer"/>
    <w:basedOn w:val="Normal"/>
    <w:link w:val="FooterChar"/>
    <w:uiPriority w:val="99"/>
    <w:unhideWhenUsed/>
    <w:rsid w:val="002E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8CB"/>
  </w:style>
  <w:style w:type="paragraph" w:styleId="BalloonText">
    <w:name w:val="Balloon Text"/>
    <w:basedOn w:val="Normal"/>
    <w:link w:val="BalloonTextChar"/>
    <w:uiPriority w:val="99"/>
    <w:semiHidden/>
    <w:unhideWhenUsed/>
    <w:rsid w:val="003C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713">
      <w:bodyDiv w:val="1"/>
      <w:marLeft w:val="0"/>
      <w:marRight w:val="0"/>
      <w:marTop w:val="0"/>
      <w:marBottom w:val="0"/>
      <w:divBdr>
        <w:top w:val="none" w:sz="0" w:space="0" w:color="auto"/>
        <w:left w:val="none" w:sz="0" w:space="0" w:color="auto"/>
        <w:bottom w:val="none" w:sz="0" w:space="0" w:color="auto"/>
        <w:right w:val="none" w:sz="0" w:space="0" w:color="auto"/>
      </w:divBdr>
    </w:div>
    <w:div w:id="432557519">
      <w:bodyDiv w:val="1"/>
      <w:marLeft w:val="0"/>
      <w:marRight w:val="0"/>
      <w:marTop w:val="0"/>
      <w:marBottom w:val="0"/>
      <w:divBdr>
        <w:top w:val="none" w:sz="0" w:space="0" w:color="auto"/>
        <w:left w:val="none" w:sz="0" w:space="0" w:color="auto"/>
        <w:bottom w:val="none" w:sz="0" w:space="0" w:color="auto"/>
        <w:right w:val="none" w:sz="0" w:space="0" w:color="auto"/>
      </w:divBdr>
    </w:div>
    <w:div w:id="461385939">
      <w:bodyDiv w:val="1"/>
      <w:marLeft w:val="0"/>
      <w:marRight w:val="0"/>
      <w:marTop w:val="0"/>
      <w:marBottom w:val="0"/>
      <w:divBdr>
        <w:top w:val="none" w:sz="0" w:space="0" w:color="auto"/>
        <w:left w:val="none" w:sz="0" w:space="0" w:color="auto"/>
        <w:bottom w:val="none" w:sz="0" w:space="0" w:color="auto"/>
        <w:right w:val="none" w:sz="0" w:space="0" w:color="auto"/>
      </w:divBdr>
    </w:div>
    <w:div w:id="479690138">
      <w:bodyDiv w:val="1"/>
      <w:marLeft w:val="0"/>
      <w:marRight w:val="0"/>
      <w:marTop w:val="0"/>
      <w:marBottom w:val="0"/>
      <w:divBdr>
        <w:top w:val="none" w:sz="0" w:space="0" w:color="auto"/>
        <w:left w:val="none" w:sz="0" w:space="0" w:color="auto"/>
        <w:bottom w:val="none" w:sz="0" w:space="0" w:color="auto"/>
        <w:right w:val="none" w:sz="0" w:space="0" w:color="auto"/>
      </w:divBdr>
    </w:div>
    <w:div w:id="853109270">
      <w:bodyDiv w:val="1"/>
      <w:marLeft w:val="0"/>
      <w:marRight w:val="0"/>
      <w:marTop w:val="0"/>
      <w:marBottom w:val="0"/>
      <w:divBdr>
        <w:top w:val="none" w:sz="0" w:space="0" w:color="auto"/>
        <w:left w:val="none" w:sz="0" w:space="0" w:color="auto"/>
        <w:bottom w:val="none" w:sz="0" w:space="0" w:color="auto"/>
        <w:right w:val="none" w:sz="0" w:space="0" w:color="auto"/>
      </w:divBdr>
    </w:div>
    <w:div w:id="972489393">
      <w:bodyDiv w:val="1"/>
      <w:marLeft w:val="0"/>
      <w:marRight w:val="0"/>
      <w:marTop w:val="0"/>
      <w:marBottom w:val="0"/>
      <w:divBdr>
        <w:top w:val="none" w:sz="0" w:space="0" w:color="auto"/>
        <w:left w:val="none" w:sz="0" w:space="0" w:color="auto"/>
        <w:bottom w:val="none" w:sz="0" w:space="0" w:color="auto"/>
        <w:right w:val="none" w:sz="0" w:space="0" w:color="auto"/>
      </w:divBdr>
    </w:div>
    <w:div w:id="1082335029">
      <w:bodyDiv w:val="1"/>
      <w:marLeft w:val="0"/>
      <w:marRight w:val="0"/>
      <w:marTop w:val="0"/>
      <w:marBottom w:val="0"/>
      <w:divBdr>
        <w:top w:val="none" w:sz="0" w:space="0" w:color="auto"/>
        <w:left w:val="none" w:sz="0" w:space="0" w:color="auto"/>
        <w:bottom w:val="none" w:sz="0" w:space="0" w:color="auto"/>
        <w:right w:val="none" w:sz="0" w:space="0" w:color="auto"/>
      </w:divBdr>
    </w:div>
    <w:div w:id="16406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GenderSSAmasterAugust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GenderSSAmasterAugust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Documents\GenderSSAmasterAugust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Completion rate GPIs</a:t>
            </a:r>
            <a:r>
              <a:rPr lang="en-GB" baseline="0"/>
              <a:t> for primary schooling for countries in SSA, late 2010s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fig1primaryGPI!$A$2:$A$36</c:f>
              <c:strCache>
                <c:ptCount val="35"/>
                <c:pt idx="0">
                  <c:v>CAR</c:v>
                </c:pt>
                <c:pt idx="1">
                  <c:v>Guinea</c:v>
                </c:pt>
                <c:pt idx="2">
                  <c:v>Benin</c:v>
                </c:pt>
                <c:pt idx="3">
                  <c:v>Cote d'Ivoire</c:v>
                </c:pt>
                <c:pt idx="4">
                  <c:v>Chad</c:v>
                </c:pt>
                <c:pt idx="5">
                  <c:v>Mali</c:v>
                </c:pt>
                <c:pt idx="6">
                  <c:v>Angola</c:v>
                </c:pt>
                <c:pt idx="7">
                  <c:v>Eritrea</c:v>
                </c:pt>
                <c:pt idx="8">
                  <c:v>Mozambique</c:v>
                </c:pt>
                <c:pt idx="9">
                  <c:v>Togo</c:v>
                </c:pt>
                <c:pt idx="10">
                  <c:v>Congo, Dem. Rep.</c:v>
                </c:pt>
                <c:pt idx="11">
                  <c:v>Cameroon</c:v>
                </c:pt>
                <c:pt idx="12">
                  <c:v>Guinea-Bissau</c:v>
                </c:pt>
                <c:pt idx="13">
                  <c:v>Nigeria</c:v>
                </c:pt>
                <c:pt idx="14">
                  <c:v>Sierra Leone</c:v>
                </c:pt>
                <c:pt idx="15">
                  <c:v>Kenya</c:v>
                </c:pt>
                <c:pt idx="16">
                  <c:v>Uganda</c:v>
                </c:pt>
                <c:pt idx="17">
                  <c:v>Ghana</c:v>
                </c:pt>
                <c:pt idx="18">
                  <c:v>Eswatini</c:v>
                </c:pt>
                <c:pt idx="19">
                  <c:v>Botswana</c:v>
                </c:pt>
                <c:pt idx="20">
                  <c:v>Zimbabwe</c:v>
                </c:pt>
                <c:pt idx="21">
                  <c:v>Madagascar</c:v>
                </c:pt>
                <c:pt idx="22">
                  <c:v>South Africa</c:v>
                </c:pt>
                <c:pt idx="23">
                  <c:v>Zambia</c:v>
                </c:pt>
                <c:pt idx="24">
                  <c:v>Gambia, The</c:v>
                </c:pt>
                <c:pt idx="25">
                  <c:v>Ethiopia</c:v>
                </c:pt>
                <c:pt idx="26">
                  <c:v>Senegal</c:v>
                </c:pt>
                <c:pt idx="27">
                  <c:v>Liberia</c:v>
                </c:pt>
                <c:pt idx="28">
                  <c:v>Burkina Faso</c:v>
                </c:pt>
                <c:pt idx="29">
                  <c:v>Congo</c:v>
                </c:pt>
                <c:pt idx="30">
                  <c:v>Malawi</c:v>
                </c:pt>
                <c:pt idx="31">
                  <c:v>Tanzania</c:v>
                </c:pt>
                <c:pt idx="32">
                  <c:v>Namibia</c:v>
                </c:pt>
                <c:pt idx="33">
                  <c:v>Rwanda</c:v>
                </c:pt>
                <c:pt idx="34">
                  <c:v>Lesotho</c:v>
                </c:pt>
              </c:strCache>
            </c:strRef>
          </c:cat>
          <c:val>
            <c:numRef>
              <c:f>fig1primaryGPI!$B$2:$B$36</c:f>
              <c:numCache>
                <c:formatCode>General</c:formatCode>
                <c:ptCount val="35"/>
                <c:pt idx="0">
                  <c:v>0.74561403508771928</c:v>
                </c:pt>
                <c:pt idx="1">
                  <c:v>0.77018633540372683</c:v>
                </c:pt>
                <c:pt idx="2">
                  <c:v>0.79456706281833611</c:v>
                </c:pt>
                <c:pt idx="3">
                  <c:v>0.8043087971274685</c:v>
                </c:pt>
                <c:pt idx="4">
                  <c:v>0.81655844155844148</c:v>
                </c:pt>
                <c:pt idx="5">
                  <c:v>0.82945736434108519</c:v>
                </c:pt>
                <c:pt idx="6">
                  <c:v>0.87096774193548387</c:v>
                </c:pt>
                <c:pt idx="7">
                  <c:v>0.88</c:v>
                </c:pt>
                <c:pt idx="8">
                  <c:v>0.88</c:v>
                </c:pt>
                <c:pt idx="9">
                  <c:v>0.90877598152424954</c:v>
                </c:pt>
                <c:pt idx="10">
                  <c:v>0.93990384615384615</c:v>
                </c:pt>
                <c:pt idx="11">
                  <c:v>0.95360824742268047</c:v>
                </c:pt>
                <c:pt idx="12">
                  <c:v>0.95767195767195779</c:v>
                </c:pt>
                <c:pt idx="13">
                  <c:v>0.95937873357228187</c:v>
                </c:pt>
                <c:pt idx="14">
                  <c:v>1.0013736263736266</c:v>
                </c:pt>
                <c:pt idx="15">
                  <c:v>1.01</c:v>
                </c:pt>
                <c:pt idx="16">
                  <c:v>1.0131004366812228</c:v>
                </c:pt>
                <c:pt idx="17">
                  <c:v>1.0184331797235024</c:v>
                </c:pt>
                <c:pt idx="18">
                  <c:v>1.02</c:v>
                </c:pt>
                <c:pt idx="19">
                  <c:v>1.03</c:v>
                </c:pt>
                <c:pt idx="20">
                  <c:v>1.0316593886462884</c:v>
                </c:pt>
                <c:pt idx="21">
                  <c:v>1.0472312703583062</c:v>
                </c:pt>
                <c:pt idx="22">
                  <c:v>1.0503833515881709</c:v>
                </c:pt>
                <c:pt idx="23">
                  <c:v>1.0524642289348172</c:v>
                </c:pt>
                <c:pt idx="24">
                  <c:v>1.0636363636363637</c:v>
                </c:pt>
                <c:pt idx="25">
                  <c:v>1.0708955223880596</c:v>
                </c:pt>
                <c:pt idx="26">
                  <c:v>1.0850622406639003</c:v>
                </c:pt>
                <c:pt idx="27">
                  <c:v>1.1177685950413223</c:v>
                </c:pt>
                <c:pt idx="28">
                  <c:v>1.1200000000000001</c:v>
                </c:pt>
                <c:pt idx="29">
                  <c:v>1.1299999999999999</c:v>
                </c:pt>
                <c:pt idx="30">
                  <c:v>1.1312056737588652</c:v>
                </c:pt>
                <c:pt idx="31">
                  <c:v>1.1765578635014835</c:v>
                </c:pt>
                <c:pt idx="32">
                  <c:v>1.1853448275862071</c:v>
                </c:pt>
                <c:pt idx="33">
                  <c:v>1.2198275862068966</c:v>
                </c:pt>
                <c:pt idx="34">
                  <c:v>1.2406692406692408</c:v>
                </c:pt>
              </c:numCache>
            </c:numRef>
          </c:val>
        </c:ser>
        <c:dLbls>
          <c:showLegendKey val="0"/>
          <c:showVal val="0"/>
          <c:showCatName val="0"/>
          <c:showSerName val="0"/>
          <c:showPercent val="0"/>
          <c:showBubbleSize val="0"/>
        </c:dLbls>
        <c:gapWidth val="219"/>
        <c:overlap val="-27"/>
        <c:axId val="-532259536"/>
        <c:axId val="-532258992"/>
      </c:barChart>
      <c:catAx>
        <c:axId val="-53225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8992"/>
        <c:crosses val="autoZero"/>
        <c:auto val="1"/>
        <c:lblAlgn val="ctr"/>
        <c:lblOffset val="100"/>
        <c:noMultiLvlLbl val="0"/>
      </c:catAx>
      <c:valAx>
        <c:axId val="-53225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Completion rate GPIs</a:t>
            </a:r>
            <a:r>
              <a:rPr lang="en-GB" baseline="0"/>
              <a:t> for senior secondary schooling for countries in SSA, late 2010s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uppersecondarycombined!$G$5:$G$38</c:f>
              <c:strCache>
                <c:ptCount val="34"/>
                <c:pt idx="0">
                  <c:v>Niger</c:v>
                </c:pt>
                <c:pt idx="1">
                  <c:v>Chad</c:v>
                </c:pt>
                <c:pt idx="2">
                  <c:v>Togo</c:v>
                </c:pt>
                <c:pt idx="3">
                  <c:v>Central African Republic</c:v>
                </c:pt>
                <c:pt idx="4">
                  <c:v>Mali</c:v>
                </c:pt>
                <c:pt idx="5">
                  <c:v>Mozambique</c:v>
                </c:pt>
                <c:pt idx="6">
                  <c:v>Sierra Leone</c:v>
                </c:pt>
                <c:pt idx="7">
                  <c:v>Guinea Bissau</c:v>
                </c:pt>
                <c:pt idx="8">
                  <c:v>Angola</c:v>
                </c:pt>
                <c:pt idx="9">
                  <c:v>Congo</c:v>
                </c:pt>
                <c:pt idx="10">
                  <c:v>Malawi</c:v>
                </c:pt>
                <c:pt idx="11">
                  <c:v>Benin</c:v>
                </c:pt>
                <c:pt idx="12">
                  <c:v>DRC</c:v>
                </c:pt>
                <c:pt idx="13">
                  <c:v>Uganda</c:v>
                </c:pt>
                <c:pt idx="14">
                  <c:v>Liberia</c:v>
                </c:pt>
                <c:pt idx="15">
                  <c:v>Nigeria</c:v>
                </c:pt>
                <c:pt idx="16">
                  <c:v>Burundi</c:v>
                </c:pt>
                <c:pt idx="17">
                  <c:v>Côte d'Ivoire</c:v>
                </c:pt>
                <c:pt idx="18">
                  <c:v>Zambia</c:v>
                </c:pt>
                <c:pt idx="19">
                  <c:v>Guinea</c:v>
                </c:pt>
                <c:pt idx="20">
                  <c:v>Lesotho</c:v>
                </c:pt>
                <c:pt idx="21">
                  <c:v>Ghana</c:v>
                </c:pt>
                <c:pt idx="22">
                  <c:v>Zimbabwe</c:v>
                </c:pt>
                <c:pt idx="23">
                  <c:v>Kenya</c:v>
                </c:pt>
                <c:pt idx="24">
                  <c:v>Cameroon</c:v>
                </c:pt>
                <c:pt idx="25">
                  <c:v>Rwanda</c:v>
                </c:pt>
                <c:pt idx="26">
                  <c:v>Tanzania</c:v>
                </c:pt>
                <c:pt idx="27">
                  <c:v>Gambia</c:v>
                </c:pt>
                <c:pt idx="28">
                  <c:v>Senegal</c:v>
                </c:pt>
                <c:pt idx="29">
                  <c:v>Eswatini</c:v>
                </c:pt>
                <c:pt idx="30">
                  <c:v>Madagascar</c:v>
                </c:pt>
                <c:pt idx="31">
                  <c:v>Ethiopia</c:v>
                </c:pt>
                <c:pt idx="32">
                  <c:v>Namibia</c:v>
                </c:pt>
                <c:pt idx="33">
                  <c:v>South Africa</c:v>
                </c:pt>
              </c:strCache>
            </c:strRef>
          </c:cat>
          <c:val>
            <c:numRef>
              <c:f>uppersecondarycombined!$H$5:$H$38</c:f>
              <c:numCache>
                <c:formatCode>General</c:formatCode>
                <c:ptCount val="34"/>
                <c:pt idx="0">
                  <c:v>0.3</c:v>
                </c:pt>
                <c:pt idx="1">
                  <c:v>0.33606557377049179</c:v>
                </c:pt>
                <c:pt idx="2">
                  <c:v>0.45454545454545453</c:v>
                </c:pt>
                <c:pt idx="3">
                  <c:v>0.5431034482758621</c:v>
                </c:pt>
                <c:pt idx="4">
                  <c:v>0.6</c:v>
                </c:pt>
                <c:pt idx="5">
                  <c:v>0.6</c:v>
                </c:pt>
                <c:pt idx="6">
                  <c:v>0.62323943661971837</c:v>
                </c:pt>
                <c:pt idx="7">
                  <c:v>0.62331838565022424</c:v>
                </c:pt>
                <c:pt idx="8">
                  <c:v>0.67685589519650657</c:v>
                </c:pt>
                <c:pt idx="9">
                  <c:v>0.7</c:v>
                </c:pt>
                <c:pt idx="10">
                  <c:v>0.70618556701030932</c:v>
                </c:pt>
                <c:pt idx="11">
                  <c:v>0.71830985915492951</c:v>
                </c:pt>
                <c:pt idx="12">
                  <c:v>0.7188841201716738</c:v>
                </c:pt>
                <c:pt idx="13">
                  <c:v>0.72727272727272729</c:v>
                </c:pt>
                <c:pt idx="14">
                  <c:v>0.73831775700934577</c:v>
                </c:pt>
                <c:pt idx="15">
                  <c:v>0.76616915422885579</c:v>
                </c:pt>
                <c:pt idx="16">
                  <c:v>0.77</c:v>
                </c:pt>
                <c:pt idx="17">
                  <c:v>0.79720279720279719</c:v>
                </c:pt>
                <c:pt idx="18">
                  <c:v>0.80592105263157898</c:v>
                </c:pt>
                <c:pt idx="19">
                  <c:v>0.81564245810055869</c:v>
                </c:pt>
                <c:pt idx="20">
                  <c:v>0.81707317073170738</c:v>
                </c:pt>
                <c:pt idx="21">
                  <c:v>0.84035476718403546</c:v>
                </c:pt>
                <c:pt idx="22">
                  <c:v>0.84180790960451979</c:v>
                </c:pt>
                <c:pt idx="23">
                  <c:v>0.85</c:v>
                </c:pt>
                <c:pt idx="24">
                  <c:v>0.87192118226600979</c:v>
                </c:pt>
                <c:pt idx="25">
                  <c:v>0.88311688311688308</c:v>
                </c:pt>
                <c:pt idx="26">
                  <c:v>0.92150170648464158</c:v>
                </c:pt>
                <c:pt idx="27">
                  <c:v>0.93333333333333324</c:v>
                </c:pt>
                <c:pt idx="28">
                  <c:v>0.94505494505494503</c:v>
                </c:pt>
                <c:pt idx="29">
                  <c:v>1.07</c:v>
                </c:pt>
                <c:pt idx="30">
                  <c:v>1.095890410958904</c:v>
                </c:pt>
                <c:pt idx="31">
                  <c:v>1.1100000000000001</c:v>
                </c:pt>
                <c:pt idx="32">
                  <c:v>1.1100000000000001</c:v>
                </c:pt>
                <c:pt idx="33">
                  <c:v>1.1599999999999999</c:v>
                </c:pt>
              </c:numCache>
            </c:numRef>
          </c:val>
        </c:ser>
        <c:dLbls>
          <c:showLegendKey val="0"/>
          <c:showVal val="0"/>
          <c:showCatName val="0"/>
          <c:showSerName val="0"/>
          <c:showPercent val="0"/>
          <c:showBubbleSize val="0"/>
        </c:dLbls>
        <c:gapWidth val="219"/>
        <c:overlap val="-27"/>
        <c:axId val="-532257360"/>
        <c:axId val="-532253008"/>
      </c:barChart>
      <c:catAx>
        <c:axId val="-53225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3008"/>
        <c:crosses val="autoZero"/>
        <c:auto val="1"/>
        <c:lblAlgn val="ctr"/>
        <c:lblOffset val="100"/>
        <c:noMultiLvlLbl val="0"/>
      </c:catAx>
      <c:valAx>
        <c:axId val="-53225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3: Ever attended GPIs for higher education among 20-24 year age cohort, late 2010s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HEdatafigs!$A$1:$A$25</c:f>
              <c:strCache>
                <c:ptCount val="25"/>
                <c:pt idx="0">
                  <c:v>Benin</c:v>
                </c:pt>
                <c:pt idx="1">
                  <c:v>Chad</c:v>
                </c:pt>
                <c:pt idx="2">
                  <c:v>Togo</c:v>
                </c:pt>
                <c:pt idx="3">
                  <c:v>Mali</c:v>
                </c:pt>
                <c:pt idx="4">
                  <c:v>Rwanda</c:v>
                </c:pt>
                <c:pt idx="5">
                  <c:v>Angola</c:v>
                </c:pt>
                <c:pt idx="6">
                  <c:v>Nigeria</c:v>
                </c:pt>
                <c:pt idx="7">
                  <c:v>Central African Republic</c:v>
                </c:pt>
                <c:pt idx="8">
                  <c:v>Guinea</c:v>
                </c:pt>
                <c:pt idx="9">
                  <c:v>Liberia</c:v>
                </c:pt>
                <c:pt idx="10">
                  <c:v>Tanzania</c:v>
                </c:pt>
                <c:pt idx="11">
                  <c:v>Sierra Leone</c:v>
                </c:pt>
                <c:pt idx="12">
                  <c:v>DRC</c:v>
                </c:pt>
                <c:pt idx="13">
                  <c:v>Gambia</c:v>
                </c:pt>
                <c:pt idx="14">
                  <c:v>Uganda</c:v>
                </c:pt>
                <c:pt idx="15">
                  <c:v>Ghana</c:v>
                </c:pt>
                <c:pt idx="16">
                  <c:v>Côte d'Ivoire</c:v>
                </c:pt>
                <c:pt idx="17">
                  <c:v>Guinea Bissau</c:v>
                </c:pt>
                <c:pt idx="18">
                  <c:v>Senegal</c:v>
                </c:pt>
                <c:pt idx="19">
                  <c:v>Malawi</c:v>
                </c:pt>
                <c:pt idx="20">
                  <c:v>Cameroon</c:v>
                </c:pt>
                <c:pt idx="21">
                  <c:v>Zambia</c:v>
                </c:pt>
                <c:pt idx="22">
                  <c:v>Zimbabwe</c:v>
                </c:pt>
                <c:pt idx="23">
                  <c:v>Madagascar</c:v>
                </c:pt>
                <c:pt idx="24">
                  <c:v>Lesotho</c:v>
                </c:pt>
              </c:strCache>
            </c:strRef>
          </c:cat>
          <c:val>
            <c:numRef>
              <c:f>HEdatafigs!$B$1:$B$25</c:f>
              <c:numCache>
                <c:formatCode>General</c:formatCode>
                <c:ptCount val="25"/>
                <c:pt idx="0">
                  <c:v>0.39393939393939392</c:v>
                </c:pt>
                <c:pt idx="1">
                  <c:v>0.44117647058823528</c:v>
                </c:pt>
                <c:pt idx="2">
                  <c:v>0.47133757961783446</c:v>
                </c:pt>
                <c:pt idx="3">
                  <c:v>0.5</c:v>
                </c:pt>
                <c:pt idx="4">
                  <c:v>0.52173913043478259</c:v>
                </c:pt>
                <c:pt idx="5">
                  <c:v>0.62962962962962965</c:v>
                </c:pt>
                <c:pt idx="6">
                  <c:v>0.64851485148514854</c:v>
                </c:pt>
                <c:pt idx="7">
                  <c:v>0.68421052631578949</c:v>
                </c:pt>
                <c:pt idx="8">
                  <c:v>0.6875</c:v>
                </c:pt>
                <c:pt idx="9">
                  <c:v>0.6875</c:v>
                </c:pt>
                <c:pt idx="10">
                  <c:v>0.7</c:v>
                </c:pt>
                <c:pt idx="11">
                  <c:v>0.7142857142857143</c:v>
                </c:pt>
                <c:pt idx="12">
                  <c:v>0.78294573643410847</c:v>
                </c:pt>
                <c:pt idx="13">
                  <c:v>0.80909090909090908</c:v>
                </c:pt>
                <c:pt idx="14">
                  <c:v>0.81060606060606055</c:v>
                </c:pt>
                <c:pt idx="15">
                  <c:v>0.85185185185185197</c:v>
                </c:pt>
                <c:pt idx="16">
                  <c:v>0.85567010309278368</c:v>
                </c:pt>
                <c:pt idx="17">
                  <c:v>0.86274509803921584</c:v>
                </c:pt>
                <c:pt idx="18">
                  <c:v>0.8674698795180722</c:v>
                </c:pt>
                <c:pt idx="19">
                  <c:v>0.90697674418604657</c:v>
                </c:pt>
                <c:pt idx="20">
                  <c:v>0.93846153846153846</c:v>
                </c:pt>
                <c:pt idx="21">
                  <c:v>1</c:v>
                </c:pt>
                <c:pt idx="22">
                  <c:v>1.0421052631578949</c:v>
                </c:pt>
                <c:pt idx="23">
                  <c:v>1.1071428571428572</c:v>
                </c:pt>
                <c:pt idx="24">
                  <c:v>1.3805309734513274</c:v>
                </c:pt>
              </c:numCache>
            </c:numRef>
          </c:val>
        </c:ser>
        <c:dLbls>
          <c:showLegendKey val="0"/>
          <c:showVal val="0"/>
          <c:showCatName val="0"/>
          <c:showSerName val="0"/>
          <c:showPercent val="0"/>
          <c:showBubbleSize val="0"/>
        </c:dLbls>
        <c:gapWidth val="219"/>
        <c:overlap val="-27"/>
        <c:axId val="-532254640"/>
        <c:axId val="-532256816"/>
      </c:barChart>
      <c:catAx>
        <c:axId val="-53225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6816"/>
        <c:crosses val="autoZero"/>
        <c:auto val="1"/>
        <c:lblAlgn val="ctr"/>
        <c:lblOffset val="100"/>
        <c:noMultiLvlLbl val="0"/>
      </c:catAx>
      <c:valAx>
        <c:axId val="-53225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25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35F9-D5E6-4334-83D8-665EBC3C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cp:lastPrinted>2021-09-06T16:10:00Z</cp:lastPrinted>
  <dcterms:created xsi:type="dcterms:W3CDTF">2021-10-31T15:37:00Z</dcterms:created>
  <dcterms:modified xsi:type="dcterms:W3CDTF">2021-10-31T15:43:00Z</dcterms:modified>
</cp:coreProperties>
</file>